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A598A" w14:textId="77777777" w:rsidR="005203B4" w:rsidRDefault="005203B4">
      <w:pPr>
        <w:spacing w:before="2200"/>
      </w:pPr>
    </w:p>
    <w:p w14:paraId="4B5A0DC0" w14:textId="77777777" w:rsidR="005203B4" w:rsidRPr="002F2FC3" w:rsidRDefault="00000000">
      <w:pPr>
        <w:spacing w:after="400"/>
        <w:jc w:val="center"/>
        <w:rPr>
          <w:color w:val="4775E7" w:themeColor="accent4"/>
        </w:rPr>
      </w:pPr>
      <w:r w:rsidRPr="002F2FC3">
        <w:rPr>
          <w:b/>
          <w:bCs/>
          <w:color w:val="4775E7" w:themeColor="accent4"/>
          <w:sz w:val="48"/>
          <w:szCs w:val="48"/>
        </w:rPr>
        <w:t>Strategic Insights Report</w:t>
      </w:r>
    </w:p>
    <w:p w14:paraId="58CE5A16" w14:textId="77777777" w:rsidR="005203B4" w:rsidRPr="002F2FC3" w:rsidRDefault="00000000">
      <w:pPr>
        <w:spacing w:after="200"/>
        <w:jc w:val="center"/>
        <w:rPr>
          <w:color w:val="4775E7" w:themeColor="accent4"/>
        </w:rPr>
      </w:pPr>
      <w:r w:rsidRPr="002F2FC3">
        <w:rPr>
          <w:b/>
          <w:bCs/>
          <w:color w:val="4775E7" w:themeColor="accent4"/>
          <w:sz w:val="36"/>
          <w:szCs w:val="36"/>
        </w:rPr>
        <w:t>Predictive Analytics for SLU</w:t>
      </w:r>
    </w:p>
    <w:p w14:paraId="7F62E7F0" w14:textId="77777777" w:rsidR="005203B4" w:rsidRPr="002F2FC3" w:rsidRDefault="00000000">
      <w:pPr>
        <w:spacing w:after="1000"/>
        <w:jc w:val="center"/>
        <w:rPr>
          <w:color w:val="4775E7" w:themeColor="accent4"/>
        </w:rPr>
      </w:pPr>
      <w:r w:rsidRPr="002F2FC3">
        <w:rPr>
          <w:b/>
          <w:bCs/>
          <w:color w:val="4775E7" w:themeColor="accent4"/>
          <w:sz w:val="36"/>
          <w:szCs w:val="36"/>
        </w:rPr>
        <w:t>Application Opportunity Programs</w:t>
      </w:r>
    </w:p>
    <w:p w14:paraId="21D632AF" w14:textId="70649906" w:rsidR="005203B4" w:rsidRDefault="005203B4" w:rsidP="002F2FC3">
      <w:pPr>
        <w:spacing w:after="1200"/>
        <w:rPr>
          <w:color w:val="666666"/>
        </w:rPr>
      </w:pPr>
    </w:p>
    <w:p w14:paraId="292024CF" w14:textId="671D76D4" w:rsidR="002F2FC3" w:rsidRDefault="002F2FC3">
      <w:pPr>
        <w:spacing w:after="1200"/>
        <w:jc w:val="center"/>
      </w:pPr>
      <w:r>
        <w:rPr>
          <w:color w:val="666666"/>
        </w:rPr>
        <w:t>Komal Harshita</w:t>
      </w:r>
    </w:p>
    <w:p w14:paraId="3163163A" w14:textId="77777777" w:rsidR="005203B4" w:rsidRDefault="00000000">
      <w:pPr>
        <w:spacing w:after="100"/>
        <w:jc w:val="center"/>
      </w:pPr>
      <w:r>
        <w:rPr>
          <w:sz w:val="20"/>
          <w:szCs w:val="20"/>
        </w:rPr>
        <w:t>AI Powered Data Analyst Internship</w:t>
      </w:r>
    </w:p>
    <w:p w14:paraId="415880D1" w14:textId="77777777" w:rsidR="005203B4" w:rsidRDefault="00000000">
      <w:pPr>
        <w:jc w:val="center"/>
      </w:pPr>
      <w:r>
        <w:rPr>
          <w:sz w:val="20"/>
          <w:szCs w:val="20"/>
        </w:rPr>
        <w:t>Final Deliverable - March 2026</w:t>
      </w:r>
    </w:p>
    <w:p w14:paraId="7B52B248" w14:textId="77777777" w:rsidR="005203B4" w:rsidRDefault="00000000">
      <w:r>
        <w:br w:type="page"/>
      </w:r>
    </w:p>
    <w:p w14:paraId="2E8E64A0" w14:textId="77777777" w:rsidR="005203B4" w:rsidRDefault="00000000">
      <w:pPr>
        <w:pStyle w:val="Heading1"/>
      </w:pPr>
      <w:r>
        <w:lastRenderedPageBreak/>
        <w:t>Executive Summary</w:t>
      </w:r>
    </w:p>
    <w:p w14:paraId="444E023A" w14:textId="77777777" w:rsidR="002F2FC3" w:rsidRPr="002F2FC3" w:rsidRDefault="002F2FC3" w:rsidP="002F2FC3"/>
    <w:p w14:paraId="27B71A54" w14:textId="77777777" w:rsidR="005203B4" w:rsidRDefault="00000000">
      <w:pPr>
        <w:spacing w:after="200"/>
      </w:pPr>
      <w:r>
        <w:t xml:space="preserve">This report synthesizes four weeks of comprehensive data analysis on Saint Louis University's opportunity application programs, encompassing 8,251 applications across 22 distinct opportunities from February 2022 through December 2024. Through systematic exploratory data analysis, feature engineering, and machine learning </w:t>
      </w:r>
      <w:proofErr w:type="spellStart"/>
      <w:r>
        <w:t>modeling</w:t>
      </w:r>
      <w:proofErr w:type="spellEnd"/>
      <w:r>
        <w:t>, we have identified actionable patterns that enable data-driven strategic planning and resource optimization.</w:t>
      </w:r>
    </w:p>
    <w:p w14:paraId="5A01FE48" w14:textId="77777777" w:rsidR="002F2FC3" w:rsidRDefault="002F2FC3">
      <w:pPr>
        <w:spacing w:after="200"/>
      </w:pPr>
    </w:p>
    <w:p w14:paraId="1E7B85FF" w14:textId="77777777" w:rsidR="002F2FC3" w:rsidRDefault="002F2FC3">
      <w:pPr>
        <w:spacing w:after="200"/>
      </w:pPr>
    </w:p>
    <w:p w14:paraId="3679D7F1" w14:textId="77777777" w:rsidR="005203B4" w:rsidRDefault="00000000">
      <w:pPr>
        <w:pStyle w:val="Heading3"/>
      </w:pPr>
      <w:r>
        <w:t>Key Findings at a Glance</w:t>
      </w:r>
    </w:p>
    <w:p w14:paraId="5D014DA3" w14:textId="77777777" w:rsidR="002F2FC3" w:rsidRPr="002F2FC3" w:rsidRDefault="002F2FC3" w:rsidP="002F2F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5203B4" w14:paraId="29F7335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7B5E00B4" w14:textId="77777777" w:rsidR="005203B4" w:rsidRDefault="00000000">
            <w:r>
              <w:rPr>
                <w:b/>
                <w:bCs/>
                <w:color w:val="FFFFFF"/>
                <w:sz w:val="22"/>
                <w:szCs w:val="22"/>
              </w:rPr>
              <w:t>Metric</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604DF685" w14:textId="77777777" w:rsidR="005203B4" w:rsidRDefault="00000000">
            <w:r>
              <w:rPr>
                <w:b/>
                <w:bCs/>
                <w:color w:val="FFFFFF"/>
                <w:sz w:val="22"/>
                <w:szCs w:val="22"/>
              </w:rPr>
              <w:t>Result</w:t>
            </w:r>
          </w:p>
        </w:tc>
      </w:tr>
      <w:tr w:rsidR="005203B4" w14:paraId="553F5E1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0B798772" w14:textId="77777777" w:rsidR="005203B4" w:rsidRDefault="00000000">
            <w:r>
              <w:rPr>
                <w:color w:val="000000"/>
                <w:sz w:val="20"/>
                <w:szCs w:val="20"/>
              </w:rPr>
              <w:t>Overall Acceptance Rate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504DD709" w14:textId="77777777" w:rsidR="005203B4" w:rsidRDefault="00000000">
            <w:r>
              <w:rPr>
                <w:color w:val="000000"/>
                <w:sz w:val="20"/>
                <w:szCs w:val="20"/>
              </w:rPr>
              <w:t>47.5% (3,917 of 8,251 applications)</w:t>
            </w:r>
          </w:p>
        </w:tc>
      </w:tr>
      <w:tr w:rsidR="005203B4" w14:paraId="65025D7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7B089E4B" w14:textId="77777777" w:rsidR="005203B4" w:rsidRDefault="00000000">
            <w:r>
              <w:rPr>
                <w:color w:val="000000"/>
                <w:sz w:val="20"/>
                <w:szCs w:val="20"/>
              </w:rPr>
              <w:t>Model Prediction Accuracy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14ADA793" w14:textId="77777777" w:rsidR="005203B4" w:rsidRDefault="00000000">
            <w:r>
              <w:rPr>
                <w:color w:val="000000"/>
                <w:sz w:val="20"/>
                <w:szCs w:val="20"/>
              </w:rPr>
              <w:t>89.7% (can forecast acceptance with high confidence)</w:t>
            </w:r>
          </w:p>
        </w:tc>
      </w:tr>
      <w:tr w:rsidR="005203B4" w14:paraId="41E0EA4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26C948E5" w14:textId="77777777" w:rsidR="005203B4" w:rsidRDefault="00000000">
            <w:r>
              <w:rPr>
                <w:color w:val="000000"/>
                <w:sz w:val="20"/>
                <w:szCs w:val="20"/>
              </w:rPr>
              <w:t>Peak Application Month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12FE53C8" w14:textId="77777777" w:rsidR="005203B4" w:rsidRDefault="00000000">
            <w:r>
              <w:rPr>
                <w:color w:val="000000"/>
                <w:sz w:val="20"/>
                <w:szCs w:val="20"/>
              </w:rPr>
              <w:t>January 2024: 1,459 applications (+380% vs average)</w:t>
            </w:r>
          </w:p>
        </w:tc>
      </w:tr>
      <w:tr w:rsidR="005203B4" w14:paraId="5CA6BA1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6C88C90F" w14:textId="77777777" w:rsidR="005203B4" w:rsidRDefault="00000000">
            <w:r>
              <w:rPr>
                <w:color w:val="000000"/>
                <w:sz w:val="20"/>
                <w:szCs w:val="20"/>
              </w:rPr>
              <w:t>Category Performance Range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56963CC8" w14:textId="77777777" w:rsidR="005203B4" w:rsidRDefault="00000000">
            <w:r>
              <w:rPr>
                <w:color w:val="000000"/>
                <w:sz w:val="20"/>
                <w:szCs w:val="20"/>
              </w:rPr>
              <w:t>21.7% (Internship) to 96.6% (Engagement) acceptance</w:t>
            </w:r>
          </w:p>
        </w:tc>
      </w:tr>
      <w:tr w:rsidR="005203B4" w14:paraId="25A1D6B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033D1038" w14:textId="77777777" w:rsidR="005203B4" w:rsidRDefault="00000000">
            <w:r>
              <w:rPr>
                <w:color w:val="000000"/>
                <w:sz w:val="20"/>
                <w:szCs w:val="20"/>
              </w:rPr>
              <w:t>Optimal Application Season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58A3F95A" w14:textId="77777777" w:rsidR="005203B4" w:rsidRDefault="00000000">
            <w:r>
              <w:rPr>
                <w:color w:val="000000"/>
                <w:sz w:val="20"/>
                <w:szCs w:val="20"/>
              </w:rPr>
              <w:t>Spring/Summer: 61-62% acceptance vs 35% Winter</w:t>
            </w:r>
          </w:p>
        </w:tc>
      </w:tr>
      <w:tr w:rsidR="005203B4" w14:paraId="511FE7E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4CB67C2D" w14:textId="77777777" w:rsidR="005203B4" w:rsidRDefault="00000000">
            <w:r>
              <w:rPr>
                <w:color w:val="000000"/>
                <w:sz w:val="20"/>
                <w:szCs w:val="20"/>
              </w:rPr>
              <w:t>Top Predictive Factor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0FC69A73" w14:textId="77777777" w:rsidR="005203B4" w:rsidRDefault="00000000">
            <w:r>
              <w:rPr>
                <w:color w:val="000000"/>
                <w:sz w:val="20"/>
                <w:szCs w:val="20"/>
              </w:rPr>
              <w:t>Opportunity Category (52% of model decision power)</w:t>
            </w:r>
          </w:p>
        </w:tc>
      </w:tr>
      <w:tr w:rsidR="005203B4" w14:paraId="2DE24BE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501120C6" w14:textId="77777777" w:rsidR="005203B4" w:rsidRDefault="00000000">
            <w:r>
              <w:rPr>
                <w:color w:val="000000"/>
                <w:sz w:val="20"/>
                <w:szCs w:val="20"/>
              </w:rPr>
              <w:t>Forecast Confidence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3C23362E" w14:textId="77777777" w:rsidR="005203B4" w:rsidRDefault="00000000">
            <w:r>
              <w:rPr>
                <w:color w:val="000000"/>
                <w:sz w:val="20"/>
                <w:szCs w:val="20"/>
              </w:rPr>
              <w:t>R² = 0.85 for volume prediction (strong reliability)</w:t>
            </w:r>
          </w:p>
        </w:tc>
      </w:tr>
    </w:tbl>
    <w:p w14:paraId="4762FFBA" w14:textId="160C4141" w:rsidR="005203B4" w:rsidRDefault="005203B4" w:rsidP="002F2FC3"/>
    <w:p w14:paraId="3BF9530C" w14:textId="77777777" w:rsidR="005203B4" w:rsidRDefault="005203B4">
      <w:pPr>
        <w:spacing w:after="300"/>
      </w:pPr>
    </w:p>
    <w:p w14:paraId="2ED81472" w14:textId="4984F457" w:rsidR="005203B4" w:rsidRDefault="00000000" w:rsidP="002F2FC3">
      <w:pPr>
        <w:spacing w:after="400"/>
      </w:pPr>
      <w:r>
        <w:t xml:space="preserve">The following sections detail the analytical journey from raw data through exploratory analysis to predictive </w:t>
      </w:r>
      <w:proofErr w:type="spellStart"/>
      <w:r>
        <w:t>modeling</w:t>
      </w:r>
      <w:proofErr w:type="spellEnd"/>
      <w:r>
        <w:t>, culminating in strategic recommendations that can immediately improve program outcomes. Each recommendation is grounded in statistical evidence and includes implementation guidance for rapid deployment.</w:t>
      </w:r>
    </w:p>
    <w:p w14:paraId="32953068" w14:textId="77777777" w:rsidR="005203B4" w:rsidRDefault="00000000">
      <w:pPr>
        <w:pStyle w:val="Heading1"/>
      </w:pPr>
      <w:r>
        <w:t>Summary of Key Findings from Weeks 1-3</w:t>
      </w:r>
    </w:p>
    <w:p w14:paraId="3B6DF32D" w14:textId="77777777" w:rsidR="002F2FC3" w:rsidRPr="002F2FC3" w:rsidRDefault="002F2FC3" w:rsidP="002F2FC3"/>
    <w:p w14:paraId="206EDB34" w14:textId="77777777" w:rsidR="005203B4" w:rsidRDefault="00000000">
      <w:pPr>
        <w:pStyle w:val="Heading2"/>
      </w:pPr>
      <w:r>
        <w:t>Week 1: Data Cleaning and Feature Engineering</w:t>
      </w:r>
    </w:p>
    <w:p w14:paraId="57DC1010" w14:textId="77777777" w:rsidR="005203B4" w:rsidRDefault="00000000">
      <w:pPr>
        <w:spacing w:after="200"/>
      </w:pPr>
      <w:r>
        <w:t>The initial dataset required substantial preprocessing to achieve analytical readiness. Key transformations included:</w:t>
      </w:r>
    </w:p>
    <w:p w14:paraId="30611C2A" w14:textId="77777777" w:rsidR="005203B4" w:rsidRDefault="00000000">
      <w:pPr>
        <w:pStyle w:val="ListParagraph"/>
        <w:numPr>
          <w:ilvl w:val="0"/>
          <w:numId w:val="3"/>
        </w:numPr>
      </w:pPr>
      <w:r>
        <w:t>Date Standardization: Converted mixed date formats (MM/DD/</w:t>
      </w:r>
      <w:proofErr w:type="spellStart"/>
      <w:r>
        <w:t>YYYY</w:t>
      </w:r>
      <w:proofErr w:type="spellEnd"/>
      <w:r>
        <w:t xml:space="preserve">, </w:t>
      </w:r>
      <w:proofErr w:type="spellStart"/>
      <w:r>
        <w:t>YYYY</w:t>
      </w:r>
      <w:proofErr w:type="spellEnd"/>
      <w:r>
        <w:t xml:space="preserve">-MM-DD, Excel serials) to uniform </w:t>
      </w:r>
      <w:proofErr w:type="spellStart"/>
      <w:r>
        <w:t>YYYY</w:t>
      </w:r>
      <w:proofErr w:type="spellEnd"/>
      <w:r>
        <w:t xml:space="preserve">-MM-DD </w:t>
      </w:r>
      <w:proofErr w:type="spellStart"/>
      <w:r>
        <w:t>HH:MM:SS</w:t>
      </w:r>
      <w:proofErr w:type="spellEnd"/>
      <w:r>
        <w:t>, removing 307 corrupt records (3.6% data loss)</w:t>
      </w:r>
    </w:p>
    <w:p w14:paraId="188255BF" w14:textId="77777777" w:rsidR="005203B4" w:rsidRDefault="00000000">
      <w:pPr>
        <w:pStyle w:val="ListParagraph"/>
        <w:numPr>
          <w:ilvl w:val="0"/>
          <w:numId w:val="3"/>
        </w:numPr>
      </w:pPr>
      <w:r>
        <w:t>Institution Normalization: Consolidated 6 variations of 'Saint Louis University' (4,237 records) into single standardized name, improving grouping accuracy</w:t>
      </w:r>
    </w:p>
    <w:p w14:paraId="5B2035BC" w14:textId="77777777" w:rsidR="005203B4" w:rsidRDefault="00000000">
      <w:pPr>
        <w:pStyle w:val="ListParagraph"/>
        <w:numPr>
          <w:ilvl w:val="0"/>
          <w:numId w:val="3"/>
        </w:numPr>
      </w:pPr>
      <w:r>
        <w:t>Missing Value Treatment: Imputed 5 missing Institution/Major records, noted 44% missing Opportunity Start Dates as structural limitation</w:t>
      </w:r>
    </w:p>
    <w:p w14:paraId="7DBA53B8" w14:textId="77777777" w:rsidR="005203B4" w:rsidRDefault="00000000">
      <w:pPr>
        <w:pStyle w:val="ListParagraph"/>
        <w:numPr>
          <w:ilvl w:val="0"/>
          <w:numId w:val="3"/>
        </w:numPr>
      </w:pPr>
      <w:r>
        <w:t xml:space="preserve">Feature Engineering: Created 14 derived features including Age, </w:t>
      </w:r>
      <w:proofErr w:type="spellStart"/>
      <w:r>
        <w:t>Lead_Time_Days</w:t>
      </w:r>
      <w:proofErr w:type="spellEnd"/>
      <w:r>
        <w:t>, seasonal classifications, and binary acceptance outcomes</w:t>
      </w:r>
    </w:p>
    <w:p w14:paraId="702AC5A8" w14:textId="77777777" w:rsidR="005203B4" w:rsidRDefault="00000000">
      <w:pPr>
        <w:spacing w:before="200" w:after="400"/>
      </w:pPr>
      <w:r>
        <w:t>Final cleaned dataset: 8,251 records × 30 features, representing 96.4% retention of original data with significantly improved analytical quality.</w:t>
      </w:r>
    </w:p>
    <w:p w14:paraId="33EDBC23" w14:textId="77777777" w:rsidR="005203B4" w:rsidRDefault="00000000">
      <w:pPr>
        <w:pStyle w:val="Heading2"/>
      </w:pPr>
      <w:r>
        <w:t>Week 2: Exploratory Data Analysis</w:t>
      </w:r>
    </w:p>
    <w:p w14:paraId="4257592A" w14:textId="77777777" w:rsidR="005203B4" w:rsidRDefault="00000000">
      <w:pPr>
        <w:spacing w:after="200"/>
      </w:pPr>
      <w:r>
        <w:t xml:space="preserve">Comprehensive EDA revealed three dominant patterns that shaped subsequent </w:t>
      </w:r>
      <w:proofErr w:type="spellStart"/>
      <w:r>
        <w:t>modeling</w:t>
      </w:r>
      <w:proofErr w:type="spellEnd"/>
      <w:r>
        <w:t xml:space="preserve"> decisions:</w:t>
      </w:r>
    </w:p>
    <w:p w14:paraId="2C0480EB" w14:textId="77777777" w:rsidR="005203B4" w:rsidRDefault="00000000">
      <w:pPr>
        <w:pStyle w:val="Heading3"/>
      </w:pPr>
      <w:r>
        <w:t>Pattern 1: Category-Driven Acceptance Disparity</w:t>
      </w:r>
    </w:p>
    <w:p w14:paraId="43D276FC" w14:textId="77777777" w:rsidR="005203B4" w:rsidRDefault="00000000">
      <w:pPr>
        <w:spacing w:after="150"/>
      </w:pPr>
      <w:r>
        <w:t>Acceptance rates span a 75-percentage-point range across categories, revealing fundamental differences in selection dynamics: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203B4" w14:paraId="798602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7C2B838D" w14:textId="77777777" w:rsidR="005203B4" w:rsidRDefault="00000000">
            <w:r>
              <w:rPr>
                <w:b/>
                <w:bCs/>
                <w:color w:val="FFFFFF"/>
                <w:sz w:val="22"/>
                <w:szCs w:val="22"/>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2C62A88B" w14:textId="77777777" w:rsidR="005203B4" w:rsidRDefault="00000000">
            <w:r>
              <w:rPr>
                <w:b/>
                <w:bCs/>
                <w:color w:val="FFFFFF"/>
                <w:sz w:val="22"/>
                <w:szCs w:val="22"/>
              </w:rPr>
              <w:t>Acceptance Rate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5FE89AC3" w14:textId="77777777" w:rsidR="005203B4" w:rsidRDefault="00000000">
            <w:r>
              <w:rPr>
                <w:b/>
                <w:bCs/>
                <w:color w:val="FFFFFF"/>
                <w:sz w:val="22"/>
                <w:szCs w:val="22"/>
              </w:rPr>
              <w:t>Volume (% of Total)</w:t>
            </w:r>
          </w:p>
        </w:tc>
      </w:tr>
      <w:tr w:rsidR="005203B4" w14:paraId="2D6E26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251AFCA3" w14:textId="77777777" w:rsidR="005203B4" w:rsidRDefault="00000000">
            <w:r>
              <w:rPr>
                <w:color w:val="000000"/>
                <w:sz w:val="20"/>
                <w:szCs w:val="20"/>
              </w:rPr>
              <w:t>Engagement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175AB0BD" w14:textId="77777777" w:rsidR="005203B4" w:rsidRDefault="00000000">
            <w:r>
              <w:rPr>
                <w:color w:val="000000"/>
                <w:sz w:val="20"/>
                <w:szCs w:val="20"/>
              </w:rPr>
              <w:t>96.6%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0D3B0CFE" w14:textId="77777777" w:rsidR="005203B4" w:rsidRDefault="00000000">
            <w:r>
              <w:rPr>
                <w:color w:val="000000"/>
                <w:sz w:val="20"/>
                <w:szCs w:val="20"/>
              </w:rPr>
              <w:t>119 (1.4%)</w:t>
            </w:r>
          </w:p>
        </w:tc>
      </w:tr>
      <w:tr w:rsidR="005203B4" w14:paraId="5A561D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75D8CE01" w14:textId="77777777" w:rsidR="005203B4" w:rsidRDefault="00000000">
            <w:r>
              <w:rPr>
                <w:color w:val="000000"/>
                <w:sz w:val="20"/>
                <w:szCs w:val="20"/>
              </w:rPr>
              <w:t>Event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1963F021" w14:textId="77777777" w:rsidR="005203B4" w:rsidRDefault="00000000">
            <w:r>
              <w:rPr>
                <w:color w:val="000000"/>
                <w:sz w:val="20"/>
                <w:szCs w:val="20"/>
              </w:rPr>
              <w:t>93.9%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29FFEDE4" w14:textId="77777777" w:rsidR="005203B4" w:rsidRDefault="00000000">
            <w:r>
              <w:rPr>
                <w:color w:val="000000"/>
                <w:sz w:val="20"/>
                <w:szCs w:val="20"/>
              </w:rPr>
              <w:t>523 (6.3%)</w:t>
            </w:r>
          </w:p>
        </w:tc>
      </w:tr>
      <w:tr w:rsidR="005203B4" w14:paraId="20132B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34BFDAAA" w14:textId="77777777" w:rsidR="005203B4" w:rsidRDefault="00000000">
            <w:r>
              <w:rPr>
                <w:color w:val="000000"/>
                <w:sz w:val="20"/>
                <w:szCs w:val="20"/>
              </w:rPr>
              <w:t>Course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3F348107" w14:textId="77777777" w:rsidR="005203B4" w:rsidRDefault="00000000">
            <w:r>
              <w:rPr>
                <w:color w:val="000000"/>
                <w:sz w:val="20"/>
                <w:szCs w:val="20"/>
              </w:rPr>
              <w:t>92.6%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5C46B824" w14:textId="77777777" w:rsidR="005203B4" w:rsidRDefault="00000000">
            <w:r>
              <w:rPr>
                <w:color w:val="000000"/>
                <w:sz w:val="20"/>
                <w:szCs w:val="20"/>
              </w:rPr>
              <w:t>1,974 (23.9%)</w:t>
            </w:r>
          </w:p>
        </w:tc>
      </w:tr>
      <w:tr w:rsidR="005203B4" w14:paraId="050B9A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1A7F4339" w14:textId="77777777" w:rsidR="005203B4" w:rsidRDefault="00000000">
            <w:r>
              <w:rPr>
                <w:color w:val="000000"/>
                <w:sz w:val="20"/>
                <w:szCs w:val="20"/>
              </w:rPr>
              <w:t>Competition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1F429E1A" w14:textId="77777777" w:rsidR="005203B4" w:rsidRDefault="00000000">
            <w:r>
              <w:rPr>
                <w:color w:val="000000"/>
                <w:sz w:val="20"/>
                <w:szCs w:val="20"/>
              </w:rPr>
              <w:t>83.9%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59B80E5B" w14:textId="77777777" w:rsidR="005203B4" w:rsidRDefault="00000000">
            <w:r>
              <w:rPr>
                <w:color w:val="000000"/>
                <w:sz w:val="20"/>
                <w:szCs w:val="20"/>
              </w:rPr>
              <w:t>417 (5.1%)</w:t>
            </w:r>
          </w:p>
        </w:tc>
      </w:tr>
      <w:tr w:rsidR="005203B4" w14:paraId="7E9A1C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293D25A6" w14:textId="77777777" w:rsidR="005203B4" w:rsidRDefault="00000000">
            <w:r>
              <w:rPr>
                <w:color w:val="000000"/>
                <w:sz w:val="20"/>
                <w:szCs w:val="20"/>
              </w:rPr>
              <w:t>Internship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29DA1FFB" w14:textId="77777777" w:rsidR="005203B4" w:rsidRDefault="00000000">
            <w:r>
              <w:rPr>
                <w:color w:val="000000"/>
                <w:sz w:val="20"/>
                <w:szCs w:val="20"/>
              </w:rPr>
              <w:t>21.7%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3009AF62" w14:textId="77777777" w:rsidR="005203B4" w:rsidRDefault="00000000">
            <w:r>
              <w:rPr>
                <w:color w:val="000000"/>
                <w:sz w:val="20"/>
                <w:szCs w:val="20"/>
              </w:rPr>
              <w:t>5,218 (63.2%)</w:t>
            </w:r>
          </w:p>
        </w:tc>
      </w:tr>
    </w:tbl>
    <w:p w14:paraId="79394D1C" w14:textId="77777777" w:rsidR="005203B4" w:rsidRDefault="00000000">
      <w:pPr>
        <w:spacing w:before="200" w:after="300"/>
      </w:pPr>
      <w:r>
        <w:t>This finding immediately shifts strategic focus from increasing overall application volume to optimizing category mix. The Internship bottleneck (21.7% acceptance representing 63% of volume) drives most rejection outcomes.</w:t>
      </w:r>
    </w:p>
    <w:p w14:paraId="26501100" w14:textId="77777777" w:rsidR="005203B4" w:rsidRDefault="00000000">
      <w:pPr>
        <w:pStyle w:val="Heading3"/>
      </w:pPr>
      <w:r>
        <w:t>Pattern 2: Seasonal Acceptance Variance</w:t>
      </w:r>
    </w:p>
    <w:p w14:paraId="285CCA98" w14:textId="77777777" w:rsidR="002F2FC3" w:rsidRPr="002F2FC3" w:rsidRDefault="002F2FC3" w:rsidP="002F2FC3"/>
    <w:p w14:paraId="68A90124" w14:textId="77777777" w:rsidR="005203B4" w:rsidRDefault="00000000">
      <w:pPr>
        <w:spacing w:after="150"/>
      </w:pPr>
      <w:r>
        <w:t>Application volume and acceptance rates follow inverse seasonal patterns, creating capacity mismatches: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203B4" w14:paraId="0AB375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369DC19B" w14:textId="77777777" w:rsidR="005203B4" w:rsidRDefault="00000000">
            <w:r>
              <w:rPr>
                <w:b/>
                <w:bCs/>
                <w:color w:val="FFFFFF"/>
                <w:sz w:val="22"/>
                <w:szCs w:val="22"/>
              </w:rPr>
              <w:t>Season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5D1936FE" w14:textId="77777777" w:rsidR="005203B4" w:rsidRDefault="00000000">
            <w:r>
              <w:rPr>
                <w:b/>
                <w:bCs/>
                <w:color w:val="FFFFFF"/>
                <w:sz w:val="22"/>
                <w:szCs w:val="22"/>
              </w:rPr>
              <w:t>Applications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2B5F8664" w14:textId="77777777" w:rsidR="005203B4" w:rsidRDefault="00000000">
            <w:r>
              <w:rPr>
                <w:b/>
                <w:bCs/>
                <w:color w:val="FFFFFF"/>
                <w:sz w:val="22"/>
                <w:szCs w:val="22"/>
              </w:rPr>
              <w:t>Acceptance Rate</w:t>
            </w:r>
          </w:p>
        </w:tc>
      </w:tr>
      <w:tr w:rsidR="005203B4" w14:paraId="0C4841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21A35129" w14:textId="77777777" w:rsidR="005203B4" w:rsidRDefault="00000000">
            <w:r>
              <w:rPr>
                <w:color w:val="000000"/>
                <w:sz w:val="20"/>
                <w:szCs w:val="20"/>
              </w:rPr>
              <w:t>Winter (Jan-Mar)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116D5782" w14:textId="77777777" w:rsidR="005203B4" w:rsidRDefault="00000000">
            <w:r>
              <w:rPr>
                <w:color w:val="000000"/>
                <w:sz w:val="20"/>
                <w:szCs w:val="20"/>
              </w:rPr>
              <w:t>3,757 (46%)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2AC2BFE3" w14:textId="77777777" w:rsidR="005203B4" w:rsidRDefault="00000000">
            <w:r>
              <w:rPr>
                <w:color w:val="000000"/>
                <w:sz w:val="20"/>
                <w:szCs w:val="20"/>
              </w:rPr>
              <w:t>35.2%</w:t>
            </w:r>
          </w:p>
        </w:tc>
      </w:tr>
      <w:tr w:rsidR="005203B4" w14:paraId="3FD4A3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4AF29F86" w14:textId="77777777" w:rsidR="005203B4" w:rsidRDefault="00000000">
            <w:r>
              <w:rPr>
                <w:color w:val="000000"/>
                <w:sz w:val="20"/>
                <w:szCs w:val="20"/>
              </w:rPr>
              <w:t>Spring (Apr-Jun)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58DEC18D" w14:textId="77777777" w:rsidR="005203B4" w:rsidRDefault="00000000">
            <w:r>
              <w:rPr>
                <w:color w:val="000000"/>
                <w:sz w:val="20"/>
                <w:szCs w:val="20"/>
              </w:rPr>
              <w:t>1,096 (13%)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74B4314F" w14:textId="77777777" w:rsidR="005203B4" w:rsidRDefault="00000000">
            <w:r>
              <w:rPr>
                <w:color w:val="000000"/>
                <w:sz w:val="20"/>
                <w:szCs w:val="20"/>
              </w:rPr>
              <w:t>62.4%</w:t>
            </w:r>
          </w:p>
        </w:tc>
      </w:tr>
      <w:tr w:rsidR="005203B4" w14:paraId="668C5F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5BA0A6AA" w14:textId="77777777" w:rsidR="005203B4" w:rsidRDefault="00000000">
            <w:r>
              <w:rPr>
                <w:color w:val="000000"/>
                <w:sz w:val="20"/>
                <w:szCs w:val="20"/>
              </w:rPr>
              <w:t>Summer (Jul-Sep)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3D26A81E" w14:textId="77777777" w:rsidR="005203B4" w:rsidRDefault="00000000">
            <w:r>
              <w:rPr>
                <w:color w:val="000000"/>
                <w:sz w:val="20"/>
                <w:szCs w:val="20"/>
              </w:rPr>
              <w:t>1,991 (24%)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0F0C5101" w14:textId="77777777" w:rsidR="005203B4" w:rsidRDefault="00000000">
            <w:r>
              <w:rPr>
                <w:color w:val="000000"/>
                <w:sz w:val="20"/>
                <w:szCs w:val="20"/>
              </w:rPr>
              <w:t>61.7%</w:t>
            </w:r>
          </w:p>
        </w:tc>
      </w:tr>
      <w:tr w:rsidR="005203B4" w14:paraId="3C6F6D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32382D3B" w14:textId="77777777" w:rsidR="005203B4" w:rsidRDefault="00000000">
            <w:r>
              <w:rPr>
                <w:color w:val="000000"/>
                <w:sz w:val="20"/>
                <w:szCs w:val="20"/>
              </w:rPr>
              <w:t>Fall (Oct-Dec)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302BFCB6" w14:textId="77777777" w:rsidR="005203B4" w:rsidRDefault="00000000">
            <w:r>
              <w:rPr>
                <w:color w:val="000000"/>
                <w:sz w:val="20"/>
                <w:szCs w:val="20"/>
              </w:rPr>
              <w:t>1,407 (17%)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228AA883" w14:textId="77777777" w:rsidR="005203B4" w:rsidRDefault="00000000">
            <w:r>
              <w:rPr>
                <w:color w:val="000000"/>
                <w:sz w:val="20"/>
                <w:szCs w:val="20"/>
              </w:rPr>
              <w:t>48.5%</w:t>
            </w:r>
          </w:p>
        </w:tc>
      </w:tr>
    </w:tbl>
    <w:p w14:paraId="19CD6A45" w14:textId="77777777" w:rsidR="005203B4" w:rsidRDefault="00000000">
      <w:pPr>
        <w:spacing w:before="200" w:after="300"/>
      </w:pPr>
      <w:r>
        <w:t>The Winter surge (likely driven by New Year resolution effect and January marketing pushes) creates evaluation bottlenecks that depress acceptance rates. Spring/Summer emerge as the quality application periods with optimal conversion efficiency.</w:t>
      </w:r>
    </w:p>
    <w:p w14:paraId="294291FA" w14:textId="77777777" w:rsidR="002F2FC3" w:rsidRDefault="002F2FC3">
      <w:pPr>
        <w:spacing w:before="200" w:after="300"/>
      </w:pPr>
    </w:p>
    <w:p w14:paraId="7872960E" w14:textId="77777777" w:rsidR="005203B4" w:rsidRDefault="00000000">
      <w:pPr>
        <w:pStyle w:val="Heading3"/>
      </w:pPr>
      <w:r>
        <w:t>Pattern 3: Geographic Performance Heterogeneity</w:t>
      </w:r>
    </w:p>
    <w:p w14:paraId="44A06BBA" w14:textId="77777777" w:rsidR="002F2FC3" w:rsidRPr="002F2FC3" w:rsidRDefault="002F2FC3" w:rsidP="002F2FC3"/>
    <w:p w14:paraId="5EF391BE" w14:textId="77777777" w:rsidR="005203B4" w:rsidRDefault="00000000">
      <w:pPr>
        <w:spacing w:after="150"/>
      </w:pPr>
      <w:r>
        <w:t>Among high-volume countries (50+ applications), acceptance rates vary significantly:</w:t>
      </w:r>
    </w:p>
    <w:p w14:paraId="412B0D33" w14:textId="77777777" w:rsidR="005203B4" w:rsidRDefault="00000000">
      <w:pPr>
        <w:pStyle w:val="ListParagraph"/>
        <w:numPr>
          <w:ilvl w:val="0"/>
          <w:numId w:val="3"/>
        </w:numPr>
      </w:pPr>
      <w:r>
        <w:t>Top Performers: Pakistan (71.0%, n=217), Egypt (77.6%, n=49), Kenya (73.7%, n=38) - suggest strong self-selection or strategic targeting</w:t>
      </w:r>
    </w:p>
    <w:p w14:paraId="2BA63BF0" w14:textId="77777777" w:rsidR="005203B4" w:rsidRDefault="00000000">
      <w:pPr>
        <w:pStyle w:val="ListParagraph"/>
        <w:numPr>
          <w:ilvl w:val="0"/>
          <w:numId w:val="3"/>
        </w:numPr>
      </w:pPr>
      <w:r>
        <w:t>Major Markets: United States (39.9%, n=3,775), India (49.1%, n=2,774) - lower rates likely reflect competitive internship concentration</w:t>
      </w:r>
    </w:p>
    <w:p w14:paraId="23563AEF" w14:textId="77777777" w:rsidR="005203B4" w:rsidRDefault="00000000">
      <w:pPr>
        <w:pStyle w:val="ListParagraph"/>
        <w:numPr>
          <w:ilvl w:val="0"/>
          <w:numId w:val="3"/>
        </w:numPr>
      </w:pPr>
      <w:r>
        <w:t>Emerging Markets: Nigeria (56.7%, n=744), Ghana (61.2%, n=260) - high potential for volume scaling with maintained quality</w:t>
      </w:r>
    </w:p>
    <w:p w14:paraId="5FCE8911" w14:textId="7E4BD149" w:rsidR="002F2FC3" w:rsidRPr="002F2FC3" w:rsidRDefault="00000000" w:rsidP="002F2FC3">
      <w:pPr>
        <w:spacing w:before="200" w:after="400"/>
      </w:pPr>
      <w:r>
        <w:t>Geographic patterns correlate more with category preference than inherent applicant quality, validating category-first strategy.</w:t>
      </w:r>
    </w:p>
    <w:p w14:paraId="5F56DCCE" w14:textId="419A8434" w:rsidR="005203B4" w:rsidRDefault="00000000">
      <w:pPr>
        <w:pStyle w:val="Heading2"/>
      </w:pPr>
      <w:r>
        <w:t xml:space="preserve">Week 3: Predictive </w:t>
      </w:r>
      <w:proofErr w:type="spellStart"/>
      <w:r>
        <w:t>Modeling</w:t>
      </w:r>
      <w:proofErr w:type="spellEnd"/>
    </w:p>
    <w:p w14:paraId="28D5138D" w14:textId="77777777" w:rsidR="002F2FC3" w:rsidRPr="002F2FC3" w:rsidRDefault="002F2FC3" w:rsidP="002F2FC3"/>
    <w:p w14:paraId="2261A5F3" w14:textId="77777777" w:rsidR="005203B4" w:rsidRDefault="00000000">
      <w:pPr>
        <w:spacing w:after="200"/>
      </w:pPr>
      <w:r>
        <w:t>Two complementary models were developed using Random Forest algorithms: a regression model forecasting application volume and a classification model predicting individual acceptance probability.</w:t>
      </w:r>
    </w:p>
    <w:p w14:paraId="0B026840" w14:textId="77777777" w:rsidR="002F2FC3" w:rsidRDefault="002F2FC3">
      <w:pPr>
        <w:spacing w:after="200"/>
      </w:pPr>
    </w:p>
    <w:p w14:paraId="17283053" w14:textId="77777777" w:rsidR="005203B4" w:rsidRDefault="00000000">
      <w:pPr>
        <w:pStyle w:val="Heading3"/>
      </w:pPr>
      <w:r>
        <w:t>Volume Forecasting Model Results</w:t>
      </w:r>
    </w:p>
    <w:p w14:paraId="24AA58C0" w14:textId="77777777" w:rsidR="002F2FC3" w:rsidRPr="002F2FC3" w:rsidRDefault="002F2FC3" w:rsidP="002F2FC3"/>
    <w:p w14:paraId="7BD299D8" w14:textId="77777777" w:rsidR="005203B4" w:rsidRDefault="00000000">
      <w:pPr>
        <w:pStyle w:val="ListParagraph"/>
        <w:numPr>
          <w:ilvl w:val="0"/>
          <w:numId w:val="3"/>
        </w:numPr>
      </w:pPr>
      <w:r>
        <w:t>R² Score: 0.85 (model explains 85% of volume variance)</w:t>
      </w:r>
    </w:p>
    <w:p w14:paraId="5964EE6D" w14:textId="77777777" w:rsidR="005203B4" w:rsidRDefault="00000000">
      <w:pPr>
        <w:pStyle w:val="ListParagraph"/>
        <w:numPr>
          <w:ilvl w:val="0"/>
          <w:numId w:val="3"/>
        </w:numPr>
      </w:pPr>
      <w:r>
        <w:t>MAE: 52 applications (±10% typical accuracy)</w:t>
      </w:r>
    </w:p>
    <w:p w14:paraId="101BA84A" w14:textId="77777777" w:rsidR="005203B4" w:rsidRDefault="00000000">
      <w:pPr>
        <w:pStyle w:val="ListParagraph"/>
        <w:numPr>
          <w:ilvl w:val="0"/>
          <w:numId w:val="3"/>
        </w:numPr>
      </w:pPr>
      <w:proofErr w:type="spellStart"/>
      <w:r>
        <w:t>RMSE</w:t>
      </w:r>
      <w:proofErr w:type="spellEnd"/>
      <w:r>
        <w:t>: 98 applications (captures larger deviations)</w:t>
      </w:r>
    </w:p>
    <w:p w14:paraId="1013C673" w14:textId="77777777" w:rsidR="005203B4" w:rsidRDefault="00000000">
      <w:pPr>
        <w:spacing w:before="150" w:after="300"/>
      </w:pPr>
      <w:r>
        <w:t>Model demonstrates systematic underprediction bias (residuals average -120 applications), suggesting recent growth acceleration outpaces historical training data. Recalibration with 2024 weighting recommended.</w:t>
      </w:r>
    </w:p>
    <w:p w14:paraId="61B0D9A8" w14:textId="77777777" w:rsidR="005203B4" w:rsidRDefault="00000000">
      <w:pPr>
        <w:pStyle w:val="Heading3"/>
      </w:pPr>
      <w:r>
        <w:t>Acceptance Classification Model Results</w:t>
      </w:r>
    </w:p>
    <w:p w14:paraId="580136A7" w14:textId="77777777" w:rsidR="002F2FC3" w:rsidRPr="002F2FC3" w:rsidRDefault="002F2FC3" w:rsidP="002F2FC3"/>
    <w:p w14:paraId="589ADE7E" w14:textId="77777777" w:rsidR="005203B4" w:rsidRDefault="00000000">
      <w:pPr>
        <w:pStyle w:val="ListParagraph"/>
        <w:numPr>
          <w:ilvl w:val="0"/>
          <w:numId w:val="3"/>
        </w:numPr>
      </w:pPr>
      <w:r>
        <w:t>Accuracy: 89.7% ((708+773)/1651 correct predictions)</w:t>
      </w:r>
    </w:p>
    <w:p w14:paraId="48566728" w14:textId="77777777" w:rsidR="005203B4" w:rsidRDefault="00000000">
      <w:pPr>
        <w:pStyle w:val="ListParagraph"/>
        <w:numPr>
          <w:ilvl w:val="0"/>
          <w:numId w:val="3"/>
        </w:numPr>
      </w:pPr>
      <w:r>
        <w:t>Precision: 96.3% (of predicted acceptances, 96.3% are correct)</w:t>
      </w:r>
    </w:p>
    <w:p w14:paraId="35C04C23" w14:textId="77777777" w:rsidR="005203B4" w:rsidRDefault="00000000">
      <w:pPr>
        <w:pStyle w:val="ListParagraph"/>
        <w:numPr>
          <w:ilvl w:val="0"/>
          <w:numId w:val="3"/>
        </w:numPr>
      </w:pPr>
      <w:r>
        <w:t>Recall: 84.7% (captures 84.7% of actual acceptances)</w:t>
      </w:r>
    </w:p>
    <w:p w14:paraId="2D35B60E" w14:textId="77777777" w:rsidR="005203B4" w:rsidRDefault="00000000">
      <w:pPr>
        <w:pStyle w:val="ListParagraph"/>
        <w:numPr>
          <w:ilvl w:val="0"/>
          <w:numId w:val="3"/>
        </w:numPr>
      </w:pPr>
      <w:r>
        <w:t>F1-Score: 90.1% (balanced performance metric)</w:t>
      </w:r>
    </w:p>
    <w:p w14:paraId="0095FAAD" w14:textId="77777777" w:rsidR="005203B4" w:rsidRDefault="00000000">
      <w:pPr>
        <w:spacing w:before="150" w:after="400"/>
      </w:pPr>
      <w:r>
        <w:t xml:space="preserve">The high precision (few false positives) makes this model particularly valuable for resource planning - when the model predicts acceptance, that prediction is reliable 96% of the time. The 140 false negatives (missed acceptances) represent acceptable </w:t>
      </w:r>
      <w:proofErr w:type="spellStart"/>
      <w:r>
        <w:t>tradeoff</w:t>
      </w:r>
      <w:proofErr w:type="spellEnd"/>
      <w:r>
        <w:t xml:space="preserve"> given overall 90% performance.</w:t>
      </w:r>
    </w:p>
    <w:p w14:paraId="14BE6C2F" w14:textId="77777777" w:rsidR="005203B4" w:rsidRDefault="00000000">
      <w:r>
        <w:br w:type="page"/>
      </w:r>
    </w:p>
    <w:p w14:paraId="6848F66E" w14:textId="77777777" w:rsidR="005203B4" w:rsidRDefault="00000000">
      <w:pPr>
        <w:pStyle w:val="Heading1"/>
      </w:pPr>
      <w:r>
        <w:t>Predictive Model Overview and Performance</w:t>
      </w:r>
    </w:p>
    <w:p w14:paraId="108B8856" w14:textId="77777777" w:rsidR="002F2FC3" w:rsidRPr="002F2FC3" w:rsidRDefault="002F2FC3" w:rsidP="002F2FC3"/>
    <w:p w14:paraId="5222B782" w14:textId="77777777" w:rsidR="005203B4" w:rsidRDefault="00000000">
      <w:pPr>
        <w:pStyle w:val="Heading2"/>
      </w:pPr>
      <w:r>
        <w:t>Model Architecture and Methodology</w:t>
      </w:r>
    </w:p>
    <w:p w14:paraId="18E6DAC8" w14:textId="77777777" w:rsidR="005203B4" w:rsidRDefault="00000000">
      <w:pPr>
        <w:spacing w:after="200"/>
      </w:pPr>
      <w:r>
        <w:t>Both models employ Random Forest algorithms, selected for their ability to capture non-linear relationships, handle mixed data types, and provide feature importance rankings. The ensemble approach (100 decision trees) reduces overfitting while maintaining interpretability.</w:t>
      </w:r>
    </w:p>
    <w:p w14:paraId="6B63FB5A" w14:textId="77777777" w:rsidR="005203B4" w:rsidRDefault="00000000">
      <w:pPr>
        <w:pStyle w:val="Heading3"/>
      </w:pPr>
      <w:r>
        <w:t>Training Methodology</w:t>
      </w:r>
    </w:p>
    <w:p w14:paraId="75AE9D95" w14:textId="77777777" w:rsidR="005203B4" w:rsidRDefault="00000000">
      <w:pPr>
        <w:pStyle w:val="ListParagraph"/>
        <w:numPr>
          <w:ilvl w:val="0"/>
          <w:numId w:val="3"/>
        </w:numPr>
      </w:pPr>
      <w:r>
        <w:t>Data Split: 80% training (6,601 records) / 20% testing (1,650 records)</w:t>
      </w:r>
    </w:p>
    <w:p w14:paraId="46E060ED" w14:textId="77777777" w:rsidR="005203B4" w:rsidRDefault="00000000">
      <w:pPr>
        <w:pStyle w:val="ListParagraph"/>
        <w:numPr>
          <w:ilvl w:val="0"/>
          <w:numId w:val="3"/>
        </w:numPr>
      </w:pPr>
      <w:r>
        <w:t>Temporal Integrity: Chronological split ensures no future data leakage</w:t>
      </w:r>
    </w:p>
    <w:p w14:paraId="28F3516B" w14:textId="77777777" w:rsidR="005203B4" w:rsidRDefault="00000000">
      <w:pPr>
        <w:pStyle w:val="ListParagraph"/>
        <w:numPr>
          <w:ilvl w:val="0"/>
          <w:numId w:val="3"/>
        </w:numPr>
      </w:pPr>
      <w:r>
        <w:t>Feature Set: 9 predictive variables selected through correlation analysis and domain knowledge</w:t>
      </w:r>
    </w:p>
    <w:p w14:paraId="1987503D" w14:textId="77777777" w:rsidR="005203B4" w:rsidRDefault="00000000">
      <w:pPr>
        <w:pStyle w:val="ListParagraph"/>
        <w:numPr>
          <w:ilvl w:val="0"/>
          <w:numId w:val="3"/>
        </w:numPr>
      </w:pPr>
      <w:r>
        <w:t>Validation: Cross-validation on training set to tune hyperparameters</w:t>
      </w:r>
    </w:p>
    <w:p w14:paraId="771DE9E1" w14:textId="77777777" w:rsidR="005203B4" w:rsidRDefault="005203B4">
      <w:pPr>
        <w:spacing w:after="300"/>
      </w:pPr>
    </w:p>
    <w:p w14:paraId="51A26602" w14:textId="77777777" w:rsidR="005203B4" w:rsidRDefault="00000000">
      <w:pPr>
        <w:pStyle w:val="Heading2"/>
      </w:pPr>
      <w:r>
        <w:t>Visual Performance Analysis</w:t>
      </w:r>
    </w:p>
    <w:p w14:paraId="5E302B93" w14:textId="77777777" w:rsidR="005203B4" w:rsidRDefault="00000000">
      <w:pPr>
        <w:pStyle w:val="Heading3"/>
      </w:pPr>
      <w:r>
        <w:t>Forecast Accuracy Visualization</w:t>
      </w:r>
    </w:p>
    <w:p w14:paraId="79047FDD" w14:textId="77777777" w:rsidR="005203B4" w:rsidRDefault="00000000">
      <w:pPr>
        <w:spacing w:after="200"/>
      </w:pPr>
      <w:r>
        <w:rPr>
          <w:noProof/>
        </w:rPr>
        <w:drawing>
          <wp:inline distT="0" distB="0" distL="0" distR="0" wp14:anchorId="7E412B58" wp14:editId="2528C2CF">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571875"/>
                    </a:xfrm>
                    <a:prstGeom prst="rect">
                      <a:avLst/>
                    </a:prstGeom>
                  </pic:spPr>
                </pic:pic>
              </a:graphicData>
            </a:graphic>
          </wp:inline>
        </w:drawing>
      </w:r>
    </w:p>
    <w:p w14:paraId="3CAA3CD8" w14:textId="77777777" w:rsidR="005203B4" w:rsidRDefault="00000000">
      <w:pPr>
        <w:spacing w:after="400"/>
      </w:pPr>
      <w:r>
        <w:rPr>
          <w:i/>
          <w:iCs/>
          <w:sz w:val="20"/>
          <w:szCs w:val="20"/>
        </w:rPr>
        <w:t>Figure 1: Actual vs Predicted Application Trends. The forecast model (orange line) tracks historical patterns (blue line) with high fidelity through most periods. The recent divergence (Time Index 5-6) reflects model's conservative bias when confronted with unprecedented growth acceleration in late 2023 and early 2024.</w:t>
      </w:r>
    </w:p>
    <w:p w14:paraId="69ECF22C" w14:textId="77777777" w:rsidR="005203B4" w:rsidRDefault="00000000">
      <w:pPr>
        <w:pStyle w:val="Heading3"/>
      </w:pPr>
      <w:r>
        <w:t>Classification Performance: Confusion Matrix</w:t>
      </w:r>
    </w:p>
    <w:p w14:paraId="42137BAB" w14:textId="77777777" w:rsidR="005203B4" w:rsidRDefault="00000000">
      <w:pPr>
        <w:spacing w:after="200"/>
      </w:pPr>
      <w:r>
        <w:rPr>
          <w:noProof/>
        </w:rPr>
        <w:drawing>
          <wp:inline distT="0" distB="0" distL="0" distR="0" wp14:anchorId="27C65226" wp14:editId="7E4A3233">
            <wp:extent cx="3810000" cy="3429000"/>
            <wp:effectExtent l="0" t="0" r="0" b="0"/>
            <wp:docPr id="507502190" name="Picture 50750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3429000"/>
                    </a:xfrm>
                    <a:prstGeom prst="rect">
                      <a:avLst/>
                    </a:prstGeom>
                  </pic:spPr>
                </pic:pic>
              </a:graphicData>
            </a:graphic>
          </wp:inline>
        </w:drawing>
      </w:r>
    </w:p>
    <w:p w14:paraId="007C285D" w14:textId="77777777" w:rsidR="005203B4" w:rsidRDefault="00000000">
      <w:pPr>
        <w:spacing w:after="400"/>
      </w:pPr>
      <w:r>
        <w:rPr>
          <w:i/>
          <w:iCs/>
          <w:sz w:val="20"/>
          <w:szCs w:val="20"/>
        </w:rPr>
        <w:t>Figure 2: Confusion Matrix showing model classification performance. The strong diagonal (708 true negatives, 773 true positives) relative to weak off-diagonal (30 false positives, 140 false negatives) demonstrates reliable prediction capability. The model is particularly strong at avoiding false acceptances (precision 96.3%), critical for capacity planning.</w:t>
      </w:r>
    </w:p>
    <w:p w14:paraId="36253813" w14:textId="5C578AD1" w:rsidR="005203B4" w:rsidRDefault="005203B4"/>
    <w:p w14:paraId="4CE504E6" w14:textId="77777777" w:rsidR="005203B4" w:rsidRDefault="00000000">
      <w:pPr>
        <w:pStyle w:val="Heading1"/>
      </w:pPr>
      <w:r>
        <w:t>Key Variables Influencing Application Trends</w:t>
      </w:r>
    </w:p>
    <w:p w14:paraId="231508C5" w14:textId="77777777" w:rsidR="002F2FC3" w:rsidRPr="002F2FC3" w:rsidRDefault="002F2FC3" w:rsidP="002F2FC3"/>
    <w:p w14:paraId="08F9C240" w14:textId="77777777" w:rsidR="005203B4" w:rsidRDefault="00000000">
      <w:pPr>
        <w:spacing w:after="300"/>
      </w:pPr>
      <w:r>
        <w:t>Feature importance analysis reveals a clear hierarchy of predictive power, with one variable dramatically outweighing all others:</w:t>
      </w:r>
    </w:p>
    <w:p w14:paraId="2C242DD3" w14:textId="77777777" w:rsidR="002F2FC3" w:rsidRDefault="002F2FC3">
      <w:pPr>
        <w:spacing w:after="300"/>
      </w:pPr>
    </w:p>
    <w:p w14:paraId="029E18A2" w14:textId="77777777" w:rsidR="002F2FC3" w:rsidRDefault="002F2FC3">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5203B4" w14:paraId="08FED62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709DCACB" w14:textId="77777777" w:rsidR="005203B4" w:rsidRDefault="00000000">
            <w:r>
              <w:rPr>
                <w:b/>
                <w:bCs/>
                <w:color w:val="FFFFFF"/>
                <w:sz w:val="22"/>
                <w:szCs w:val="22"/>
              </w:rPr>
              <w:t>Feature</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7079BAC4" w14:textId="77777777" w:rsidR="005203B4" w:rsidRDefault="00000000">
            <w:r>
              <w:rPr>
                <w:b/>
                <w:bCs/>
                <w:color w:val="FFFFFF"/>
                <w:sz w:val="22"/>
                <w:szCs w:val="22"/>
              </w:rPr>
              <w:t>Importance Score &amp; Interpretation</w:t>
            </w:r>
          </w:p>
        </w:tc>
      </w:tr>
      <w:tr w:rsidR="005203B4" w14:paraId="463D92B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3369A39B" w14:textId="77777777" w:rsidR="005203B4" w:rsidRDefault="00000000">
            <w:r>
              <w:rPr>
                <w:color w:val="000000"/>
                <w:sz w:val="20"/>
                <w:szCs w:val="20"/>
              </w:rPr>
              <w:t>1. Opportunity Category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76B62F32" w14:textId="77777777" w:rsidR="005203B4" w:rsidRDefault="00000000">
            <w:r>
              <w:rPr>
                <w:color w:val="000000"/>
                <w:sz w:val="20"/>
                <w:szCs w:val="20"/>
              </w:rPr>
              <w:t>0.52 (52% of model power) - Dominates all prediction decisions. Category selection is 3× more important than next factor.</w:t>
            </w:r>
          </w:p>
        </w:tc>
      </w:tr>
      <w:tr w:rsidR="005203B4" w14:paraId="31108FF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43325291" w14:textId="77777777" w:rsidR="005203B4" w:rsidRDefault="00000000">
            <w:r>
              <w:rPr>
                <w:color w:val="000000"/>
                <w:sz w:val="20"/>
                <w:szCs w:val="20"/>
              </w:rPr>
              <w:t xml:space="preserve">2. </w:t>
            </w:r>
            <w:proofErr w:type="spellStart"/>
            <w:r>
              <w:rPr>
                <w:color w:val="000000"/>
                <w:sz w:val="20"/>
                <w:szCs w:val="20"/>
              </w:rPr>
              <w:t>Opportunity_Popularity</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7C966794" w14:textId="77777777" w:rsidR="005203B4" w:rsidRDefault="00000000">
            <w:r>
              <w:rPr>
                <w:color w:val="000000"/>
                <w:sz w:val="20"/>
                <w:szCs w:val="20"/>
              </w:rPr>
              <w:t>0.18 (18%) - Application count per opportunity captures demand signals and capacity constraints.</w:t>
            </w:r>
          </w:p>
        </w:tc>
      </w:tr>
      <w:tr w:rsidR="005203B4" w14:paraId="59EACA0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6370435C" w14:textId="77777777" w:rsidR="005203B4" w:rsidRDefault="00000000">
            <w:r>
              <w:rPr>
                <w:color w:val="000000"/>
                <w:sz w:val="20"/>
                <w:szCs w:val="20"/>
              </w:rPr>
              <w:t xml:space="preserve">3. </w:t>
            </w:r>
            <w:proofErr w:type="spellStart"/>
            <w:r>
              <w:rPr>
                <w:color w:val="000000"/>
                <w:sz w:val="20"/>
                <w:szCs w:val="20"/>
              </w:rPr>
              <w:t>Lead_Time_Days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64D4FC95" w14:textId="77777777" w:rsidR="005203B4" w:rsidRDefault="00000000">
            <w:r>
              <w:rPr>
                <w:color w:val="000000"/>
                <w:sz w:val="20"/>
                <w:szCs w:val="20"/>
              </w:rPr>
              <w:t>0.12 (12%) - Days from signup to application. Shorter lead times correlate with higher acceptance (urgency signal).</w:t>
            </w:r>
          </w:p>
        </w:tc>
      </w:tr>
      <w:tr w:rsidR="005203B4" w14:paraId="223FA8D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1F545518" w14:textId="77777777" w:rsidR="005203B4" w:rsidRDefault="00000000">
            <w:r>
              <w:rPr>
                <w:color w:val="000000"/>
                <w:sz w:val="20"/>
                <w:szCs w:val="20"/>
              </w:rPr>
              <w:t xml:space="preserve">4. </w:t>
            </w:r>
            <w:proofErr w:type="spellStart"/>
            <w:r>
              <w:rPr>
                <w:color w:val="000000"/>
                <w:sz w:val="20"/>
                <w:szCs w:val="20"/>
              </w:rPr>
              <w:t>Days_Until_Opportunity_Start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01512D33" w14:textId="77777777" w:rsidR="005203B4" w:rsidRDefault="00000000">
            <w:r>
              <w:rPr>
                <w:color w:val="000000"/>
                <w:sz w:val="20"/>
                <w:szCs w:val="20"/>
              </w:rPr>
              <w:t xml:space="preserve">0.08 (8%) - Planning horizon. Applications with </w:t>
            </w:r>
            <w:proofErr w:type="gramStart"/>
            <w:r>
              <w:rPr>
                <w:color w:val="000000"/>
                <w:sz w:val="20"/>
                <w:szCs w:val="20"/>
              </w:rPr>
              <w:t>30-60 day</w:t>
            </w:r>
            <w:proofErr w:type="gramEnd"/>
            <w:r>
              <w:rPr>
                <w:color w:val="000000"/>
                <w:sz w:val="20"/>
                <w:szCs w:val="20"/>
              </w:rPr>
              <w:t xml:space="preserve"> windows show optimal acceptance rates.</w:t>
            </w:r>
          </w:p>
        </w:tc>
      </w:tr>
      <w:tr w:rsidR="005203B4" w14:paraId="4DC28EB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7F3CF321" w14:textId="77777777" w:rsidR="005203B4" w:rsidRDefault="00000000">
            <w:r>
              <w:rPr>
                <w:color w:val="000000"/>
                <w:sz w:val="20"/>
                <w:szCs w:val="20"/>
              </w:rPr>
              <w:t xml:space="preserve">5. </w:t>
            </w:r>
            <w:proofErr w:type="spellStart"/>
            <w:r>
              <w:rPr>
                <w:color w:val="000000"/>
                <w:sz w:val="20"/>
                <w:szCs w:val="20"/>
              </w:rPr>
              <w:t>Country_Group</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60483914" w14:textId="77777777" w:rsidR="005203B4" w:rsidRDefault="00000000">
            <w:r>
              <w:rPr>
                <w:color w:val="000000"/>
                <w:sz w:val="20"/>
                <w:szCs w:val="20"/>
              </w:rPr>
              <w:t>0.04 (4%) - Geographic origin. Effect is mediated through category preference rather than direct influence.</w:t>
            </w:r>
          </w:p>
        </w:tc>
      </w:tr>
      <w:tr w:rsidR="005203B4" w14:paraId="58A29B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3BE97272" w14:textId="77777777" w:rsidR="005203B4" w:rsidRDefault="00000000">
            <w:r>
              <w:rPr>
                <w:color w:val="000000"/>
                <w:sz w:val="20"/>
                <w:szCs w:val="20"/>
              </w:rPr>
              <w:t xml:space="preserve">6-9. </w:t>
            </w:r>
            <w:proofErr w:type="spellStart"/>
            <w:r>
              <w:rPr>
                <w:color w:val="000000"/>
                <w:sz w:val="20"/>
                <w:szCs w:val="20"/>
              </w:rPr>
              <w:t>Apply_Season</w:t>
            </w:r>
            <w:proofErr w:type="spellEnd"/>
            <w:r>
              <w:rPr>
                <w:color w:val="000000"/>
                <w:sz w:val="20"/>
                <w:szCs w:val="20"/>
              </w:rPr>
              <w:t>, Age, Duration, Gender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50" w:type="dxa"/>
              <w:bottom w:w="120" w:type="dxa"/>
              <w:right w:w="150" w:type="dxa"/>
            </w:tcMar>
          </w:tcPr>
          <w:p w14:paraId="05D85E34" w14:textId="77777777" w:rsidR="005203B4" w:rsidRDefault="00000000">
            <w:r>
              <w:rPr>
                <w:color w:val="000000"/>
                <w:sz w:val="20"/>
                <w:szCs w:val="20"/>
              </w:rPr>
              <w:t>Combined 0.06 (6%) - Collectively minor. Age and gender show no meaningful predictive value.</w:t>
            </w:r>
          </w:p>
        </w:tc>
      </w:tr>
    </w:tbl>
    <w:p w14:paraId="713DEAB1" w14:textId="77777777" w:rsidR="005203B4" w:rsidRDefault="005203B4">
      <w:pPr>
        <w:spacing w:after="300"/>
      </w:pPr>
    </w:p>
    <w:p w14:paraId="6F616F40" w14:textId="77777777" w:rsidR="005203B4" w:rsidRDefault="00000000">
      <w:pPr>
        <w:pStyle w:val="Heading2"/>
      </w:pPr>
      <w:r>
        <w:t>Strategic Implications of Feature Hierarchy</w:t>
      </w:r>
    </w:p>
    <w:p w14:paraId="07F5DA46" w14:textId="77777777" w:rsidR="005203B4" w:rsidRDefault="00000000">
      <w:pPr>
        <w:spacing w:after="200"/>
      </w:pPr>
      <w:r>
        <w:t>The 52% importance of Opportunity Category fundamentally shapes strategic priorities:</w:t>
      </w:r>
    </w:p>
    <w:p w14:paraId="7DC351D1" w14:textId="77777777" w:rsidR="005203B4" w:rsidRDefault="00000000">
      <w:pPr>
        <w:pStyle w:val="ListParagraph"/>
        <w:numPr>
          <w:ilvl w:val="0"/>
          <w:numId w:val="2"/>
        </w:numPr>
      </w:pPr>
      <w:r>
        <w:t>Marketing Segmentation Priority: Category-specific campaigns will yield 3× ROI compared to demographic targeting. Reallocate budget from broad awareness to category-focused messaging.</w:t>
      </w:r>
    </w:p>
    <w:p w14:paraId="4926CD70" w14:textId="77777777" w:rsidR="005203B4" w:rsidRDefault="00000000">
      <w:pPr>
        <w:pStyle w:val="ListParagraph"/>
        <w:numPr>
          <w:ilvl w:val="0"/>
          <w:numId w:val="2"/>
        </w:numPr>
      </w:pPr>
      <w:r>
        <w:t>Capacity Planning Focus: Instead of uniform expansion, strategically increase Internship slots (current bottleneck) or shift marketing toward high-acceptance categories (Course, Event, Engagement).</w:t>
      </w:r>
    </w:p>
    <w:p w14:paraId="70A42E1B" w14:textId="77777777" w:rsidR="005203B4" w:rsidRDefault="00000000">
      <w:pPr>
        <w:pStyle w:val="ListParagraph"/>
        <w:numPr>
          <w:ilvl w:val="0"/>
          <w:numId w:val="2"/>
        </w:numPr>
      </w:pPr>
      <w:r>
        <w:t>Applicant Guidance: Pre-application category selection quiz could steer applicants toward opportunities matching their acceptance probability profile, improving satisfaction.</w:t>
      </w:r>
    </w:p>
    <w:p w14:paraId="6589BBA4" w14:textId="77777777" w:rsidR="005203B4" w:rsidRDefault="00000000">
      <w:pPr>
        <w:pStyle w:val="ListParagraph"/>
        <w:numPr>
          <w:ilvl w:val="0"/>
          <w:numId w:val="2"/>
        </w:numPr>
      </w:pPr>
      <w:r>
        <w:t xml:space="preserve">Popularity Monitoring: The 18% importance of </w:t>
      </w:r>
      <w:proofErr w:type="spellStart"/>
      <w:r>
        <w:t>Opportunity_Popularity</w:t>
      </w:r>
      <w:proofErr w:type="spellEnd"/>
      <w:r>
        <w:t xml:space="preserve"> suggests real-time tracking of trending opportunities enables proactive resource allocation to high-demand programs.</w:t>
      </w:r>
    </w:p>
    <w:p w14:paraId="6FF069E7" w14:textId="77777777" w:rsidR="005203B4" w:rsidRDefault="00000000">
      <w:pPr>
        <w:spacing w:before="200" w:after="400"/>
      </w:pPr>
      <w:r>
        <w:t>Notably, demographic features (Age, Gender) show minimal predictive power, validating the program's equitable access model while focusing optimization efforts on structural factors (category, timing, popularity) rather than applicant characteristics.</w:t>
      </w:r>
    </w:p>
    <w:p w14:paraId="751BAF43" w14:textId="0623B541" w:rsidR="005203B4" w:rsidRDefault="005203B4"/>
    <w:p w14:paraId="421F905B" w14:textId="77777777" w:rsidR="005203B4" w:rsidRDefault="00000000">
      <w:pPr>
        <w:pStyle w:val="Heading1"/>
      </w:pPr>
      <w:r>
        <w:t>Strategic Recommendations for Future Planning</w:t>
      </w:r>
    </w:p>
    <w:p w14:paraId="4FF1C601" w14:textId="77777777" w:rsidR="005203B4" w:rsidRDefault="00000000">
      <w:pPr>
        <w:spacing w:after="400"/>
      </w:pPr>
      <w:r>
        <w:t>Based on the analytical evidence from Weeks 1-3, we propose six high-impact interventions that can be implemented within the next quarter. Each recommendation includes expected outcomes, resource requirements, and success metrics.</w:t>
      </w:r>
    </w:p>
    <w:p w14:paraId="0945F121" w14:textId="77777777" w:rsidR="005203B4" w:rsidRDefault="00000000">
      <w:pPr>
        <w:pStyle w:val="Heading2"/>
      </w:pPr>
      <w:r>
        <w:t>Recommendation 1: Implement Category-Specific Marketing Funnels</w:t>
      </w:r>
    </w:p>
    <w:p w14:paraId="035C00DF" w14:textId="77777777" w:rsidR="002F2FC3" w:rsidRPr="002F2FC3" w:rsidRDefault="002F2FC3" w:rsidP="002F2FC3"/>
    <w:p w14:paraId="5B402D84" w14:textId="77777777" w:rsidR="005203B4" w:rsidRDefault="00000000">
      <w:pPr>
        <w:pStyle w:val="Heading3"/>
      </w:pPr>
      <w:r>
        <w:t>Rationale</w:t>
      </w:r>
    </w:p>
    <w:p w14:paraId="481F1970" w14:textId="77777777" w:rsidR="005203B4" w:rsidRDefault="00000000">
      <w:pPr>
        <w:spacing w:after="200"/>
      </w:pPr>
      <w:r>
        <w:t>Given that Opportunity Category accounts for 52% of prediction power and shows 75-point acceptance variance, a one-size-fits-all marketing approach misallocates resources and sets inappropriate applicant expectations.</w:t>
      </w:r>
    </w:p>
    <w:p w14:paraId="6C1FBA85" w14:textId="77777777" w:rsidR="005203B4" w:rsidRDefault="00000000">
      <w:pPr>
        <w:pStyle w:val="Heading3"/>
      </w:pPr>
      <w:r>
        <w:t>Implementation</w:t>
      </w:r>
    </w:p>
    <w:p w14:paraId="1843828B" w14:textId="77777777" w:rsidR="005203B4" w:rsidRDefault="00000000">
      <w:pPr>
        <w:pStyle w:val="ListParagraph"/>
        <w:numPr>
          <w:ilvl w:val="0"/>
          <w:numId w:val="3"/>
        </w:numPr>
      </w:pPr>
      <w:r>
        <w:t>Immediate (Weeks 1-4): Develop three distinct landing pages:    - High-Volume/High-Access (Course, Event, Engagement): Emphasize accessibility, immediate value, simplified application    - Selective/Competitive (Internship, Competition): Position as prestigious opportunities, include qualification screening, manage expectations upfront</w:t>
      </w:r>
    </w:p>
    <w:p w14:paraId="70F3DCA5" w14:textId="77777777" w:rsidR="005203B4" w:rsidRDefault="00000000">
      <w:pPr>
        <w:pStyle w:val="ListParagraph"/>
        <w:numPr>
          <w:ilvl w:val="0"/>
          <w:numId w:val="3"/>
        </w:numPr>
      </w:pPr>
      <w:r>
        <w:t>Short-Term (Weeks 5-12): Redirect paid advertising spend:    - Allocate 70% of budget to Course/Event/Engagement promotion (currently 31% of applications, 92%+ acceptance)    - Maintain 30% for Internship targeting to highly qualified segments only</w:t>
      </w:r>
    </w:p>
    <w:p w14:paraId="56649116" w14:textId="77777777" w:rsidR="005203B4" w:rsidRDefault="00000000">
      <w:pPr>
        <w:pStyle w:val="ListParagraph"/>
        <w:numPr>
          <w:ilvl w:val="0"/>
          <w:numId w:val="3"/>
        </w:numPr>
      </w:pPr>
      <w:r>
        <w:t>Medium-Term (Months 4-6): Implement pre-application recommendation engine:    - Quiz asking about interests, availability, experience level    - AI-powered category suggestions aligned with acceptance probability</w:t>
      </w:r>
    </w:p>
    <w:p w14:paraId="6B1EEF9A" w14:textId="77777777" w:rsidR="005203B4" w:rsidRDefault="00000000">
      <w:pPr>
        <w:pStyle w:val="Heading3"/>
      </w:pPr>
      <w:r>
        <w:t>Expected Outcomes</w:t>
      </w:r>
    </w:p>
    <w:p w14:paraId="1CDAD564" w14:textId="77777777" w:rsidR="005203B4" w:rsidRDefault="00000000">
      <w:pPr>
        <w:pStyle w:val="ListParagraph"/>
        <w:numPr>
          <w:ilvl w:val="0"/>
          <w:numId w:val="3"/>
        </w:numPr>
      </w:pPr>
      <w:r>
        <w:t>Overall acceptance rate improvement: 47.5% → 55% (by shifting 15-20% of Internship applicants to Courses)</w:t>
      </w:r>
    </w:p>
    <w:p w14:paraId="12392D48" w14:textId="77777777" w:rsidR="005203B4" w:rsidRDefault="00000000">
      <w:pPr>
        <w:pStyle w:val="ListParagraph"/>
        <w:numPr>
          <w:ilvl w:val="0"/>
          <w:numId w:val="3"/>
        </w:numPr>
      </w:pPr>
      <w:r>
        <w:t>Applicant satisfaction increase: Reduced rejection disappointment through expectation management</w:t>
      </w:r>
    </w:p>
    <w:p w14:paraId="06420312" w14:textId="0F78B879" w:rsidR="005203B4" w:rsidRDefault="00000000" w:rsidP="002F2FC3">
      <w:pPr>
        <w:pStyle w:val="ListParagraph"/>
        <w:numPr>
          <w:ilvl w:val="0"/>
          <w:numId w:val="3"/>
        </w:numPr>
      </w:pPr>
      <w:r>
        <w:t>Marketing ROI: $1 spent on Course/Event generates 4× more acceptances than equivalent Internship spend</w:t>
      </w:r>
    </w:p>
    <w:p w14:paraId="2D7C8CAD" w14:textId="77777777" w:rsidR="005203B4" w:rsidRDefault="00000000">
      <w:pPr>
        <w:pStyle w:val="Heading2"/>
      </w:pPr>
      <w:r>
        <w:t>Recommendation 2: Seasonal Volume Smoothing Strategy</w:t>
      </w:r>
    </w:p>
    <w:p w14:paraId="1E2D9919" w14:textId="77777777" w:rsidR="005203B4" w:rsidRDefault="00000000">
      <w:pPr>
        <w:pStyle w:val="Heading3"/>
      </w:pPr>
      <w:r>
        <w:t>Rationale</w:t>
      </w:r>
    </w:p>
    <w:p w14:paraId="56571C29" w14:textId="77777777" w:rsidR="005203B4" w:rsidRDefault="00000000">
      <w:pPr>
        <w:spacing w:after="200"/>
      </w:pPr>
      <w:r>
        <w:t>Winter's 3,757 applications (46% of annual volume) create evaluation bottlenecks reducing acceptance to 35%, while Spring/Summer's combined 3,087 applications (37%) achieve 61-62% acceptance with excess capacity.</w:t>
      </w:r>
    </w:p>
    <w:p w14:paraId="66E0470E" w14:textId="77777777" w:rsidR="005203B4" w:rsidRDefault="00000000">
      <w:pPr>
        <w:pStyle w:val="Heading3"/>
      </w:pPr>
      <w:r>
        <w:t>Implementation</w:t>
      </w:r>
    </w:p>
    <w:p w14:paraId="4512CF15" w14:textId="77777777" w:rsidR="005203B4" w:rsidRDefault="00000000">
      <w:pPr>
        <w:pStyle w:val="ListParagraph"/>
        <w:numPr>
          <w:ilvl w:val="0"/>
          <w:numId w:val="3"/>
        </w:numPr>
      </w:pPr>
      <w:r>
        <w:t>Immediate: Pause January marketing campaigns    - Redirect Q1 marketing budget (typically front-loaded) to Q2/Q3    - Expected result: Reduce January surge by 20-25% (290-365 applications)</w:t>
      </w:r>
    </w:p>
    <w:p w14:paraId="7D9F4127" w14:textId="77777777" w:rsidR="005203B4" w:rsidRDefault="00000000">
      <w:pPr>
        <w:pStyle w:val="ListParagraph"/>
        <w:numPr>
          <w:ilvl w:val="0"/>
          <w:numId w:val="3"/>
        </w:numPr>
      </w:pPr>
      <w:r>
        <w:t>Short-Term: Launch 'Spring Opportunity Season' promotional campaign    - April-June focused marketing emphasizing optimal timing    - Highlight faster processing and higher acceptance during these months    - Target: Increase Spring volume from 1,096 to 1,400 (+28%)</w:t>
      </w:r>
    </w:p>
    <w:p w14:paraId="61935DEA" w14:textId="77777777" w:rsidR="005203B4" w:rsidRDefault="00000000">
      <w:pPr>
        <w:pStyle w:val="ListParagraph"/>
        <w:numPr>
          <w:ilvl w:val="0"/>
          <w:numId w:val="3"/>
        </w:numPr>
      </w:pPr>
      <w:r>
        <w:t>Medium-Term: Implement application deadline adjustments    - Extend Fall opportunity application windows into Spring    - Create rolling admissions for Course/Event categories to distribute load</w:t>
      </w:r>
    </w:p>
    <w:p w14:paraId="6D86D7CF" w14:textId="77777777" w:rsidR="005203B4" w:rsidRDefault="00000000">
      <w:pPr>
        <w:pStyle w:val="Heading3"/>
      </w:pPr>
      <w:r>
        <w:t>Expected Outcomes</w:t>
      </w:r>
    </w:p>
    <w:p w14:paraId="69121F6D" w14:textId="77777777" w:rsidR="005203B4" w:rsidRDefault="00000000">
      <w:pPr>
        <w:pStyle w:val="ListParagraph"/>
        <w:numPr>
          <w:ilvl w:val="0"/>
          <w:numId w:val="3"/>
        </w:numPr>
      </w:pPr>
      <w:r>
        <w:t>Acceptance rate improvement: Winter 35% → 42%, Spring 62% → 58% (balanced distribution)</w:t>
      </w:r>
    </w:p>
    <w:p w14:paraId="774C82EB" w14:textId="77777777" w:rsidR="005203B4" w:rsidRDefault="00000000">
      <w:pPr>
        <w:pStyle w:val="ListParagraph"/>
        <w:numPr>
          <w:ilvl w:val="0"/>
          <w:numId w:val="3"/>
        </w:numPr>
      </w:pPr>
      <w:r>
        <w:t>Processing efficiency: Reduced evaluation backlog, faster applicant response times</w:t>
      </w:r>
    </w:p>
    <w:p w14:paraId="4D4767E8" w14:textId="77777777" w:rsidR="005203B4" w:rsidRDefault="00000000">
      <w:pPr>
        <w:pStyle w:val="ListParagraph"/>
        <w:numPr>
          <w:ilvl w:val="0"/>
          <w:numId w:val="3"/>
        </w:numPr>
      </w:pPr>
      <w:r>
        <w:t>Capacity utilization: Better alignment of application demand with review resources</w:t>
      </w:r>
    </w:p>
    <w:p w14:paraId="476A16E8" w14:textId="77777777" w:rsidR="005203B4" w:rsidRDefault="005203B4">
      <w:pPr>
        <w:spacing w:after="400"/>
      </w:pPr>
    </w:p>
    <w:p w14:paraId="4BFDA423" w14:textId="77777777" w:rsidR="005203B4" w:rsidRDefault="00000000">
      <w:pPr>
        <w:pStyle w:val="Heading2"/>
      </w:pPr>
      <w:r>
        <w:t>Recommendation 3: Internship Bottleneck Resolution</w:t>
      </w:r>
    </w:p>
    <w:p w14:paraId="383E276D" w14:textId="77777777" w:rsidR="002F2FC3" w:rsidRPr="002F2FC3" w:rsidRDefault="002F2FC3" w:rsidP="002F2FC3"/>
    <w:p w14:paraId="5C8EB518" w14:textId="77777777" w:rsidR="005203B4" w:rsidRDefault="00000000">
      <w:pPr>
        <w:pStyle w:val="Heading3"/>
      </w:pPr>
      <w:r>
        <w:t>Rationale</w:t>
      </w:r>
    </w:p>
    <w:p w14:paraId="5060AA2F" w14:textId="77777777" w:rsidR="002F2FC3" w:rsidRPr="002F2FC3" w:rsidRDefault="002F2FC3" w:rsidP="002F2FC3"/>
    <w:p w14:paraId="69C64683" w14:textId="77777777" w:rsidR="005203B4" w:rsidRDefault="00000000">
      <w:pPr>
        <w:spacing w:after="200"/>
      </w:pPr>
      <w:r>
        <w:t>Internships represent 63% of application volume but only 21.7% acceptance, generating 61% of all rejections (3,361 of 5,518 rejected applications). This bottleneck requires immediate investigation to determine whether it reflects intentional selectivity or correctable capacity constraints.</w:t>
      </w:r>
    </w:p>
    <w:p w14:paraId="768C05E6" w14:textId="77777777" w:rsidR="005203B4" w:rsidRDefault="00000000">
      <w:pPr>
        <w:pStyle w:val="Heading3"/>
      </w:pPr>
      <w:r>
        <w:t>Diagnostic Phase (Weeks 1-4)</w:t>
      </w:r>
    </w:p>
    <w:p w14:paraId="74CB417C" w14:textId="77777777" w:rsidR="005203B4" w:rsidRDefault="00000000">
      <w:pPr>
        <w:pStyle w:val="ListParagraph"/>
        <w:numPr>
          <w:ilvl w:val="0"/>
          <w:numId w:val="3"/>
        </w:numPr>
      </w:pPr>
      <w:r>
        <w:t>Conduct root cause analysis with program administrators:    - If capacity-limited: Identify expansion opportunities (new partner companies, virtual internships, micro-internships)    - If quality-driven: Validate whether current rejection criteria appropriately filter for success factors</w:t>
      </w:r>
    </w:p>
    <w:p w14:paraId="349C38D8" w14:textId="77777777" w:rsidR="005203B4" w:rsidRDefault="00000000">
      <w:pPr>
        <w:pStyle w:val="ListParagraph"/>
        <w:numPr>
          <w:ilvl w:val="0"/>
          <w:numId w:val="3"/>
        </w:numPr>
      </w:pPr>
      <w:r>
        <w:t>Survey rejected internship applicants:    - Understand experience quality perception    - Identify common disqualifying factors    - Measure intent to reapply</w:t>
      </w:r>
    </w:p>
    <w:p w14:paraId="683D879D" w14:textId="77777777" w:rsidR="005203B4" w:rsidRDefault="00000000">
      <w:pPr>
        <w:pStyle w:val="Heading3"/>
      </w:pPr>
      <w:r>
        <w:t>Implementation Paths Based on Diagnosis</w:t>
      </w:r>
    </w:p>
    <w:p w14:paraId="15503B5B" w14:textId="77777777" w:rsidR="002F2FC3" w:rsidRPr="002F2FC3" w:rsidRDefault="002F2FC3" w:rsidP="002F2FC3"/>
    <w:p w14:paraId="1B888760" w14:textId="77777777" w:rsidR="005203B4" w:rsidRDefault="00000000">
      <w:pPr>
        <w:spacing w:after="100"/>
      </w:pPr>
      <w:r>
        <w:rPr>
          <w:b/>
          <w:bCs/>
        </w:rPr>
        <w:t>Path A - If Capacity-Constrained:</w:t>
      </w:r>
    </w:p>
    <w:p w14:paraId="5FBE3295" w14:textId="77777777" w:rsidR="005203B4" w:rsidRDefault="00000000">
      <w:pPr>
        <w:pStyle w:val="ListParagraph"/>
        <w:numPr>
          <w:ilvl w:val="0"/>
          <w:numId w:val="3"/>
        </w:numPr>
      </w:pPr>
      <w:r>
        <w:t>Expand internship slots by 25% (1,133 → 1,416 acceptances) through:    - Virtual/remote internship partnerships    - Micro-internship programs (shorter duration, lower commitment)    - Rolling cohorts vs annual batches</w:t>
      </w:r>
    </w:p>
    <w:p w14:paraId="1EA76DA0" w14:textId="77777777" w:rsidR="005203B4" w:rsidRDefault="00000000">
      <w:pPr>
        <w:spacing w:before="200" w:after="100"/>
      </w:pPr>
      <w:r>
        <w:rPr>
          <w:b/>
          <w:bCs/>
        </w:rPr>
        <w:t>Path B - If Appropriately Selective:</w:t>
      </w:r>
    </w:p>
    <w:p w14:paraId="18255165" w14:textId="77777777" w:rsidR="005203B4" w:rsidRDefault="00000000">
      <w:pPr>
        <w:pStyle w:val="ListParagraph"/>
        <w:numPr>
          <w:ilvl w:val="0"/>
          <w:numId w:val="3"/>
        </w:numPr>
      </w:pPr>
      <w:r>
        <w:t>Implement pre-qualification screening:    - Self-assessment quiz before application    - Clear prerequisite communication (GPA, experience, skills)    - Redirect unqualified applicants to Course/Event pathways as preparation</w:t>
      </w:r>
    </w:p>
    <w:p w14:paraId="6AB040FE" w14:textId="77777777" w:rsidR="005203B4" w:rsidRDefault="00000000">
      <w:pPr>
        <w:pStyle w:val="Heading3"/>
      </w:pPr>
      <w:r>
        <w:t>Expected Outcomes</w:t>
      </w:r>
    </w:p>
    <w:p w14:paraId="06BA3E0C" w14:textId="77777777" w:rsidR="005203B4" w:rsidRDefault="00000000">
      <w:pPr>
        <w:pStyle w:val="ListParagraph"/>
        <w:numPr>
          <w:ilvl w:val="0"/>
          <w:numId w:val="3"/>
        </w:numPr>
      </w:pPr>
      <w:r>
        <w:t>Path A: Internship acceptance 21.7% → 27% (1,400+ placements), overall program acceptance 47.5% → 52%</w:t>
      </w:r>
    </w:p>
    <w:p w14:paraId="31EB09CF" w14:textId="77777777" w:rsidR="005203B4" w:rsidRDefault="00000000">
      <w:pPr>
        <w:pStyle w:val="ListParagraph"/>
        <w:numPr>
          <w:ilvl w:val="0"/>
          <w:numId w:val="3"/>
        </w:numPr>
      </w:pPr>
      <w:r>
        <w:t>Path B: Reduced low-quality internship applications by 30%, improved applicant-opportunity fit</w:t>
      </w:r>
    </w:p>
    <w:p w14:paraId="58829043" w14:textId="77777777" w:rsidR="002F2FC3" w:rsidRDefault="002F2FC3" w:rsidP="002F2FC3">
      <w:pPr>
        <w:pStyle w:val="ListParagraph"/>
      </w:pPr>
    </w:p>
    <w:p w14:paraId="67E90C1A" w14:textId="774CACAC" w:rsidR="005203B4" w:rsidRDefault="00000000">
      <w:pPr>
        <w:pStyle w:val="Heading1"/>
      </w:pPr>
      <w:r>
        <w:t>Conclusion</w:t>
      </w:r>
    </w:p>
    <w:p w14:paraId="1834AE0D" w14:textId="77777777" w:rsidR="002F2FC3" w:rsidRPr="002F2FC3" w:rsidRDefault="002F2FC3" w:rsidP="002F2FC3"/>
    <w:p w14:paraId="72822386" w14:textId="77777777" w:rsidR="005203B4" w:rsidRDefault="00000000">
      <w:pPr>
        <w:spacing w:after="200"/>
      </w:pPr>
      <w:r>
        <w:t>This four-week analytical journey has transformed 8,251 raw application records into strategic intelligence that directly informs program optimization. The predictive models developed achieve 90% accuracy, providing reliable forecasting capabilities for capacity planning and resource allocation. More importantly, the feature importance analysis reveals clear action priorities: category-specific strategies, seasonal smoothing, and internship bottleneck resolution.</w:t>
      </w:r>
    </w:p>
    <w:p w14:paraId="33848723" w14:textId="2A0A0627" w:rsidR="005203B4" w:rsidRDefault="005203B4">
      <w:pPr>
        <w:spacing w:before="600"/>
        <w:jc w:val="center"/>
      </w:pPr>
    </w:p>
    <w:sectPr w:rsidR="005203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8523669"/>
    <w:multiLevelType w:val="hybridMultilevel"/>
    <w:tmpl w:val="0EE0FE36"/>
    <w:lvl w:ilvl="0" w:tplc="E85A70D4">
      <w:start w:val="1"/>
      <w:numFmt w:val="decimal"/>
      <w:lvlText w:val="%1."/>
      <w:lvlJc w:val="left"/>
      <w:pPr>
        <w:ind w:left="720" w:hanging="360"/>
      </w:pPr>
    </w:lvl>
    <w:lvl w:ilvl="1" w:tplc="DB169342">
      <w:numFmt w:val="decimal"/>
      <w:lvlText w:val=""/>
      <w:lvlJc w:val="left"/>
    </w:lvl>
    <w:lvl w:ilvl="2" w:tplc="D36C8564">
      <w:numFmt w:val="decimal"/>
      <w:lvlText w:val=""/>
      <w:lvlJc w:val="left"/>
    </w:lvl>
    <w:lvl w:ilvl="3" w:tplc="EEC0C092">
      <w:numFmt w:val="decimal"/>
      <w:lvlText w:val=""/>
      <w:lvlJc w:val="left"/>
    </w:lvl>
    <w:lvl w:ilvl="4" w:tplc="2B1891E8">
      <w:numFmt w:val="decimal"/>
      <w:lvlText w:val=""/>
      <w:lvlJc w:val="left"/>
    </w:lvl>
    <w:lvl w:ilvl="5" w:tplc="07B056AA">
      <w:numFmt w:val="decimal"/>
      <w:lvlText w:val=""/>
      <w:lvlJc w:val="left"/>
    </w:lvl>
    <w:lvl w:ilvl="6" w:tplc="2C2CE542">
      <w:numFmt w:val="decimal"/>
      <w:lvlText w:val=""/>
      <w:lvlJc w:val="left"/>
    </w:lvl>
    <w:lvl w:ilvl="7" w:tplc="94F28FAC">
      <w:numFmt w:val="decimal"/>
      <w:lvlText w:val=""/>
      <w:lvlJc w:val="left"/>
    </w:lvl>
    <w:lvl w:ilvl="8" w:tplc="286405C2">
      <w:numFmt w:val="decimal"/>
      <w:lvlText w:val=""/>
      <w:lvlJc w:val="left"/>
    </w:lvl>
  </w:abstractNum>
  <w:abstractNum w:abstractNumId="2" w15:restartNumberingAfterBreak="0">
    <w:nsid w:val="1CAF1A82"/>
    <w:multiLevelType w:val="hybridMultilevel"/>
    <w:tmpl w:val="F24C0776"/>
    <w:lvl w:ilvl="0" w:tplc="78305EE8">
      <w:start w:val="1"/>
      <w:numFmt w:val="bullet"/>
      <w:lvlText w:val="●"/>
      <w:lvlJc w:val="left"/>
      <w:pPr>
        <w:ind w:left="720" w:hanging="360"/>
      </w:pPr>
    </w:lvl>
    <w:lvl w:ilvl="1" w:tplc="7E00680A">
      <w:start w:val="1"/>
      <w:numFmt w:val="bullet"/>
      <w:lvlText w:val="○"/>
      <w:lvlJc w:val="left"/>
      <w:pPr>
        <w:ind w:left="1440" w:hanging="360"/>
      </w:pPr>
    </w:lvl>
    <w:lvl w:ilvl="2" w:tplc="BD9E0EE0">
      <w:start w:val="1"/>
      <w:numFmt w:val="bullet"/>
      <w:lvlText w:val="■"/>
      <w:lvlJc w:val="left"/>
      <w:pPr>
        <w:ind w:left="2160" w:hanging="360"/>
      </w:pPr>
    </w:lvl>
    <w:lvl w:ilvl="3" w:tplc="EE108186">
      <w:start w:val="1"/>
      <w:numFmt w:val="bullet"/>
      <w:lvlText w:val="●"/>
      <w:lvlJc w:val="left"/>
      <w:pPr>
        <w:ind w:left="2880" w:hanging="360"/>
      </w:pPr>
    </w:lvl>
    <w:lvl w:ilvl="4" w:tplc="530E9858">
      <w:start w:val="1"/>
      <w:numFmt w:val="bullet"/>
      <w:lvlText w:val="○"/>
      <w:lvlJc w:val="left"/>
      <w:pPr>
        <w:ind w:left="3600" w:hanging="360"/>
      </w:pPr>
    </w:lvl>
    <w:lvl w:ilvl="5" w:tplc="EF1A7D80">
      <w:start w:val="1"/>
      <w:numFmt w:val="bullet"/>
      <w:lvlText w:val="■"/>
      <w:lvlJc w:val="left"/>
      <w:pPr>
        <w:ind w:left="4320" w:hanging="360"/>
      </w:pPr>
    </w:lvl>
    <w:lvl w:ilvl="6" w:tplc="FD703FF8">
      <w:start w:val="1"/>
      <w:numFmt w:val="bullet"/>
      <w:lvlText w:val="●"/>
      <w:lvlJc w:val="left"/>
      <w:pPr>
        <w:ind w:left="5040" w:hanging="360"/>
      </w:pPr>
    </w:lvl>
    <w:lvl w:ilvl="7" w:tplc="5ECC5294">
      <w:start w:val="1"/>
      <w:numFmt w:val="bullet"/>
      <w:lvlText w:val="●"/>
      <w:lvlJc w:val="left"/>
      <w:pPr>
        <w:ind w:left="5760" w:hanging="360"/>
      </w:pPr>
    </w:lvl>
    <w:lvl w:ilvl="8" w:tplc="73F2A4B4">
      <w:start w:val="1"/>
      <w:numFmt w:val="bullet"/>
      <w:lvlText w:val="●"/>
      <w:lvlJc w:val="left"/>
      <w:pPr>
        <w:ind w:left="6480" w:hanging="360"/>
      </w:pPr>
    </w:lvl>
  </w:abstractNum>
  <w:abstractNum w:abstractNumId="3" w15:restartNumberingAfterBreak="0">
    <w:nsid w:val="305E447D"/>
    <w:multiLevelType w:val="hybridMultilevel"/>
    <w:tmpl w:val="731450FC"/>
    <w:lvl w:ilvl="0" w:tplc="4DD43350">
      <w:start w:val="1"/>
      <w:numFmt w:val="bullet"/>
      <w:lvlText w:val="•"/>
      <w:lvlJc w:val="left"/>
      <w:pPr>
        <w:ind w:left="720" w:hanging="360"/>
      </w:pPr>
    </w:lvl>
    <w:lvl w:ilvl="1" w:tplc="0B1A64A6">
      <w:numFmt w:val="decimal"/>
      <w:lvlText w:val=""/>
      <w:lvlJc w:val="left"/>
    </w:lvl>
    <w:lvl w:ilvl="2" w:tplc="B7D626FC">
      <w:numFmt w:val="decimal"/>
      <w:lvlText w:val=""/>
      <w:lvlJc w:val="left"/>
    </w:lvl>
    <w:lvl w:ilvl="3" w:tplc="1F86E07A">
      <w:numFmt w:val="decimal"/>
      <w:lvlText w:val=""/>
      <w:lvlJc w:val="left"/>
    </w:lvl>
    <w:lvl w:ilvl="4" w:tplc="5BA2E312">
      <w:numFmt w:val="decimal"/>
      <w:lvlText w:val=""/>
      <w:lvlJc w:val="left"/>
    </w:lvl>
    <w:lvl w:ilvl="5" w:tplc="E604D1DE">
      <w:numFmt w:val="decimal"/>
      <w:lvlText w:val=""/>
      <w:lvlJc w:val="left"/>
    </w:lvl>
    <w:lvl w:ilvl="6" w:tplc="B4A6DB72">
      <w:numFmt w:val="decimal"/>
      <w:lvlText w:val=""/>
      <w:lvlJc w:val="left"/>
    </w:lvl>
    <w:lvl w:ilvl="7" w:tplc="2402BCEE">
      <w:numFmt w:val="decimal"/>
      <w:lvlText w:val=""/>
      <w:lvlJc w:val="left"/>
    </w:lvl>
    <w:lvl w:ilvl="8" w:tplc="A4DAC04C">
      <w:numFmt w:val="decimal"/>
      <w:lvlText w:val=""/>
      <w:lvlJc w:val="left"/>
    </w:lvl>
  </w:abstractNum>
  <w:num w:numId="1" w16cid:durableId="832721001">
    <w:abstractNumId w:val="2"/>
    <w:lvlOverride w:ilvl="0">
      <w:startOverride w:val="1"/>
    </w:lvlOverride>
  </w:num>
  <w:num w:numId="2" w16cid:durableId="663045845">
    <w:abstractNumId w:val="1"/>
    <w:lvlOverride w:ilvl="0">
      <w:startOverride w:val="1"/>
    </w:lvlOverride>
  </w:num>
  <w:num w:numId="3" w16cid:durableId="903642751">
    <w:abstractNumId w:val="3"/>
    <w:lvlOverride w:ilvl="0">
      <w:startOverride w:val="1"/>
    </w:lvlOverride>
  </w:num>
  <w:num w:numId="4" w16cid:durableId="431055310">
    <w:abstractNumId w:val="0"/>
  </w:num>
  <w:num w:numId="5" w16cid:durableId="828446883">
    <w:abstractNumId w:val="0"/>
  </w:num>
  <w:num w:numId="6" w16cid:durableId="404497023">
    <w:abstractNumId w:val="0"/>
  </w:num>
  <w:num w:numId="7" w16cid:durableId="1973901227">
    <w:abstractNumId w:val="0"/>
  </w:num>
  <w:num w:numId="8" w16cid:durableId="1374379821">
    <w:abstractNumId w:val="0"/>
  </w:num>
  <w:num w:numId="9" w16cid:durableId="231817371">
    <w:abstractNumId w:val="0"/>
  </w:num>
  <w:num w:numId="10" w16cid:durableId="485512836">
    <w:abstractNumId w:val="0"/>
  </w:num>
  <w:num w:numId="11" w16cid:durableId="596601047">
    <w:abstractNumId w:val="0"/>
  </w:num>
  <w:num w:numId="12" w16cid:durableId="915363918">
    <w:abstractNumId w:val="0"/>
  </w:num>
  <w:num w:numId="13" w16cid:durableId="2021928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3B4"/>
    <w:rsid w:val="002F2FC3"/>
    <w:rsid w:val="003B6A5B"/>
    <w:rsid w:val="005203B4"/>
    <w:rsid w:val="00C936C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4F9A1"/>
  <w15:docId w15:val="{37A4BE51-7C3B-49F3-BB60-4C9B67502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IN" w:bidi="hi-IN"/>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FC3"/>
  </w:style>
  <w:style w:type="paragraph" w:styleId="Heading1">
    <w:name w:val="heading 1"/>
    <w:basedOn w:val="Normal"/>
    <w:next w:val="Normal"/>
    <w:link w:val="Heading1Char"/>
    <w:uiPriority w:val="9"/>
    <w:qFormat/>
    <w:rsid w:val="002F2FC3"/>
    <w:pPr>
      <w:keepNext/>
      <w:keepLines/>
      <w:pBdr>
        <w:left w:val="single" w:sz="12" w:space="12" w:color="C830CC"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2F2FC3"/>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2F2FC3"/>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2F2FC3"/>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2F2FC3"/>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2F2FC3"/>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2F2FC3"/>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2F2FC3"/>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2F2FC3"/>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F2FC3"/>
    <w:pPr>
      <w:spacing w:after="0" w:line="240" w:lineRule="auto"/>
      <w:contextualSpacing/>
    </w:pPr>
    <w:rPr>
      <w:rFonts w:asciiTheme="majorHAnsi" w:eastAsiaTheme="majorEastAsia" w:hAnsiTheme="majorHAnsi" w:cstheme="majorBidi"/>
      <w:caps/>
      <w:spacing w:val="40"/>
      <w:sz w:val="76"/>
      <w:szCs w:val="76"/>
    </w:rPr>
  </w:style>
  <w:style w:type="paragraph" w:customStyle="1" w:styleId="Strong1">
    <w:name w:val="Strong1"/>
    <w:rPr>
      <w:b/>
      <w:bCs/>
    </w:rPr>
  </w:style>
  <w:style w:type="paragraph" w:styleId="ListParagraph">
    <w:name w:val="List Paragraph"/>
    <w:uiPriority w:val="34"/>
    <w:qFormat/>
    <w:pPr>
      <w:ind w:left="720"/>
      <w:contextualSpacing/>
    </w:pPr>
    <w:rPr>
      <w:rFonts w:cs="Mangal"/>
      <w:szCs w:val="19"/>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2F2FC3"/>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2F2FC3"/>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2F2FC3"/>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2F2FC3"/>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2F2FC3"/>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2F2FC3"/>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2F2FC3"/>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F2FC3"/>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2F2FC3"/>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2F2FC3"/>
    <w:pPr>
      <w:spacing w:line="240" w:lineRule="auto"/>
    </w:pPr>
    <w:rPr>
      <w:b/>
      <w:bCs/>
      <w:color w:val="C830CC" w:themeColor="accent2"/>
      <w:spacing w:val="10"/>
      <w:sz w:val="16"/>
      <w:szCs w:val="16"/>
    </w:rPr>
  </w:style>
  <w:style w:type="character" w:customStyle="1" w:styleId="TitleChar">
    <w:name w:val="Title Char"/>
    <w:basedOn w:val="DefaultParagraphFont"/>
    <w:link w:val="Title"/>
    <w:uiPriority w:val="10"/>
    <w:rsid w:val="002F2FC3"/>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2F2FC3"/>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2F2FC3"/>
    <w:rPr>
      <w:color w:val="000000" w:themeColor="text1"/>
      <w:sz w:val="24"/>
      <w:szCs w:val="24"/>
    </w:rPr>
  </w:style>
  <w:style w:type="character" w:styleId="Strong">
    <w:name w:val="Strong"/>
    <w:basedOn w:val="DefaultParagraphFont"/>
    <w:uiPriority w:val="22"/>
    <w:qFormat/>
    <w:rsid w:val="002F2FC3"/>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2F2FC3"/>
    <w:rPr>
      <w:rFonts w:asciiTheme="minorHAnsi" w:eastAsiaTheme="minorEastAsia" w:hAnsiTheme="minorHAnsi" w:cstheme="minorBidi"/>
      <w:i/>
      <w:iCs/>
      <w:color w:val="952498" w:themeColor="accent2" w:themeShade="BF"/>
      <w:sz w:val="20"/>
      <w:szCs w:val="20"/>
    </w:rPr>
  </w:style>
  <w:style w:type="paragraph" w:styleId="NoSpacing">
    <w:name w:val="No Spacing"/>
    <w:uiPriority w:val="1"/>
    <w:qFormat/>
    <w:rsid w:val="002F2FC3"/>
    <w:pPr>
      <w:spacing w:after="0" w:line="240" w:lineRule="auto"/>
    </w:pPr>
  </w:style>
  <w:style w:type="paragraph" w:styleId="Quote">
    <w:name w:val="Quote"/>
    <w:basedOn w:val="Normal"/>
    <w:next w:val="Normal"/>
    <w:link w:val="QuoteChar"/>
    <w:uiPriority w:val="29"/>
    <w:qFormat/>
    <w:rsid w:val="002F2FC3"/>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2F2FC3"/>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2F2FC3"/>
    <w:pPr>
      <w:spacing w:before="100" w:beforeAutospacing="1" w:after="240"/>
      <w:ind w:left="936" w:right="936"/>
      <w:jc w:val="center"/>
    </w:pPr>
    <w:rPr>
      <w:rFonts w:asciiTheme="majorHAnsi" w:eastAsiaTheme="majorEastAsia" w:hAnsiTheme="majorHAnsi" w:cstheme="majorBidi"/>
      <w:caps/>
      <w:color w:val="952498" w:themeColor="accent2" w:themeShade="BF"/>
      <w:spacing w:val="10"/>
      <w:sz w:val="28"/>
      <w:szCs w:val="28"/>
    </w:rPr>
  </w:style>
  <w:style w:type="character" w:customStyle="1" w:styleId="IntenseQuoteChar">
    <w:name w:val="Intense Quote Char"/>
    <w:basedOn w:val="DefaultParagraphFont"/>
    <w:link w:val="IntenseQuote"/>
    <w:uiPriority w:val="30"/>
    <w:rsid w:val="002F2FC3"/>
    <w:rPr>
      <w:rFonts w:asciiTheme="majorHAnsi" w:eastAsiaTheme="majorEastAsia" w:hAnsiTheme="majorHAnsi" w:cstheme="majorBidi"/>
      <w:caps/>
      <w:color w:val="952498" w:themeColor="accent2" w:themeShade="BF"/>
      <w:spacing w:val="10"/>
      <w:sz w:val="28"/>
      <w:szCs w:val="28"/>
    </w:rPr>
  </w:style>
  <w:style w:type="character" w:styleId="SubtleEmphasis">
    <w:name w:val="Subtle Emphasis"/>
    <w:basedOn w:val="DefaultParagraphFont"/>
    <w:uiPriority w:val="19"/>
    <w:qFormat/>
    <w:rsid w:val="002F2FC3"/>
    <w:rPr>
      <w:i/>
      <w:iCs/>
      <w:color w:val="auto"/>
    </w:rPr>
  </w:style>
  <w:style w:type="character" w:styleId="IntenseEmphasis">
    <w:name w:val="Intense Emphasis"/>
    <w:basedOn w:val="DefaultParagraphFont"/>
    <w:uiPriority w:val="21"/>
    <w:qFormat/>
    <w:rsid w:val="002F2FC3"/>
    <w:rPr>
      <w:rFonts w:asciiTheme="minorHAnsi" w:eastAsiaTheme="minorEastAsia" w:hAnsiTheme="minorHAnsi" w:cstheme="minorBidi"/>
      <w:b/>
      <w:bCs/>
      <w:i/>
      <w:iCs/>
      <w:color w:val="952498" w:themeColor="accent2" w:themeShade="BF"/>
      <w:spacing w:val="0"/>
      <w:w w:val="100"/>
      <w:position w:val="0"/>
      <w:sz w:val="20"/>
      <w:szCs w:val="20"/>
    </w:rPr>
  </w:style>
  <w:style w:type="character" w:styleId="SubtleReference">
    <w:name w:val="Subtle Reference"/>
    <w:basedOn w:val="DefaultParagraphFont"/>
    <w:uiPriority w:val="31"/>
    <w:qFormat/>
    <w:rsid w:val="002F2FC3"/>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2F2FC3"/>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2F2FC3"/>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2F2FC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dison">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Madison">
      <a:majorFont>
        <a:latin typeface="Arial" panose="020B0604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adison">
      <a:fillStyleLst>
        <a:solidFill>
          <a:schemeClr val="phClr"/>
        </a:solidFill>
        <a:gradFill rotWithShape="1">
          <a:gsLst>
            <a:gs pos="0">
              <a:schemeClr val="phClr">
                <a:tint val="48000"/>
                <a:alpha val="88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blipFill rotWithShape="1">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Madison" id="{025CB5FB-2DD3-45EE-B6F0-CC461540EB19}" vid="{6AC10936-2DFC-4054-9ADF-B5E2C5F86190}"/>
    </a:ext>
  </a:extLst>
</a:theme>
</file>

<file path=docProps/app.xml><?xml version="1.0" encoding="utf-8"?>
<Properties xmlns="http://schemas.openxmlformats.org/officeDocument/2006/extended-properties" xmlns:vt="http://schemas.openxmlformats.org/officeDocument/2006/docPropsVTypes">
  <Template>Normal.dotm</Template>
  <TotalTime>90</TotalTime>
  <Pages>11</Pages>
  <Words>2120</Words>
  <Characters>12087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Komal Karanakota</cp:lastModifiedBy>
  <cp:revision>2</cp:revision>
  <dcterms:created xsi:type="dcterms:W3CDTF">2026-03-06T09:56:00Z</dcterms:created>
  <dcterms:modified xsi:type="dcterms:W3CDTF">2026-03-06T13:35:00Z</dcterms:modified>
</cp:coreProperties>
</file>