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26"/>
        </w:rPr>
        <w:t>DEPARTMENT OF COMPUTER SCIENCE &amp; ENGINEERING</w:t>
      </w:r>
    </w:p>
    <w:p>
      <w:pPr>
        <w:spacing w:after="360"/>
        <w:jc w:val="center"/>
      </w:pPr>
      <w:r>
        <w:rPr>
          <w:rFonts w:ascii="Calibri" w:hAnsi="Calibri"/>
          <w:color w:val="4A5568"/>
          <w:sz w:val="22"/>
        </w:rPr>
        <w:t>K. R. MANGALAM UNIVERSITY, GURUGRAM</w:t>
        <w:br/>
        <w:t>DevOps Lab Assignment — Commands, Configurations &amp; Experiment Records</w:t>
      </w: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pPr>
              <w:spacing w:before="60" w:after="60"/>
            </w:pPr>
            <w:r>
              <w:rPr>
                <w:rFonts w:ascii="Calibri" w:hAnsi="Calibri"/>
                <w:b/>
                <w:sz w:val="20"/>
              </w:rPr>
              <w:t>Student Name</w:t>
            </w:r>
          </w:p>
        </w:tc>
        <w:tc>
          <w:tcPr>
            <w:tcW w:type="dxa" w:w="6192"/>
            <w:shd w:fill="FFFFFF"/>
            <w:tcMar>
              <w:top w:w="80" w:type="dxa"/>
              <w:bottom w:w="80" w:type="dxa"/>
              <w:left w:w="120" w:type="dxa"/>
              <w:right w:w="120" w:type="dxa"/>
            </w:tcMar>
          </w:tcPr>
          <w:p>
            <w:pPr>
              <w:spacing w:before="60" w:after="60"/>
            </w:pPr>
            <w:r>
              <w:rPr>
                <w:rFonts w:ascii="Calibri" w:hAnsi="Calibri"/>
                <w:sz w:val="20"/>
              </w:rPr>
              <w:t>Komal</w:t>
            </w:r>
          </w:p>
        </w:tc>
      </w:tr>
      <w:tr>
        <w:tc>
          <w:tcPr>
            <w:tcW w:type="dxa" w:w="3168"/>
            <w:shd w:fill="F0F4F8"/>
            <w:tcMar>
              <w:top w:w="80" w:type="dxa"/>
              <w:bottom w:w="80" w:type="dxa"/>
              <w:left w:w="120" w:type="dxa"/>
              <w:right w:w="120" w:type="dxa"/>
            </w:tcMar>
          </w:tcPr>
          <w:p>
            <w:pPr>
              <w:spacing w:before="60" w:after="60"/>
            </w:pPr>
            <w:r>
              <w:rPr>
                <w:rFonts w:ascii="Calibri" w:hAnsi="Calibri"/>
                <w:b/>
                <w:sz w:val="20"/>
              </w:rPr>
              <w:t>Roll Number</w:t>
            </w:r>
          </w:p>
        </w:tc>
        <w:tc>
          <w:tcPr>
            <w:tcW w:type="dxa" w:w="6192"/>
            <w:shd w:fill="FFFFFF"/>
            <w:tcMar>
              <w:top w:w="80" w:type="dxa"/>
              <w:bottom w:w="80" w:type="dxa"/>
              <w:left w:w="120" w:type="dxa"/>
              <w:right w:w="120" w:type="dxa"/>
            </w:tcMar>
          </w:tcPr>
          <w:p>
            <w:pPr>
              <w:spacing w:before="60" w:after="60"/>
            </w:pPr>
            <w:r>
              <w:rPr>
                <w:rFonts w:ascii="Calibri" w:hAnsi="Calibri"/>
                <w:sz w:val="20"/>
              </w:rPr>
              <w:t>2301730038</w:t>
            </w:r>
          </w:p>
        </w:tc>
      </w:tr>
      <w:tr>
        <w:tc>
          <w:tcPr>
            <w:tcW w:type="dxa" w:w="3168"/>
            <w:shd w:fill="F0F4F8"/>
            <w:tcMar>
              <w:top w:w="80" w:type="dxa"/>
              <w:bottom w:w="80" w:type="dxa"/>
              <w:left w:w="120" w:type="dxa"/>
              <w:right w:w="120" w:type="dxa"/>
            </w:tcMar>
          </w:tcPr>
          <w:p>
            <w:pPr>
              <w:spacing w:before="60" w:after="60"/>
            </w:pPr>
            <w:r>
              <w:rPr>
                <w:rFonts w:ascii="Calibri" w:hAnsi="Calibri"/>
                <w:b/>
                <w:sz w:val="20"/>
              </w:rPr>
              <w:t>Course / Subject</w:t>
            </w:r>
          </w:p>
        </w:tc>
        <w:tc>
          <w:tcPr>
            <w:tcW w:type="dxa" w:w="6192"/>
            <w:shd w:fill="FFFFFF"/>
            <w:tcMar>
              <w:top w:w="80" w:type="dxa"/>
              <w:bottom w:w="80" w:type="dxa"/>
              <w:left w:w="120" w:type="dxa"/>
              <w:right w:w="120" w:type="dxa"/>
            </w:tcMar>
          </w:tcPr>
          <w:p>
            <w:pPr>
              <w:spacing w:before="60" w:after="60"/>
            </w:pPr>
            <w:r>
              <w:rPr>
                <w:rFonts w:ascii="Calibri" w:hAnsi="Calibri"/>
                <w:sz w:val="20"/>
              </w:rPr>
              <w:t>DevOps &amp; Continuous Delivery (BCS-601)</w:t>
            </w:r>
          </w:p>
        </w:tc>
      </w:tr>
      <w:tr>
        <w:tc>
          <w:tcPr>
            <w:tcW w:type="dxa" w:w="3168"/>
            <w:shd w:fill="F0F4F8"/>
            <w:tcMar>
              <w:top w:w="80" w:type="dxa"/>
              <w:bottom w:w="80" w:type="dxa"/>
              <w:left w:w="120" w:type="dxa"/>
              <w:right w:w="120" w:type="dxa"/>
            </w:tcMar>
          </w:tcPr>
          <w:p>
            <w:pPr>
              <w:spacing w:before="60" w:after="60"/>
            </w:pPr>
            <w:r>
              <w:rPr>
                <w:rFonts w:ascii="Calibri" w:hAnsi="Calibri"/>
                <w:b/>
                <w:sz w:val="20"/>
              </w:rPr>
              <w:t>Submitted To</w:t>
            </w:r>
          </w:p>
        </w:tc>
        <w:tc>
          <w:tcPr>
            <w:tcW w:type="dxa" w:w="6192"/>
            <w:shd w:fill="FFFFFF"/>
            <w:tcMar>
              <w:top w:w="80" w:type="dxa"/>
              <w:bottom w:w="80" w:type="dxa"/>
              <w:left w:w="120" w:type="dxa"/>
              <w:right w:w="120" w:type="dxa"/>
            </w:tcMar>
          </w:tcPr>
          <w:p>
            <w:pPr>
              <w:spacing w:before="60" w:after="60"/>
            </w:pPr>
            <w:r>
              <w:rPr>
                <w:rFonts w:ascii="Calibri" w:hAnsi="Calibri"/>
                <w:sz w:val="20"/>
              </w:rPr>
              <w:t>Prof. Amit Kumar Singh</w:t>
            </w:r>
          </w:p>
        </w:tc>
      </w:tr>
    </w:tbl>
    <w:p>
      <w:pPr>
        <w:spacing w:after="160"/>
      </w:pPr>
    </w:p>
    <w:tbl>
      <w:tblPr>
        <w:tblW w:type="auto" w:w="0"/>
        <w:jc w:val="center"/>
        <w:tblLook w:firstColumn="1" w:firstRow="1" w:lastColumn="0" w:lastRow="0" w:noHBand="0" w:noVBand="1" w:val="04A0"/>
      </w:tblPr>
      <w:tblGrid>
        <w:gridCol w:w="9360"/>
      </w:tblGrid>
      <w:tr>
        <w:tc>
          <w:tcPr>
            <w:tcW w:type="dxa" w:w="9360"/>
            <w:shd w:fill="EBF4FF"/>
            <w:tcMar>
              <w:top w:w="140" w:type="dxa"/>
              <w:bottom w:w="140" w:type="dxa"/>
              <w:left w:w="180" w:type="dxa"/>
              <w:right w:w="180" w:type="dxa"/>
            </w:tcMar>
          </w:tcPr>
          <w:p>
            <w:pPr>
              <w:spacing w:before="80" w:after="80"/>
            </w:pPr>
            <w:r>
              <w:rPr>
                <w:rFonts w:ascii="Calibri" w:hAnsi="Calibri"/>
                <w:b/>
                <w:color w:val="1B365D"/>
                <w:sz w:val="22"/>
              </w:rPr>
              <w:t>Question 3:</w:t>
              <w:br/>
            </w:r>
            <w:r>
              <w:rPr>
                <w:rFonts w:ascii="Calibri" w:hAnsi="Calibri"/>
                <w:i/>
                <w:color w:val="2D3748"/>
                <w:sz w:val="21"/>
              </w:rPr>
              <w:t>Record all commands, pipeline configurations, screenshots, commit history, and observations for each experiment. [5 Marks]</w:t>
            </w:r>
          </w:p>
        </w:tc>
      </w:tr>
    </w:tbl>
    <w:p>
      <w:pPr>
        <w:spacing w:after="160"/>
      </w:pPr>
    </w:p>
    <w:p>
      <w:pPr>
        <w:pStyle w:val="Heading1"/>
      </w:pPr>
      <w:r>
        <w:rPr>
          <w:rFonts w:ascii="Calibri" w:hAnsi="Calibri"/>
          <w:b/>
          <w:color w:val="1B365D"/>
          <w:sz w:val="26"/>
        </w:rPr>
        <w:t>1. Summary of Experiments Conducted</w:t>
      </w:r>
    </w:p>
    <w:p>
      <w:pPr>
        <w:spacing w:after="120" w:line="276" w:lineRule="auto"/>
      </w:pPr>
      <w:r>
        <w:rPr>
          <w:rFonts w:ascii="Calibri" w:hAnsi="Calibri"/>
          <w:sz w:val="21"/>
        </w:rPr>
        <w:t>Throughout the DevOps lab module, three interconnected experiments were performed on the BaatCheet project:</w:t>
        <w:br/>
        <w:t>• Experiment 1: Declarative Pipeline Construction — Structured the Jenkinsfile with modular stages (Checkout, Build, Test, Deploy).</w:t>
        <w:br/>
        <w:t>• Experiment 2: Automated Deployment &amp; Continuous Integration Triggers — Integrated GitHub webhooks and periodic polling triggers, paired with automated container health probing.</w:t>
        <w:br/>
        <w:t>• Experiment 3: Post-Build Resilience &amp; Workspace Lifecycle — Implemented failure recovery/rollback mechanisms, notifications, and workspace cleanup policies.</w:t>
      </w:r>
    </w:p>
    <w:p>
      <w:pPr>
        <w:pStyle w:val="Heading1"/>
      </w:pPr>
      <w:r>
        <w:rPr>
          <w:rFonts w:ascii="Calibri" w:hAnsi="Calibri"/>
          <w:b/>
          <w:color w:val="1B365D"/>
          <w:sz w:val="26"/>
        </w:rPr>
        <w:t>2. Comprehensive Command Reference Table</w:t>
      </w:r>
    </w:p>
    <w:p>
      <w:pPr>
        <w:spacing w:after="80"/>
      </w:pPr>
      <w:r>
        <w:t>The following table records every critical terminal command executed across the experiments, along with its specific operational purpose: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2B6CB0"/>
            <w:tcMar>
              <w:top w:w="80" w:type="dxa"/>
              <w:bottom w:w="80" w:type="dxa"/>
              <w:left w:w="100" w:type="dxa"/>
              <w:right w:w="100" w:type="dxa"/>
            </w:tcMar>
          </w:tcPr>
          <w:p>
            <w:pPr>
              <w:spacing w:before="80" w:after="80"/>
            </w:pPr>
            <w:r>
              <w:rPr>
                <w:rFonts w:ascii="Calibri" w:hAnsi="Calibri"/>
                <w:b/>
                <w:color w:val="FFFFFF"/>
                <w:sz w:val="20"/>
              </w:rPr>
              <w:t>Category</w:t>
            </w:r>
          </w:p>
        </w:tc>
        <w:tc>
          <w:tcPr>
            <w:tcW w:type="dxa" w:w="3888"/>
            <w:shd w:fill="2B6CB0"/>
            <w:tcMar>
              <w:top w:w="80" w:type="dxa"/>
              <w:bottom w:w="80" w:type="dxa"/>
              <w:left w:w="100" w:type="dxa"/>
              <w:right w:w="100" w:type="dxa"/>
            </w:tcMar>
          </w:tcPr>
          <w:p>
            <w:pPr>
              <w:spacing w:before="80" w:after="80"/>
            </w:pPr>
            <w:r>
              <w:rPr>
                <w:rFonts w:ascii="Calibri" w:hAnsi="Calibri"/>
                <w:b/>
                <w:color w:val="FFFFFF"/>
                <w:sz w:val="20"/>
              </w:rPr>
              <w:t>Terminal Command</w:t>
            </w:r>
          </w:p>
        </w:tc>
        <w:tc>
          <w:tcPr>
            <w:tcW w:type="dxa" w:w="3312"/>
            <w:shd w:fill="2B6CB0"/>
            <w:tcMar>
              <w:top w:w="80" w:type="dxa"/>
              <w:bottom w:w="80" w:type="dxa"/>
              <w:left w:w="100" w:type="dxa"/>
              <w:right w:w="100" w:type="dxa"/>
            </w:tcMar>
          </w:tcPr>
          <w:p>
            <w:pPr>
              <w:spacing w:before="80" w:after="80"/>
            </w:pPr>
            <w:r>
              <w:rPr>
                <w:rFonts w:ascii="Calibri" w:hAnsi="Calibri"/>
                <w:b/>
                <w:color w:val="FFFFFF"/>
                <w:sz w:val="20"/>
              </w:rPr>
              <w:t>Operational Purpose</w:t>
            </w:r>
          </w:p>
        </w:tc>
      </w:tr>
      <w:tr>
        <w:tc>
          <w:tcPr>
            <w:tcW w:type="dxa" w:w="2160"/>
            <w:shd w:fill="F7FAFC"/>
            <w:tcMar>
              <w:top w:w="60" w:type="dxa"/>
              <w:bottom w:w="60" w:type="dxa"/>
              <w:left w:w="100" w:type="dxa"/>
              <w:right w:w="100" w:type="dxa"/>
            </w:tcMar>
          </w:tcPr>
          <w:p>
            <w:pPr>
              <w:spacing w:before="60" w:after="60"/>
            </w:pPr>
            <w:r>
              <w:rPr>
                <w:rFonts w:ascii="Calibri" w:hAnsi="Calibri"/>
                <w:sz w:val="19"/>
              </w:rPr>
              <w:t>Git / VCS</w:t>
            </w:r>
          </w:p>
        </w:tc>
        <w:tc>
          <w:tcPr>
            <w:tcW w:type="dxa" w:w="3888"/>
            <w:shd w:fill="F7FAFC"/>
            <w:tcMar>
              <w:top w:w="60" w:type="dxa"/>
              <w:bottom w:w="60" w:type="dxa"/>
              <w:left w:w="100" w:type="dxa"/>
              <w:right w:w="100" w:type="dxa"/>
            </w:tcMar>
          </w:tcPr>
          <w:p>
            <w:pPr>
              <w:spacing w:before="60" w:after="60"/>
            </w:pPr>
            <w:r>
              <w:rPr>
                <w:rFonts w:ascii="Consolas" w:hAnsi="Consolas"/>
                <w:sz w:val="18"/>
              </w:rPr>
              <w:t>git log --pretty=format:'%h %ad | %s' --date=short</w:t>
            </w:r>
          </w:p>
        </w:tc>
        <w:tc>
          <w:tcPr>
            <w:tcW w:type="dxa" w:w="3312"/>
            <w:shd w:fill="F7FAFC"/>
            <w:tcMar>
              <w:top w:w="60" w:type="dxa"/>
              <w:bottom w:w="60" w:type="dxa"/>
              <w:left w:w="100" w:type="dxa"/>
              <w:right w:w="100" w:type="dxa"/>
            </w:tcMar>
          </w:tcPr>
          <w:p>
            <w:pPr>
              <w:spacing w:before="60" w:after="60"/>
            </w:pPr>
            <w:r>
              <w:rPr>
                <w:rFonts w:ascii="Calibri" w:hAnsi="Calibri"/>
                <w:sz w:val="19"/>
              </w:rPr>
              <w:t>Inspect commit timeline, tags, and phase tracking.</w:t>
            </w:r>
          </w:p>
        </w:tc>
      </w:tr>
      <w:tr>
        <w:tc>
          <w:tcPr>
            <w:tcW w:type="dxa" w:w="2160"/>
            <w:shd w:fill="FFFFFF"/>
            <w:tcMar>
              <w:top w:w="60" w:type="dxa"/>
              <w:bottom w:w="60" w:type="dxa"/>
              <w:left w:w="100" w:type="dxa"/>
              <w:right w:w="100" w:type="dxa"/>
            </w:tcMar>
          </w:tcPr>
          <w:p>
            <w:pPr>
              <w:spacing w:before="60" w:after="60"/>
            </w:pPr>
            <w:r>
              <w:rPr>
                <w:rFonts w:ascii="Calibri" w:hAnsi="Calibri"/>
                <w:sz w:val="19"/>
              </w:rPr>
              <w:t>Git / VCS</w:t>
            </w:r>
          </w:p>
        </w:tc>
        <w:tc>
          <w:tcPr>
            <w:tcW w:type="dxa" w:w="3888"/>
            <w:shd w:fill="FFFFFF"/>
            <w:tcMar>
              <w:top w:w="60" w:type="dxa"/>
              <w:bottom w:w="60" w:type="dxa"/>
              <w:left w:w="100" w:type="dxa"/>
              <w:right w:w="100" w:type="dxa"/>
            </w:tcMar>
          </w:tcPr>
          <w:p>
            <w:pPr>
              <w:spacing w:before="60" w:after="60"/>
            </w:pPr>
            <w:r>
              <w:rPr>
                <w:rFonts w:ascii="Consolas" w:hAnsi="Consolas"/>
                <w:sz w:val="18"/>
              </w:rPr>
              <w:t>git status &amp;&amp; git add -A &amp;&amp; git commit -m '...'</w:t>
            </w:r>
          </w:p>
        </w:tc>
        <w:tc>
          <w:tcPr>
            <w:tcW w:type="dxa" w:w="3312"/>
            <w:shd w:fill="FFFFFF"/>
            <w:tcMar>
              <w:top w:w="60" w:type="dxa"/>
              <w:bottom w:w="60" w:type="dxa"/>
              <w:left w:w="100" w:type="dxa"/>
              <w:right w:w="100" w:type="dxa"/>
            </w:tcMar>
          </w:tcPr>
          <w:p>
            <w:pPr>
              <w:spacing w:before="60" w:after="60"/>
            </w:pPr>
            <w:r>
              <w:rPr>
                <w:rFonts w:ascii="Calibri" w:hAnsi="Calibri"/>
                <w:sz w:val="19"/>
              </w:rPr>
              <w:t>Stage modified assets and record conventional commit changes.</w:t>
            </w:r>
          </w:p>
        </w:tc>
      </w:tr>
      <w:tr>
        <w:tc>
          <w:tcPr>
            <w:tcW w:type="dxa" w:w="2160"/>
            <w:shd w:fill="F7FAFC"/>
            <w:tcMar>
              <w:top w:w="60" w:type="dxa"/>
              <w:bottom w:w="60" w:type="dxa"/>
              <w:left w:w="100" w:type="dxa"/>
              <w:right w:w="100" w:type="dxa"/>
            </w:tcMar>
          </w:tcPr>
          <w:p>
            <w:pPr>
              <w:spacing w:before="60" w:after="60"/>
            </w:pPr>
            <w:r>
              <w:rPr>
                <w:rFonts w:ascii="Calibri" w:hAnsi="Calibri"/>
                <w:sz w:val="19"/>
              </w:rPr>
              <w:t>Docker / Build</w:t>
            </w:r>
          </w:p>
        </w:tc>
        <w:tc>
          <w:tcPr>
            <w:tcW w:type="dxa" w:w="3888"/>
            <w:shd w:fill="F7FAFC"/>
            <w:tcMar>
              <w:top w:w="60" w:type="dxa"/>
              <w:bottom w:w="60" w:type="dxa"/>
              <w:left w:w="100" w:type="dxa"/>
              <w:right w:w="100" w:type="dxa"/>
            </w:tcMar>
          </w:tcPr>
          <w:p>
            <w:pPr>
              <w:spacing w:before="60" w:after="60"/>
            </w:pPr>
            <w:r>
              <w:rPr>
                <w:rFonts w:ascii="Consolas" w:hAnsi="Consolas"/>
                <w:sz w:val="18"/>
              </w:rPr>
              <w:t>docker build -f Dockerfile.backend -t baatcheet-backend:latest ./backend</w:t>
            </w:r>
          </w:p>
        </w:tc>
        <w:tc>
          <w:tcPr>
            <w:tcW w:type="dxa" w:w="3312"/>
            <w:shd w:fill="F7FAFC"/>
            <w:tcMar>
              <w:top w:w="60" w:type="dxa"/>
              <w:bottom w:w="60" w:type="dxa"/>
              <w:left w:w="100" w:type="dxa"/>
              <w:right w:w="100" w:type="dxa"/>
            </w:tcMar>
          </w:tcPr>
          <w:p>
            <w:pPr>
              <w:spacing w:before="60" w:after="60"/>
            </w:pPr>
            <w:r>
              <w:rPr>
                <w:rFonts w:ascii="Calibri" w:hAnsi="Calibri"/>
                <w:sz w:val="19"/>
              </w:rPr>
              <w:t>Compile dependencies and build multi-stage backend container image.</w:t>
            </w:r>
          </w:p>
        </w:tc>
      </w:tr>
      <w:tr>
        <w:tc>
          <w:tcPr>
            <w:tcW w:type="dxa" w:w="2160"/>
            <w:shd w:fill="FFFFFF"/>
            <w:tcMar>
              <w:top w:w="60" w:type="dxa"/>
              <w:bottom w:w="60" w:type="dxa"/>
              <w:left w:w="100" w:type="dxa"/>
              <w:right w:w="100" w:type="dxa"/>
            </w:tcMar>
          </w:tcPr>
          <w:p>
            <w:pPr>
              <w:spacing w:before="60" w:after="60"/>
            </w:pPr>
            <w:r>
              <w:rPr>
                <w:rFonts w:ascii="Calibri" w:hAnsi="Calibri"/>
                <w:sz w:val="19"/>
              </w:rPr>
              <w:t>Testing / QA</w:t>
            </w:r>
          </w:p>
        </w:tc>
        <w:tc>
          <w:tcPr>
            <w:tcW w:type="dxa" w:w="3888"/>
            <w:shd w:fill="FFFFFF"/>
            <w:tcMar>
              <w:top w:w="60" w:type="dxa"/>
              <w:bottom w:w="60" w:type="dxa"/>
              <w:left w:w="100" w:type="dxa"/>
              <w:right w:w="100" w:type="dxa"/>
            </w:tcMar>
          </w:tcPr>
          <w:p>
            <w:pPr>
              <w:spacing w:before="60" w:after="60"/>
            </w:pPr>
            <w:r>
              <w:rPr>
                <w:rFonts w:ascii="Consolas" w:hAnsi="Consolas"/>
                <w:sz w:val="18"/>
              </w:rPr>
              <w:t>pytest -v backend/tests/</w:t>
            </w:r>
          </w:p>
        </w:tc>
        <w:tc>
          <w:tcPr>
            <w:tcW w:type="dxa" w:w="3312"/>
            <w:shd w:fill="FFFFFF"/>
            <w:tcMar>
              <w:top w:w="60" w:type="dxa"/>
              <w:bottom w:w="60" w:type="dxa"/>
              <w:left w:w="100" w:type="dxa"/>
              <w:right w:w="100" w:type="dxa"/>
            </w:tcMar>
          </w:tcPr>
          <w:p>
            <w:pPr>
              <w:spacing w:before="60" w:after="60"/>
            </w:pPr>
            <w:r>
              <w:rPr>
                <w:rFonts w:ascii="Calibri" w:hAnsi="Calibri"/>
                <w:sz w:val="19"/>
              </w:rPr>
              <w:t>Run automated unit and integration tests with detailed verbose output.</w:t>
            </w:r>
          </w:p>
        </w:tc>
      </w:tr>
      <w:tr>
        <w:tc>
          <w:tcPr>
            <w:tcW w:type="dxa" w:w="2160"/>
            <w:shd w:fill="F7FAFC"/>
            <w:tcMar>
              <w:top w:w="60" w:type="dxa"/>
              <w:bottom w:w="60" w:type="dxa"/>
              <w:left w:w="100" w:type="dxa"/>
              <w:right w:w="100" w:type="dxa"/>
            </w:tcMar>
          </w:tcPr>
          <w:p>
            <w:pPr>
              <w:spacing w:before="60" w:after="60"/>
            </w:pPr>
            <w:r>
              <w:rPr>
                <w:rFonts w:ascii="Calibri" w:hAnsi="Calibri"/>
                <w:sz w:val="19"/>
              </w:rPr>
              <w:t>Deployment</w:t>
            </w:r>
          </w:p>
        </w:tc>
        <w:tc>
          <w:tcPr>
            <w:tcW w:type="dxa" w:w="3888"/>
            <w:shd w:fill="F7FAFC"/>
            <w:tcMar>
              <w:top w:w="60" w:type="dxa"/>
              <w:bottom w:w="60" w:type="dxa"/>
              <w:left w:w="100" w:type="dxa"/>
              <w:right w:w="100" w:type="dxa"/>
            </w:tcMar>
          </w:tcPr>
          <w:p>
            <w:pPr>
              <w:spacing w:before="60" w:after="60"/>
            </w:pPr>
            <w:r>
              <w:rPr>
                <w:rFonts w:ascii="Consolas" w:hAnsi="Consolas"/>
                <w:sz w:val="18"/>
              </w:rPr>
              <w:t>docker compose up -d</w:t>
            </w:r>
          </w:p>
        </w:tc>
        <w:tc>
          <w:tcPr>
            <w:tcW w:type="dxa" w:w="3312"/>
            <w:shd w:fill="F7FAFC"/>
            <w:tcMar>
              <w:top w:w="60" w:type="dxa"/>
              <w:bottom w:w="60" w:type="dxa"/>
              <w:left w:w="100" w:type="dxa"/>
              <w:right w:w="100" w:type="dxa"/>
            </w:tcMar>
          </w:tcPr>
          <w:p>
            <w:pPr>
              <w:spacing w:before="60" w:after="60"/>
            </w:pPr>
            <w:r>
              <w:rPr>
                <w:rFonts w:ascii="Calibri" w:hAnsi="Calibri"/>
                <w:sz w:val="19"/>
              </w:rPr>
              <w:t>Launch application, Redis, and PostgreSQL background services.</w:t>
            </w:r>
          </w:p>
        </w:tc>
      </w:tr>
      <w:tr>
        <w:tc>
          <w:tcPr>
            <w:tcW w:type="dxa" w:w="2160"/>
            <w:shd w:fill="FFFFFF"/>
            <w:tcMar>
              <w:top w:w="60" w:type="dxa"/>
              <w:bottom w:w="60" w:type="dxa"/>
              <w:left w:w="100" w:type="dxa"/>
              <w:right w:w="100" w:type="dxa"/>
            </w:tcMar>
          </w:tcPr>
          <w:p>
            <w:pPr>
              <w:spacing w:before="60" w:after="60"/>
            </w:pPr>
            <w:r>
              <w:rPr>
                <w:rFonts w:ascii="Calibri" w:hAnsi="Calibri"/>
                <w:sz w:val="19"/>
              </w:rPr>
              <w:t>Health Verification</w:t>
            </w:r>
          </w:p>
        </w:tc>
        <w:tc>
          <w:tcPr>
            <w:tcW w:type="dxa" w:w="3888"/>
            <w:shd w:fill="FFFFFF"/>
            <w:tcMar>
              <w:top w:w="60" w:type="dxa"/>
              <w:bottom w:w="60" w:type="dxa"/>
              <w:left w:w="100" w:type="dxa"/>
              <w:right w:w="100" w:type="dxa"/>
            </w:tcMar>
          </w:tcPr>
          <w:p>
            <w:pPr>
              <w:spacing w:before="60" w:after="60"/>
            </w:pPr>
            <w:r>
              <w:rPr>
                <w:rFonts w:ascii="Consolas" w:hAnsi="Consolas"/>
                <w:sz w:val="18"/>
              </w:rPr>
              <w:t>curl -i http://localhost:8000/health</w:t>
            </w:r>
          </w:p>
        </w:tc>
        <w:tc>
          <w:tcPr>
            <w:tcW w:type="dxa" w:w="3312"/>
            <w:shd w:fill="FFFFFF"/>
            <w:tcMar>
              <w:top w:w="60" w:type="dxa"/>
              <w:bottom w:w="60" w:type="dxa"/>
              <w:left w:w="100" w:type="dxa"/>
              <w:right w:w="100" w:type="dxa"/>
            </w:tcMar>
          </w:tcPr>
          <w:p>
            <w:pPr>
              <w:spacing w:before="60" w:after="60"/>
            </w:pPr>
            <w:r>
              <w:rPr>
                <w:rFonts w:ascii="Calibri" w:hAnsi="Calibri"/>
                <w:sz w:val="19"/>
              </w:rPr>
              <w:t>Query API health endpoint to confirm 200 OK service responsiveness.</w:t>
            </w:r>
          </w:p>
        </w:tc>
      </w:tr>
    </w:tbl>
    <w:p>
      <w:pPr>
        <w:spacing w:after="160"/>
      </w:pPr>
    </w:p>
    <w:p>
      <w:pPr>
        <w:pStyle w:val="Heading1"/>
      </w:pPr>
      <w:r>
        <w:rPr>
          <w:rFonts w:ascii="Calibri" w:hAnsi="Calibri"/>
          <w:b/>
          <w:color w:val="1B365D"/>
          <w:sz w:val="26"/>
        </w:rPr>
        <w:t>3. Version Control &amp; Git Commit History Record</w:t>
      </w:r>
    </w:p>
    <w:p>
      <w:pPr>
        <w:spacing w:after="80"/>
      </w:pPr>
      <w:r>
        <w:t>All project milestones were tracked under Git using conventional commit standards. Figure 1 displays the terminal output confirming commit chronology and a clean working tree:</w:t>
      </w:r>
    </w:p>
    <w:p>
      <w:pPr>
        <w:spacing w:before="120" w:after="40"/>
        <w:jc w:val="center"/>
      </w:pPr>
    </w:p>
    <w:p>
      <w:r>
        <w:drawing>
          <wp:inline xmlns:a="http://schemas.openxmlformats.org/drawingml/2006/main" xmlns:pic="http://schemas.openxmlformats.org/drawingml/2006/picture">
            <wp:extent cx="5760720" cy="2569669"/>
            <wp:docPr id="1" name="Picture 1"/>
            <wp:cNvGraphicFramePr>
              <a:graphicFrameLocks noChangeAspect="1"/>
            </wp:cNvGraphicFramePr>
            <a:graphic>
              <a:graphicData uri="http://schemas.openxmlformats.org/drawingml/2006/picture">
                <pic:pic>
                  <pic:nvPicPr>
                    <pic:cNvPr id="0" name="screenshot_a3_git_commits.png"/>
                    <pic:cNvPicPr/>
                  </pic:nvPicPr>
                  <pic:blipFill>
                    <a:blip r:embed="rId9"/>
                    <a:stretch>
                      <a:fillRect/>
                    </a:stretch>
                  </pic:blipFill>
                  <pic:spPr>
                    <a:xfrm>
                      <a:off x="0" y="0"/>
                      <a:ext cx="5760720" cy="2569669"/>
                    </a:xfrm>
                    <a:prstGeom prst="rect"/>
                  </pic:spPr>
                </pic:pic>
              </a:graphicData>
            </a:graphic>
          </wp:inline>
        </w:drawing>
      </w:r>
    </w:p>
    <w:p>
      <w:pPr>
        <w:spacing w:after="280"/>
        <w:jc w:val="center"/>
      </w:pPr>
      <w:r>
        <w:rPr>
          <w:rFonts w:ascii="Calibri" w:hAnsi="Calibri"/>
          <w:i/>
          <w:color w:val="718096"/>
          <w:sz w:val="19"/>
        </w:rPr>
        <w:t>Figure 1: Git commit history record and clean working directory status.</w:t>
      </w:r>
    </w:p>
    <w:p>
      <w:pPr>
        <w:pStyle w:val="Heading1"/>
      </w:pPr>
      <w:r>
        <w:rPr>
          <w:rFonts w:ascii="Calibri" w:hAnsi="Calibri"/>
          <w:b/>
          <w:color w:val="1B365D"/>
          <w:sz w:val="26"/>
        </w:rPr>
        <w:t>4. Terminal Command Execution Outputs</w:t>
      </w:r>
    </w:p>
    <w:p>
      <w:pPr>
        <w:spacing w:after="80"/>
      </w:pPr>
      <w:r>
        <w:t>To verify pipeline stages independently, the individual commands for packaging, testing, deploying, and health-checking were executed in the terminal. Figure 2 records the commands and their outputs:</w:t>
      </w:r>
    </w:p>
    <w:p>
      <w:pPr>
        <w:spacing w:before="120" w:after="40"/>
        <w:jc w:val="center"/>
      </w:pPr>
    </w:p>
    <w:p>
      <w:r>
        <w:drawing>
          <wp:inline xmlns:a="http://schemas.openxmlformats.org/drawingml/2006/main" xmlns:pic="http://schemas.openxmlformats.org/drawingml/2006/picture">
            <wp:extent cx="5760720" cy="3026720"/>
            <wp:docPr id="2" name="Picture 2"/>
            <wp:cNvGraphicFramePr>
              <a:graphicFrameLocks noChangeAspect="1"/>
            </wp:cNvGraphicFramePr>
            <a:graphic>
              <a:graphicData uri="http://schemas.openxmlformats.org/drawingml/2006/picture">
                <pic:pic>
                  <pic:nvPicPr>
                    <pic:cNvPr id="0" name="screenshot_a3_commands_execution.png"/>
                    <pic:cNvPicPr/>
                  </pic:nvPicPr>
                  <pic:blipFill>
                    <a:blip r:embed="rId10"/>
                    <a:stretch>
                      <a:fillRect/>
                    </a:stretch>
                  </pic:blipFill>
                  <pic:spPr>
                    <a:xfrm>
                      <a:off x="0" y="0"/>
                      <a:ext cx="5760720" cy="3026720"/>
                    </a:xfrm>
                    <a:prstGeom prst="rect"/>
                  </pic:spPr>
                </pic:pic>
              </a:graphicData>
            </a:graphic>
          </wp:inline>
        </w:drawing>
      </w:r>
    </w:p>
    <w:p>
      <w:pPr>
        <w:spacing w:after="280"/>
        <w:jc w:val="center"/>
      </w:pPr>
      <w:r>
        <w:rPr>
          <w:rFonts w:ascii="Calibri" w:hAnsi="Calibri"/>
          <w:i/>
          <w:color w:val="718096"/>
          <w:sz w:val="19"/>
        </w:rPr>
        <w:t>Figure 2: Execution output recording Docker build, Pytest passing, Compose deployment, and curl 200 OK.</w:t>
      </w:r>
    </w:p>
    <w:p>
      <w:pPr>
        <w:pStyle w:val="Heading1"/>
      </w:pPr>
      <w:r>
        <w:rPr>
          <w:rFonts w:ascii="Calibri" w:hAnsi="Calibri"/>
          <w:b/>
          <w:color w:val="1B365D"/>
          <w:sz w:val="26"/>
        </w:rPr>
        <w:t>5. Observations &amp; Key Findings</w:t>
      </w:r>
    </w:p>
    <w:p>
      <w:pPr>
        <w:spacing w:after="120" w:line="276" w:lineRule="auto"/>
      </w:pPr>
      <w:r>
        <w:rPr>
          <w:rFonts w:ascii="Calibri" w:hAnsi="Calibri"/>
          <w:sz w:val="21"/>
        </w:rPr>
        <w:t>Detailed observations recorded for each experiment:</w:t>
        <w:br/>
        <w:br/>
        <w:t>• Observation 1 (Experiment 1 — Pipeline Stages):</w:t>
        <w:br/>
        <w:t xml:space="preserve">  Breaking down the delivery workflow into strict, isolated stages (Build -&gt; Test -&gt; Deploy) guarantees that faulty code never reaches production. If pytest fails in Stage 2, Jenkins halts immediately before deploying.</w:t>
        <w:br/>
        <w:br/>
        <w:t>• Observation 2 (Experiment 2 — Build Triggers &amp; Health Probing):</w:t>
        <w:br/>
        <w:t xml:space="preserve">  Automating build triggers (GitHub webhook &amp; pollSCM) eliminates the delays of manual execution. Incorporating an active health-check loop with curl ensures that the deployment stage validates true container readiness rather than just process initiation.</w:t>
        <w:br/>
        <w:br/>
        <w:t>• Observation 3 (Experiment 3 — Post-Build Resilience):</w:t>
        <w:br/>
        <w:t xml:space="preserve">  Post-build actions provide essential cleanup and recovery. Running cleanWs() prevents storage bloat on build nodes, while defining automated rollback steps under the 'failure' condition ensures continuous service uptime.</w:t>
      </w:r>
    </w:p>
    <w:p>
      <w:pPr>
        <w:pStyle w:val="Heading1"/>
      </w:pPr>
      <w:r>
        <w:rPr>
          <w:rFonts w:ascii="Calibri" w:hAnsi="Calibri"/>
          <w:b/>
          <w:color w:val="1B365D"/>
          <w:sz w:val="26"/>
        </w:rPr>
        <w:t>6. Conclusion</w:t>
      </w:r>
    </w:p>
    <w:p>
      <w:pPr>
        <w:spacing w:after="240" w:line="276" w:lineRule="auto"/>
      </w:pPr>
      <w:r>
        <w:rPr>
          <w:rFonts w:ascii="Calibri" w:hAnsi="Calibri"/>
          <w:sz w:val="21"/>
        </w:rPr>
        <w:t>Accurately documenting commands, pipeline configurations, version control histories, and runtime observations provides full traceability and repeatability in DevOps engineering. The experiments demonstrate that automation coupled with proactive health checks results in a reliable, resilient, and enterprise-ready continuous delivery lifecycle.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