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16C6F" w14:textId="77777777" w:rsidR="00176D8C" w:rsidRDefault="00176D8C" w:rsidP="00176D8C">
      <w:pPr>
        <w:jc w:val="both"/>
        <w:rPr>
          <w:rFonts w:ascii="Arial" w:hAnsi="Arial" w:cs="Arial"/>
        </w:rPr>
      </w:pPr>
      <w:r w:rsidRPr="00B5153C">
        <w:rPr>
          <w:rFonts w:ascii="Arial" w:hAnsi="Arial" w:cs="Arial"/>
          <w:b/>
        </w:rPr>
        <w:t>Authors</w:t>
      </w:r>
      <w:r w:rsidRPr="00B5153C">
        <w:rPr>
          <w:rFonts w:ascii="Arial" w:hAnsi="Arial" w:cs="Arial"/>
        </w:rPr>
        <w:t xml:space="preserve">: </w:t>
      </w:r>
    </w:p>
    <w:p w14:paraId="2F599732" w14:textId="77777777" w:rsidR="00176D8C" w:rsidRPr="00B5153C" w:rsidRDefault="00176D8C" w:rsidP="00176D8C">
      <w:pPr>
        <w:jc w:val="both"/>
        <w:rPr>
          <w:rFonts w:ascii="Arial" w:hAnsi="Arial" w:cs="Arial"/>
        </w:rPr>
      </w:pPr>
      <w:proofErr w:type="spellStart"/>
      <w:r w:rsidRPr="00B5153C">
        <w:rPr>
          <w:rFonts w:ascii="Arial" w:hAnsi="Arial" w:cs="Arial"/>
        </w:rPr>
        <w:t>Komal</w:t>
      </w:r>
      <w:proofErr w:type="spellEnd"/>
      <w:r>
        <w:rPr>
          <w:rFonts w:ascii="Arial" w:hAnsi="Arial" w:cs="Arial"/>
        </w:rPr>
        <w:t xml:space="preserve"> S</w:t>
      </w:r>
      <w:r w:rsidRPr="00B5153C">
        <w:rPr>
          <w:rFonts w:ascii="Arial" w:hAnsi="Arial" w:cs="Arial"/>
        </w:rPr>
        <w:t xml:space="preserve"> Rathi</w:t>
      </w:r>
      <w:r w:rsidRPr="00113E08">
        <w:rPr>
          <w:rFonts w:ascii="Arial" w:hAnsi="Arial" w:cs="Arial"/>
          <w:vertAlign w:val="superscript"/>
        </w:rPr>
        <w:t>1</w:t>
      </w:r>
      <w:r w:rsidRPr="00B5153C">
        <w:rPr>
          <w:rFonts w:ascii="Arial" w:hAnsi="Arial" w:cs="Arial"/>
        </w:rPr>
        <w:t>, Lori S Hart</w:t>
      </w:r>
      <w:r w:rsidRPr="00113E08">
        <w:rPr>
          <w:rFonts w:ascii="Arial" w:hAnsi="Arial" w:cs="Arial"/>
          <w:vertAlign w:val="superscript"/>
        </w:rPr>
        <w:t>2</w:t>
      </w:r>
      <w:r w:rsidRPr="00B5153C">
        <w:rPr>
          <w:rFonts w:ascii="Arial" w:hAnsi="Arial" w:cs="Arial"/>
        </w:rPr>
        <w:t>, John M Maris</w:t>
      </w:r>
      <w:r w:rsidRPr="00113E08">
        <w:rPr>
          <w:rFonts w:ascii="Arial" w:hAnsi="Arial" w:cs="Arial"/>
          <w:vertAlign w:val="superscript"/>
        </w:rPr>
        <w:t>2,3,4</w:t>
      </w:r>
      <w:r w:rsidRPr="00B5153C">
        <w:rPr>
          <w:rFonts w:ascii="Arial" w:hAnsi="Arial" w:cs="Arial"/>
        </w:rPr>
        <w:t>, Deanne Taylor</w:t>
      </w:r>
      <w:r w:rsidRPr="00176D8C">
        <w:rPr>
          <w:rFonts w:ascii="Arial" w:hAnsi="Arial" w:cs="Arial"/>
          <w:vertAlign w:val="superscript"/>
        </w:rPr>
        <w:t>1,5,6,7</w:t>
      </w:r>
      <w:r w:rsidRPr="00B5153C">
        <w:rPr>
          <w:rFonts w:ascii="Arial" w:hAnsi="Arial" w:cs="Arial"/>
        </w:rPr>
        <w:t xml:space="preserve">, </w:t>
      </w:r>
      <w:proofErr w:type="spellStart"/>
      <w:r w:rsidRPr="00B5153C">
        <w:rPr>
          <w:rFonts w:ascii="Arial" w:hAnsi="Arial" w:cs="Arial"/>
        </w:rPr>
        <w:t>Pichai</w:t>
      </w:r>
      <w:proofErr w:type="spellEnd"/>
      <w:r w:rsidRPr="00B5153C">
        <w:rPr>
          <w:rFonts w:ascii="Arial" w:hAnsi="Arial" w:cs="Arial"/>
        </w:rPr>
        <w:t xml:space="preserve"> Raman</w:t>
      </w:r>
      <w:r w:rsidRPr="00113E08">
        <w:rPr>
          <w:rFonts w:ascii="Arial" w:hAnsi="Arial" w:cs="Arial"/>
          <w:sz w:val="28"/>
          <w:vertAlign w:val="superscript"/>
        </w:rPr>
        <w:t>1</w:t>
      </w:r>
    </w:p>
    <w:p w14:paraId="1B0A2DD6" w14:textId="77777777" w:rsidR="00176D8C" w:rsidRPr="00B5153C" w:rsidRDefault="00176D8C" w:rsidP="00176D8C">
      <w:pPr>
        <w:jc w:val="both"/>
        <w:rPr>
          <w:rFonts w:ascii="Arial" w:hAnsi="Arial" w:cs="Arial"/>
        </w:rPr>
      </w:pPr>
    </w:p>
    <w:p w14:paraId="708D27F5" w14:textId="77777777" w:rsidR="00176D8C" w:rsidRPr="00176D8C" w:rsidRDefault="00176D8C" w:rsidP="00176D8C">
      <w:pPr>
        <w:jc w:val="both"/>
        <w:rPr>
          <w:rFonts w:ascii="Arial" w:hAnsi="Arial" w:cs="Arial"/>
          <w:b/>
        </w:rPr>
      </w:pPr>
      <w:r w:rsidRPr="00113E08">
        <w:rPr>
          <w:rFonts w:ascii="Arial" w:hAnsi="Arial" w:cs="Arial"/>
          <w:b/>
        </w:rPr>
        <w:t>Author Information</w:t>
      </w:r>
      <w:r w:rsidRPr="00176D8C">
        <w:rPr>
          <w:rFonts w:ascii="Arial" w:hAnsi="Arial" w:cs="Arial"/>
        </w:rPr>
        <w:t>:</w:t>
      </w:r>
    </w:p>
    <w:p w14:paraId="7242CB33" w14:textId="77777777" w:rsidR="00176D8C" w:rsidRDefault="00176D8C" w:rsidP="00176D8C">
      <w:p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113E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Department of Biomedical and Health Informatics, The Children's Hospital of Philadelphia, Philadelphia, PA 19104, USA.</w:t>
      </w:r>
    </w:p>
    <w:p w14:paraId="077A64A2" w14:textId="77777777" w:rsidR="00176D8C" w:rsidRDefault="00176D8C" w:rsidP="00176D8C">
      <w:pPr>
        <w:rPr>
          <w:rFonts w:eastAsia="Times New Roman"/>
        </w:rPr>
      </w:pPr>
      <w:r w:rsidRPr="00113E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Division of Oncology and Center for Childhood Cancer Research, Children's Hospital of Philadelphia, Philadelphia, Pennsylvania 19104, USA.</w:t>
      </w:r>
    </w:p>
    <w:p w14:paraId="7D734D20" w14:textId="77777777" w:rsidR="00176D8C" w:rsidRPr="00113E08" w:rsidRDefault="00176D8C" w:rsidP="00176D8C">
      <w:pPr>
        <w:rPr>
          <w:rFonts w:eastAsia="Times New Roman"/>
        </w:rPr>
      </w:pPr>
      <w:r w:rsidRPr="00113E08">
        <w:rPr>
          <w:rFonts w:ascii="Arial" w:hAnsi="Arial" w:cs="Arial"/>
          <w:vertAlign w:val="superscript"/>
        </w:rPr>
        <w:t>3</w:t>
      </w:r>
      <w:r w:rsidRPr="009B174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Department of Pediatrics, Perelman School of Medicine, University of Pennsylvania, Philadelphia, Pennsylvania 19104, USA.</w:t>
      </w:r>
    </w:p>
    <w:p w14:paraId="4B62C042" w14:textId="77777777" w:rsidR="00176D8C" w:rsidRPr="00113E08" w:rsidRDefault="00176D8C" w:rsidP="00176D8C">
      <w:pPr>
        <w:rPr>
          <w:rFonts w:eastAsia="Times New Roman"/>
        </w:rPr>
      </w:pPr>
      <w:r w:rsidRPr="00113E08">
        <w:rPr>
          <w:rFonts w:ascii="Arial" w:hAnsi="Arial" w:cs="Arial"/>
          <w:vertAlign w:val="superscript"/>
        </w:rPr>
        <w:t>4</w:t>
      </w:r>
      <w:r w:rsidRPr="009B174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Abramson Family Cancer Research Institute, Philadelphia, Pennsylvania 19104, USA.</w:t>
      </w:r>
    </w:p>
    <w:p w14:paraId="267672BA" w14:textId="77777777" w:rsidR="00176D8C" w:rsidRDefault="00176D8C" w:rsidP="00176D8C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>5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Department of Genetics, Rutgers University, Piscataway, NJ 08854, USA.</w:t>
      </w:r>
    </w:p>
    <w:p w14:paraId="291C1FBD" w14:textId="77777777" w:rsidR="00176D8C" w:rsidRDefault="00176D8C" w:rsidP="00176D8C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113E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>6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Department of Pediatrics, Perelman School of Medicine, University of Pennsylvania, Philadelphia, PA 19104, USA </w:t>
      </w:r>
    </w:p>
    <w:p w14:paraId="36FA6B27" w14:textId="77777777" w:rsidR="00176D8C" w:rsidRDefault="00176D8C" w:rsidP="00176D8C">
      <w:pPr>
        <w:rPr>
          <w:rFonts w:eastAsia="Times New Roman"/>
        </w:rPr>
      </w:pPr>
      <w:r w:rsidRPr="00113E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Department of Obstetrics, Gynecology and Reproductive Sciences, Rutgers Robert Wood Johnson Medical School, New Brunswick, NJ 08901, USA.</w:t>
      </w:r>
    </w:p>
    <w:p w14:paraId="3FED9AAC" w14:textId="77777777" w:rsidR="00176D8C" w:rsidRPr="00B5153C" w:rsidRDefault="00176D8C" w:rsidP="00176D8C">
      <w:pPr>
        <w:jc w:val="both"/>
        <w:rPr>
          <w:rFonts w:ascii="Arial" w:hAnsi="Arial" w:cs="Arial"/>
        </w:rPr>
      </w:pPr>
    </w:p>
    <w:p w14:paraId="19539AB8" w14:textId="77777777" w:rsidR="00176D8C" w:rsidRDefault="00176D8C" w:rsidP="00176D8C">
      <w:pPr>
        <w:jc w:val="both"/>
        <w:rPr>
          <w:rFonts w:ascii="Arial" w:hAnsi="Arial" w:cs="Arial"/>
        </w:rPr>
      </w:pPr>
      <w:r w:rsidRPr="00B5153C">
        <w:rPr>
          <w:rFonts w:ascii="Arial" w:hAnsi="Arial" w:cs="Arial"/>
          <w:b/>
        </w:rPr>
        <w:t>Title</w:t>
      </w:r>
      <w:r>
        <w:rPr>
          <w:rFonts w:ascii="Arial" w:hAnsi="Arial" w:cs="Arial"/>
        </w:rPr>
        <w:t xml:space="preserve">: </w:t>
      </w:r>
      <w:bookmarkStart w:id="0" w:name="_GoBack"/>
      <w:bookmarkEnd w:id="0"/>
    </w:p>
    <w:p w14:paraId="37633D57" w14:textId="77777777" w:rsidR="00176D8C" w:rsidRPr="00B5153C" w:rsidRDefault="00176D8C" w:rsidP="00176D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 A</w:t>
      </w:r>
      <w:r w:rsidRPr="00B5153C">
        <w:rPr>
          <w:rFonts w:ascii="Arial" w:hAnsi="Arial" w:cs="Arial"/>
        </w:rPr>
        <w:t xml:space="preserve">gile </w:t>
      </w:r>
      <w:r>
        <w:rPr>
          <w:rFonts w:ascii="Arial" w:hAnsi="Arial" w:cs="Arial"/>
        </w:rPr>
        <w:t>Web Portal to S</w:t>
      </w:r>
      <w:r w:rsidRPr="00B5153C">
        <w:rPr>
          <w:rFonts w:ascii="Arial" w:hAnsi="Arial" w:cs="Arial"/>
        </w:rPr>
        <w:t>upport Translational Neuroblastoma Research</w:t>
      </w:r>
    </w:p>
    <w:p w14:paraId="75350ACB" w14:textId="77777777" w:rsidR="00176D8C" w:rsidRPr="00B5153C" w:rsidRDefault="00176D8C" w:rsidP="00176D8C">
      <w:pPr>
        <w:jc w:val="both"/>
        <w:rPr>
          <w:rFonts w:ascii="Arial" w:hAnsi="Arial" w:cs="Arial"/>
        </w:rPr>
      </w:pPr>
    </w:p>
    <w:p w14:paraId="0EEC05EF" w14:textId="77777777" w:rsidR="00176D8C" w:rsidRPr="00B5153C" w:rsidRDefault="00176D8C" w:rsidP="00176D8C">
      <w:pPr>
        <w:jc w:val="both"/>
        <w:rPr>
          <w:rFonts w:ascii="Arial" w:hAnsi="Arial" w:cs="Arial"/>
        </w:rPr>
      </w:pPr>
      <w:r w:rsidRPr="00B5153C">
        <w:rPr>
          <w:rFonts w:ascii="Arial" w:hAnsi="Arial" w:cs="Arial"/>
          <w:b/>
        </w:rPr>
        <w:t>Abstract</w:t>
      </w:r>
      <w:r w:rsidRPr="00B5153C">
        <w:rPr>
          <w:rFonts w:ascii="Arial" w:hAnsi="Arial" w:cs="Arial"/>
        </w:rPr>
        <w:t xml:space="preserve">: </w:t>
      </w:r>
    </w:p>
    <w:p w14:paraId="0FAC62CA" w14:textId="77777777" w:rsidR="00176D8C" w:rsidRPr="001D2135" w:rsidRDefault="00176D8C" w:rsidP="00176D8C">
      <w:pPr>
        <w:jc w:val="both"/>
        <w:rPr>
          <w:rFonts w:ascii="Arial" w:hAnsi="Arial" w:cs="Arial"/>
          <w:color w:val="000000"/>
        </w:rPr>
      </w:pPr>
      <w:r w:rsidRPr="00B5153C">
        <w:rPr>
          <w:rFonts w:ascii="Arial" w:hAnsi="Arial" w:cs="Arial"/>
          <w:color w:val="000000"/>
        </w:rPr>
        <w:t>We prese</w:t>
      </w:r>
      <w:r>
        <w:rPr>
          <w:rFonts w:ascii="Arial" w:hAnsi="Arial" w:cs="Arial"/>
          <w:color w:val="000000"/>
        </w:rPr>
        <w:t xml:space="preserve">nt a </w:t>
      </w:r>
      <w:r w:rsidRPr="00B5153C">
        <w:rPr>
          <w:rFonts w:ascii="Arial" w:hAnsi="Arial" w:cs="Arial"/>
          <w:color w:val="000000"/>
        </w:rPr>
        <w:t xml:space="preserve">Neuroblastoma </w:t>
      </w:r>
      <w:r>
        <w:rPr>
          <w:rFonts w:ascii="Arial" w:hAnsi="Arial" w:cs="Arial"/>
          <w:color w:val="000000"/>
        </w:rPr>
        <w:t xml:space="preserve">Genomics </w:t>
      </w:r>
      <w:r w:rsidRPr="00B5153C">
        <w:rPr>
          <w:rFonts w:ascii="Arial" w:hAnsi="Arial" w:cs="Arial"/>
          <w:color w:val="000000"/>
        </w:rPr>
        <w:t xml:space="preserve">Web Portal, as a common entry point to a wide range of in-house and external resources that will help </w:t>
      </w:r>
      <w:r>
        <w:rPr>
          <w:rFonts w:ascii="Arial" w:hAnsi="Arial" w:cs="Arial"/>
          <w:color w:val="000000"/>
        </w:rPr>
        <w:t xml:space="preserve">translational cancer researchers </w:t>
      </w:r>
      <w:r w:rsidRPr="00B5153C">
        <w:rPr>
          <w:rFonts w:ascii="Arial" w:hAnsi="Arial" w:cs="Arial"/>
          <w:color w:val="000000"/>
        </w:rPr>
        <w:t>investigate and visualize genetic interactions and genotype-phenotype relationships in the context of multidimensional data.</w:t>
      </w:r>
      <w:r>
        <w:rPr>
          <w:rFonts w:ascii="Arial" w:eastAsia="Times New Roman" w:hAnsi="Arial" w:cs="Arial"/>
          <w:color w:val="000000"/>
        </w:rPr>
        <w:t xml:space="preserve"> </w:t>
      </w:r>
      <w:r w:rsidRPr="00B5153C">
        <w:rPr>
          <w:rFonts w:ascii="Arial" w:eastAsia="Times New Roman" w:hAnsi="Arial" w:cs="Arial"/>
          <w:color w:val="000000"/>
        </w:rPr>
        <w:t>Neuroblastoma is</w:t>
      </w:r>
      <w:r>
        <w:rPr>
          <w:rFonts w:ascii="Arial" w:eastAsia="Times New Roman" w:hAnsi="Arial" w:cs="Arial"/>
          <w:color w:val="000000"/>
        </w:rPr>
        <w:t xml:space="preserve"> a</w:t>
      </w:r>
      <w:r w:rsidRPr="00B5153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type of </w:t>
      </w:r>
      <w:r w:rsidRPr="00B5153C">
        <w:rPr>
          <w:rFonts w:ascii="Arial" w:eastAsia="Times New Roman" w:hAnsi="Arial" w:cs="Arial"/>
          <w:color w:val="000000"/>
        </w:rPr>
        <w:t xml:space="preserve">childhood cancer </w:t>
      </w:r>
      <w:r>
        <w:rPr>
          <w:rFonts w:ascii="Arial" w:eastAsia="Times New Roman" w:hAnsi="Arial" w:cs="Arial"/>
          <w:color w:val="000000"/>
        </w:rPr>
        <w:t>that</w:t>
      </w:r>
      <w:r w:rsidRPr="00B5153C">
        <w:rPr>
          <w:rFonts w:ascii="Arial" w:eastAsia="Times New Roman" w:hAnsi="Arial" w:cs="Arial"/>
          <w:color w:val="000000"/>
        </w:rPr>
        <w:t xml:space="preserve"> accounts for 50% of all cancers in infants</w:t>
      </w:r>
      <w:r>
        <w:rPr>
          <w:rFonts w:ascii="Arial" w:eastAsia="Times New Roman" w:hAnsi="Arial" w:cs="Arial"/>
          <w:color w:val="000000"/>
        </w:rPr>
        <w:t xml:space="preserve"> and is</w:t>
      </w:r>
      <w:r w:rsidRPr="00B5153C">
        <w:rPr>
          <w:rFonts w:ascii="Arial" w:eastAsia="Times New Roman" w:hAnsi="Arial" w:cs="Arial"/>
          <w:color w:val="000000"/>
        </w:rPr>
        <w:t xml:space="preserve"> the most </w:t>
      </w:r>
      <w:r w:rsidRPr="00B5153C">
        <w:rPr>
          <w:rFonts w:ascii="Arial" w:eastAsia="Times New Roman" w:hAnsi="Arial" w:cs="Arial"/>
          <w:color w:val="202020"/>
          <w:shd w:val="clear" w:color="auto" w:fill="FFFFFF"/>
        </w:rPr>
        <w:t>common extra-cranial solid tumor</w:t>
      </w:r>
      <w:r>
        <w:rPr>
          <w:rFonts w:ascii="Arial" w:eastAsia="Times New Roman" w:hAnsi="Arial" w:cs="Arial"/>
          <w:color w:val="202020"/>
          <w:shd w:val="clear" w:color="auto" w:fill="FFFFFF"/>
        </w:rPr>
        <w:t xml:space="preserve"> in children.</w:t>
      </w:r>
      <w:r w:rsidRPr="00B5153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The portal we have developed is built using </w:t>
      </w:r>
      <w:proofErr w:type="spellStart"/>
      <w:r w:rsidRPr="00B5153C"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shiny</w:t>
      </w:r>
      <w:proofErr w:type="spellEnd"/>
      <w:r>
        <w:rPr>
          <w:rFonts w:ascii="Arial" w:hAnsi="Arial" w:cs="Arial"/>
          <w:color w:val="000000"/>
        </w:rPr>
        <w:t>,</w:t>
      </w:r>
      <w:r w:rsidRPr="00B5153C">
        <w:rPr>
          <w:rFonts w:ascii="Arial" w:hAnsi="Arial" w:cs="Arial"/>
          <w:color w:val="000000"/>
        </w:rPr>
        <w:t xml:space="preserve"> a web powered framework that incorporates cutting edge statistical methods and data mining algorithms and allows for agile development of complex interactive visualizations. </w:t>
      </w:r>
      <w:r>
        <w:rPr>
          <w:rFonts w:ascii="Arial" w:hAnsi="Arial" w:cs="Arial"/>
          <w:color w:val="000000"/>
        </w:rPr>
        <w:t xml:space="preserve">It currently </w:t>
      </w:r>
      <w:r w:rsidRPr="00B27B84">
        <w:rPr>
          <w:rFonts w:ascii="Arial" w:hAnsi="Arial" w:cs="Arial"/>
          <w:color w:val="000000"/>
        </w:rPr>
        <w:t xml:space="preserve">harbors </w:t>
      </w:r>
      <w:r>
        <w:rPr>
          <w:rFonts w:ascii="Arial" w:hAnsi="Arial" w:cs="Arial"/>
          <w:color w:val="000000"/>
        </w:rPr>
        <w:t>9</w:t>
      </w:r>
      <w:r w:rsidRPr="00B27B84">
        <w:rPr>
          <w:rFonts w:ascii="Arial" w:hAnsi="Arial" w:cs="Arial"/>
          <w:color w:val="000000"/>
        </w:rPr>
        <w:t xml:space="preserve"> internal </w:t>
      </w:r>
      <w:r>
        <w:rPr>
          <w:rFonts w:ascii="Arial" w:hAnsi="Arial" w:cs="Arial"/>
          <w:color w:val="000000"/>
        </w:rPr>
        <w:t>and 2 external datasets</w:t>
      </w:r>
      <w:r w:rsidRPr="00B27B84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comprising of 1039 patient samples, </w:t>
      </w:r>
      <w:r w:rsidRPr="00B27B84">
        <w:rPr>
          <w:rFonts w:ascii="Arial" w:hAnsi="Arial" w:cs="Arial"/>
          <w:color w:val="000000"/>
        </w:rPr>
        <w:t xml:space="preserve">41 cell lines </w:t>
      </w:r>
      <w:r>
        <w:rPr>
          <w:rFonts w:ascii="Arial" w:hAnsi="Arial" w:cs="Arial"/>
          <w:color w:val="000000"/>
        </w:rPr>
        <w:t xml:space="preserve">and 1803 normal samples </w:t>
      </w:r>
      <w:r w:rsidRPr="00B27B84">
        <w:rPr>
          <w:rFonts w:ascii="Arial" w:hAnsi="Arial" w:cs="Arial"/>
          <w:color w:val="000000"/>
        </w:rPr>
        <w:t xml:space="preserve">corresponding to expression (microarray and </w:t>
      </w:r>
      <w:proofErr w:type="spellStart"/>
      <w:r w:rsidRPr="00B27B84">
        <w:rPr>
          <w:rFonts w:ascii="Arial" w:hAnsi="Arial" w:cs="Arial"/>
          <w:color w:val="000000"/>
        </w:rPr>
        <w:t>RNAseq</w:t>
      </w:r>
      <w:proofErr w:type="spellEnd"/>
      <w:r w:rsidRPr="00B27B84">
        <w:rPr>
          <w:rFonts w:ascii="Arial" w:hAnsi="Arial" w:cs="Arial"/>
          <w:color w:val="000000"/>
        </w:rPr>
        <w:t>) data, copy number and mutation calls that have been harmonized using standard</w:t>
      </w:r>
      <w:r>
        <w:rPr>
          <w:rFonts w:ascii="Arial" w:hAnsi="Arial" w:cs="Arial"/>
          <w:color w:val="000000"/>
        </w:rPr>
        <w:t xml:space="preserve"> pipelines and transformations. Unlike existing resources like R2, our user interface is intuitive which makes it easier to navigate and provides both static as well as interactive visualizations. </w:t>
      </w:r>
      <w:r w:rsidRPr="00B5153C">
        <w:rPr>
          <w:rFonts w:ascii="Arial" w:hAnsi="Arial" w:cs="Arial"/>
          <w:color w:val="000000"/>
        </w:rPr>
        <w:t xml:space="preserve">Some, among many, applications are - visualizations for gene expression across cohorts, gene-gene correlations, copy number-mRNA expression correlations, Kaplan-Meier plots and tools to compare cell lines and identify tumor vs. normal differential expression utilizing public datasets like </w:t>
      </w:r>
      <w:proofErr w:type="spellStart"/>
      <w:r w:rsidRPr="00B5153C">
        <w:rPr>
          <w:rFonts w:ascii="Arial" w:hAnsi="Arial" w:cs="Arial"/>
          <w:color w:val="000000"/>
        </w:rPr>
        <w:t>GTEx</w:t>
      </w:r>
      <w:proofErr w:type="spellEnd"/>
      <w:r w:rsidRPr="00B5153C">
        <w:rPr>
          <w:rFonts w:ascii="Arial" w:hAnsi="Arial" w:cs="Arial"/>
          <w:color w:val="000000"/>
        </w:rPr>
        <w:t xml:space="preserve"> and TARGET. By </w:t>
      </w:r>
      <w:r>
        <w:rPr>
          <w:rFonts w:ascii="Arial" w:hAnsi="Arial" w:cs="Arial"/>
          <w:color w:val="000000"/>
        </w:rPr>
        <w:t>visualizing and analyzing</w:t>
      </w:r>
      <w:r w:rsidRPr="00B5153C">
        <w:rPr>
          <w:rFonts w:ascii="Arial" w:hAnsi="Arial" w:cs="Arial"/>
          <w:color w:val="000000"/>
        </w:rPr>
        <w:t xml:space="preserve"> the inter-relationships between components like DNA copy number, methylation patterns, mRNA expression and clinical parameters like age, stage and survival</w:t>
      </w:r>
      <w:r>
        <w:rPr>
          <w:rFonts w:ascii="Arial" w:hAnsi="Arial" w:cs="Arial"/>
          <w:color w:val="000000"/>
        </w:rPr>
        <w:t xml:space="preserve"> through this set of accessible tools</w:t>
      </w:r>
      <w:r w:rsidRPr="00B5153C">
        <w:rPr>
          <w:rFonts w:ascii="Arial" w:hAnsi="Arial" w:cs="Arial"/>
          <w:color w:val="000000"/>
        </w:rPr>
        <w:t xml:space="preserve">, we hope to have a better understanding of the disease and thus improved patient </w:t>
      </w:r>
      <w:r>
        <w:rPr>
          <w:rFonts w:ascii="Arial" w:hAnsi="Arial" w:cs="Arial"/>
          <w:color w:val="000000"/>
        </w:rPr>
        <w:t>mortality and morbidity</w:t>
      </w:r>
      <w:r w:rsidRPr="00B5153C">
        <w:rPr>
          <w:rFonts w:ascii="Arial" w:hAnsi="Arial" w:cs="Arial"/>
          <w:color w:val="000000"/>
        </w:rPr>
        <w:t>.</w:t>
      </w:r>
      <w:r w:rsidRPr="001D2135">
        <w:rPr>
          <w:rFonts w:ascii="Arial" w:hAnsi="Arial" w:cs="Arial"/>
          <w:color w:val="000000"/>
        </w:rPr>
        <w:t xml:space="preserve"> </w:t>
      </w:r>
      <w:r w:rsidRPr="00B5153C">
        <w:rPr>
          <w:rFonts w:ascii="Arial" w:hAnsi="Arial" w:cs="Arial"/>
          <w:color w:val="000000"/>
        </w:rPr>
        <w:t xml:space="preserve">In future, we plan to incorporate </w:t>
      </w:r>
      <w:r>
        <w:rPr>
          <w:rFonts w:ascii="Arial" w:hAnsi="Arial" w:cs="Arial"/>
          <w:color w:val="000000"/>
        </w:rPr>
        <w:t>enhancements</w:t>
      </w:r>
      <w:r w:rsidRPr="00B5153C">
        <w:rPr>
          <w:rFonts w:ascii="Arial" w:hAnsi="Arial" w:cs="Arial"/>
          <w:color w:val="000000"/>
        </w:rPr>
        <w:t xml:space="preserve"> like secured logins, usage statistics</w:t>
      </w:r>
      <w:r>
        <w:rPr>
          <w:rFonts w:ascii="Arial" w:hAnsi="Arial" w:cs="Arial"/>
          <w:color w:val="000000"/>
        </w:rPr>
        <w:t>,</w:t>
      </w:r>
      <w:r w:rsidRPr="00B5153C">
        <w:rPr>
          <w:rFonts w:ascii="Arial" w:hAnsi="Arial" w:cs="Arial"/>
          <w:color w:val="000000"/>
        </w:rPr>
        <w:t xml:space="preserve"> and </w:t>
      </w:r>
      <w:r>
        <w:rPr>
          <w:rFonts w:ascii="Arial" w:hAnsi="Arial" w:cs="Arial"/>
          <w:color w:val="000000"/>
        </w:rPr>
        <w:t>cloud based file systems.</w:t>
      </w:r>
    </w:p>
    <w:p w14:paraId="6356A55D" w14:textId="77777777" w:rsidR="00176D8C" w:rsidRPr="00443E13" w:rsidRDefault="00176D8C" w:rsidP="00176D8C">
      <w:pPr>
        <w:jc w:val="both"/>
        <w:rPr>
          <w:rFonts w:ascii="Arial" w:hAnsi="Arial" w:cs="Arial"/>
          <w:iCs/>
          <w:color w:val="000000"/>
        </w:rPr>
      </w:pPr>
    </w:p>
    <w:p w14:paraId="0E12D3A7" w14:textId="77777777" w:rsidR="00455872" w:rsidRDefault="00176D8C"/>
    <w:sectPr w:rsidR="00455872" w:rsidSect="00FE0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8C"/>
    <w:rsid w:val="00176D8C"/>
    <w:rsid w:val="00B75013"/>
    <w:rsid w:val="00C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6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D8C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2456</Characters>
  <Application>Microsoft Macintosh Word</Application>
  <DocSecurity>0</DocSecurity>
  <Lines>20</Lines>
  <Paragraphs>5</Paragraphs>
  <ScaleCrop>false</ScaleCrop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2016-06-29T15:25:00Z</dcterms:created>
  <dcterms:modified xsi:type="dcterms:W3CDTF">2016-06-29T15:28:00Z</dcterms:modified>
</cp:coreProperties>
</file>