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06356E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«О предоставлении информации в отношении АКЦИОНЕРНОЕ ОБЩЕСТВО "РН БАНК"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АО "РН БАНК"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5503067018, ОГРН: 1025500003737)»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– Денежное посредничество прочее (код ОКВЭД: 64.19)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06 ноября 2002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Юридический адрес: 109028, г. Москва, Серебряническая набережная, д. 29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Контакты ЕГРЮЛ: </w:t>
            </w:r>
            <w:r w:rsidRPr="009F7DE6">
              <w:rPr>
                <w:rFonts w:ascii="Times New Roman" w:hAnsi="Times New Roman" w:cs="Times New Roman"/>
              </w:rPr>
              <w:t xml:space="preserve">Тел: ['+78007001147', '+74957754068', '+73812251703']</w:t>
              <w:br/>
              <w:t xml:space="preserve">Емэйл: ['postmaster@banksibir.ru']</w:t>
              <w:br/>
              <w:t xml:space="preserve">ВебСайт: http://rn-bank.ru</w:t>
              <w:br/>
              <w:t xml:space="preserve"/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Уставный капитал 6069000000 рублей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/>
              <w:br/>
              <w:t xml:space="preserve">- БАРН Б.В., ЧАСТНАЯ КОМПАНИЯ С ОГРАНИЧЕННОЙ ОТВЕТСТВЕННОСТЬЮ, рег.№ 57713855, Нидерланды - None% в УК (6069000000.0 рублей);</w:t>
              <w:br/>
              <w:t xml:space="preserve"/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Держатель реестра акционеров - ОТКРЫТОЕ АКЦИОНЕРНОЕ ОБЩЕСТВО "РЕГИСТРАТОР Р.О.С.Т." (ОГРН: 1027739216757)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Учредители организации в иных действующих юридических лицах участия не принимают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Председатель правления Боднарчук Ольга Николаевна, ИНН 780209912922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06356E" w:rsidRDefault="0006356E" w:rsidP="00C10160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6356E">
              <w:rPr>
                <w:rFonts w:ascii="Times New Roman" w:hAnsi="Times New Roman" w:cs="Times New Roman"/>
                <w:lang w:val="en-US"/>
              </w:rPr>
              <w:lastRenderedPageBreak/>
              <w:t xml:space="preserve">В отношении АО "РН БАНК" ведется 6  исполнительных производств на общую сумму 22304.03 рублей</w:t>
            </w:r>
            <w:bookmarkStart w:id="0" w:name="_GoBack"/>
            <w:bookmarkEnd w:id="0"/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Согласно сведениям ЕГРЮЛ организация не имеет филиалов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/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Присутствие дисквалифицированных лиц в руководстве компании: Нет</w:t>
              <w:br/>
              <w:t xml:space="preserve">Присутствие массовых руководителей: Нет</w:t>
              <w:br/>
              <w:t xml:space="preserve">Присутствие массовых учредителей: Нет</w:t>
              <w:br/>
              <w:t xml:space="preserve">Присутствие в перечне недобросовестных поставщиков: Нет</w:t>
              <w:br/>
              <w:t xml:space="preserve"/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6356E"/>
    <w:rsid w:val="000F2A84"/>
    <w:rsid w:val="001D55C8"/>
    <w:rsid w:val="0022510C"/>
    <w:rsid w:val="003F54F4"/>
    <w:rsid w:val="004A6542"/>
    <w:rsid w:val="00700799"/>
    <w:rsid w:val="009B396C"/>
    <w:rsid w:val="009F7DE6"/>
    <w:rsid w:val="00B40A82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2023-01-18T09:42:00Z</dcterms:created>
  <dcterms:modified xsi:type="dcterms:W3CDTF">2023-01-27T11:46:00Z</dcterms:modified>
  <dc:identifier/>
  <dc:language/>
</cp:coreProperties>
</file>