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научная-статья-по-теме-разработка-и-внедрение-средств-электронной-подписи-в-подсистеме-обеспечения-эксплуатации-и-сервисного-обслуживания-гасвыборы"/>
      <w:r>
        <w:t xml:space="preserve">Научная статья по теме</w:t>
      </w:r>
      <w:r>
        <w:t xml:space="preserve"> </w:t>
      </w:r>
      <w:r>
        <w:t xml:space="preserve">“</w:t>
      </w:r>
      <w:r>
        <w:t xml:space="preserve">Разработка и внедрение средств электронной подписи в подсистеме обеспечения эксплуатации и сервисного обслуживания ГАС</w:t>
      </w:r>
      <w:r>
        <w:t xml:space="preserve">”</w:t>
      </w:r>
      <w:r>
        <w:t xml:space="preserve">Выборы"</w:t>
      </w:r>
      <w:bookmarkEnd w:id="21"/>
    </w:p>
    <w:p>
      <w:pPr>
        <w:pStyle w:val="Heading2"/>
      </w:pPr>
      <w:bookmarkStart w:id="22" w:name="аннотация"/>
      <w:r>
        <w:t xml:space="preserve">Аннотация</w:t>
      </w:r>
      <w:bookmarkEnd w:id="22"/>
    </w:p>
    <w:p>
      <w:pPr>
        <w:pStyle w:val="FirstParagraph"/>
      </w:pPr>
      <w:r>
        <w:t xml:space="preserve">В данной статье проведено исследование возможности внедрения модуля электронной подписи в подсистему обеспечения эксплуатации и сервисного обслуживания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 Было предложено решение, основанное на проектировании и реализации браузерного плагина для формирования электронной подписи. Для проверки целостности документов планируется использовать алгоритм на сервере, что позволит централизировать этот процесс и сократить нагрузку на клиентов. В связи с ограничениями, связанными с требованиями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, в качестве основного инструмента формирования и проверки ЭП выбран криптопровайдер от компании КриптоПро, обладающий сертификацией Федеральной службы по техническому и экспортному контролю и ФСБ РФ.</w:t>
      </w:r>
    </w:p>
    <w:p>
      <w:pPr>
        <w:pStyle w:val="Heading2"/>
      </w:pPr>
      <w:bookmarkStart w:id="23" w:name="введение"/>
      <w:r>
        <w:t xml:space="preserve">Введение</w:t>
      </w:r>
      <w:bookmarkEnd w:id="23"/>
    </w:p>
    <w:p>
      <w:pPr>
        <w:pStyle w:val="FirstParagraph"/>
      </w:pPr>
      <w:r>
        <w:t xml:space="preserve">В данной работе необходимо исследовать проблему разработки и внедрения средств электронной подписи в подсистеме обеспечения эксплуатации и сервисного обслуживания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 Объектом исследования является Электронная подпись в документообороте представленной информационной системы, а предметом - свойства электронной подписи, обеспечивающие контроль целостности данных и верификации документооборота в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</w:t>
      </w:r>
      <w:r>
        <w:br w:type="textWrapping"/>
      </w:r>
      <w:r>
        <w:t xml:space="preserve">Целью исследования является прояснение деталей проектирования и реализации модуля ЭП для верификации документов, участвующих в документообороте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</w:t>
      </w:r>
    </w:p>
    <w:p>
      <w:pPr>
        <w:pStyle w:val="Heading3"/>
      </w:pPr>
      <w:bookmarkStart w:id="24" w:name="задачи"/>
      <w:r>
        <w:t xml:space="preserve">Задачи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Анализ функциональной структуры и программной архитектуры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Изучение видов ЭП, алгоритмов ее формирования, готовых решений с учетом требований</w:t>
      </w:r>
    </w:p>
    <w:p>
      <w:pPr>
        <w:pStyle w:val="Compact"/>
        <w:numPr>
          <w:numId w:val="1001"/>
          <w:ilvl w:val="0"/>
        </w:numPr>
      </w:pPr>
      <w:r>
        <w:t xml:space="preserve">Выбор способа реализации ЭП в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</w:p>
    <w:p>
      <w:pPr>
        <w:pStyle w:val="FirstParagraph"/>
      </w:pPr>
      <w:r>
        <w:t xml:space="preserve">Разработка и внедрение программных модулей электронной подписи в подсистеме обеспечения эксплуатации и сервисного обслуживания Государственной автоматизированной системы «Выборы» является актуальной проблемой дальнейшего развития проекта ввиду отсутствия средств защиты и верификации документооборота в системе на данный момент. Решение проблемы позволит ввести контроль целостности документов, находящихся в системе. Усиленная квалифицированная электронная подпись подтверждается сертификатом от аккредитованного удостоверяющего центра и во всех случаях приравнивается к бумажному документу с «живой» подписью, что гарантирует юридическую силу ЭП, а также защищает информацию от атак с целью подмены содержимого.</w:t>
      </w:r>
    </w:p>
    <w:p>
      <w:pPr>
        <w:pStyle w:val="Heading2"/>
      </w:pPr>
      <w:bookmarkStart w:id="25" w:name="обзор-предметной-области"/>
      <w:r>
        <w:t xml:space="preserve">Обзор предметной области</w:t>
      </w:r>
      <w:bookmarkEnd w:id="25"/>
    </w:p>
    <w:p>
      <w:pPr>
        <w:pStyle w:val="Heading3"/>
      </w:pPr>
      <w:bookmarkStart w:id="26" w:name="выбор-алгоритма-для-криптографической-защиты-документов"/>
      <w:r>
        <w:t xml:space="preserve">Выбор алгоритма для криптографической защиты документов</w:t>
      </w:r>
      <w:bookmarkEnd w:id="26"/>
    </w:p>
    <w:p>
      <w:pPr>
        <w:pStyle w:val="FirstParagraph"/>
      </w:pPr>
      <w:r>
        <w:t xml:space="preserve">В 2012 году был принят новый российский стандарт, описывающий алгоритмы формирования и проверки электронной цифровой подписи, ГОСТ Р 34.10-2012. Он, как и его предшественник, основан на свойствах эллиптических кривых, стойкость которых обеспечивается сложностью вычисления дискретного логарифма в группе точек эллиптической кривой, а также хэш-функциями, регулирующимися стандартом ГОСТ Р 34.11-2012.</w:t>
      </w:r>
    </w:p>
    <w:p>
      <w:pPr>
        <w:pStyle w:val="BodyText"/>
      </w:pPr>
      <w:r>
        <w:t xml:space="preserve">Схема формирования ЭП:</w:t>
      </w:r>
      <w:r>
        <w:br w:type="textWrapping"/>
      </w:r>
      <w:r>
        <w:drawing>
          <wp:inline>
            <wp:extent cx="1828800" cy="2286000"/>
            <wp:effectExtent b="0" l="0" r="0" t="0"/>
            <wp:docPr descr="alt text" title="Схема формирования ЭП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f/f3/Forming_of_sign_gost_P34.10-2001.png/144px-Forming_of_sign_gost_P34.10-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Схема проверки подписи:</w:t>
      </w:r>
      <w:r>
        <w:br w:type="textWrapping"/>
      </w:r>
      <w:r>
        <w:drawing>
          <wp:inline>
            <wp:extent cx="1828800" cy="2286000"/>
            <wp:effectExtent b="0" l="0" r="0" t="0"/>
            <wp:docPr descr="alt text" title="Схема проверки подписи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3/33/Checking_of_sign_gost_P34.10-2001.png/144px-Checking_of_sign_gost_P34.10-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Необходимо использовать именно этот алгоритм для возможности применения ЭП как средства подтверждения личности лица, подписавшего документ.</w:t>
      </w:r>
      <w:r>
        <w:br w:type="textWrapping"/>
      </w:r>
      <w:r>
        <w:t xml:space="preserve">### Сравнение вариантов программной реализации выбранного алгоритма формирования ЭП</w:t>
      </w:r>
      <w:r>
        <w:t xml:space="preserve"> </w:t>
      </w:r>
      <w:r>
        <w:t xml:space="preserve">##### Серверная - Подпись документов и верификация ЭП на сервере</w:t>
      </w:r>
      <w:r>
        <w:t xml:space="preserve"> </w:t>
      </w:r>
      <w:r>
        <w:t xml:space="preserve">Данный вариант подразумевает использование сервера как основного регулятора процесса. Для подписи клиент будет вынужден передать данные на сервер, что не является безопасным подходом. Такая ЭП с большой вероятностью потеряет свою юридическую силу из-за нарушений законодательства РФ, регулирующего хранение закрытых ключей пользователя. Это решение можно отнести к</w:t>
      </w:r>
      <w:r>
        <w:t xml:space="preserve"> </w:t>
      </w:r>
      <w:r>
        <w:t xml:space="preserve">“</w:t>
      </w:r>
      <w:r>
        <w:t xml:space="preserve">облачным</w:t>
      </w:r>
      <w:r>
        <w:t xml:space="preserve">”</w:t>
      </w:r>
      <w:r>
        <w:t xml:space="preserve">, в этой области на рынке представлено несколько продуктов, один из которых - КриптоПро DSS.</w:t>
      </w:r>
    </w:p>
    <w:p>
      <w:pPr>
        <w:pStyle w:val="Heading5"/>
      </w:pPr>
      <w:bookmarkStart w:id="33" w:name="толстый-клиент"/>
      <w:r>
        <w:t xml:space="preserve">“</w:t>
      </w:r>
      <w:r>
        <w:t xml:space="preserve">Толстый клиент</w:t>
      </w:r>
      <w:r>
        <w:t xml:space="preserve">”</w:t>
      </w:r>
      <w:bookmarkEnd w:id="33"/>
    </w:p>
    <w:p>
      <w:pPr>
        <w:pStyle w:val="FirstParagraph"/>
      </w:pPr>
      <w:r>
        <w:t xml:space="preserve">Эта реализация требует установки приложения каждому клиенту системы. Приложение сможет получать необходимые документы с сервера, или с локального диска, формировать ЭП и отправлять их в систему. Проверку ЭП можно проводить на сервере, где будут храниться открытые ключи пользователей, либо в приложении, для чего клиент должен будет получать документ, ЭП и открытый ключ предполагаемого автора.</w:t>
      </w:r>
    </w:p>
    <w:p>
      <w:pPr>
        <w:pStyle w:val="Heading5"/>
      </w:pPr>
      <w:bookmarkStart w:id="34" w:name="плагин-для-браузера"/>
      <w:r>
        <w:t xml:space="preserve">Плагин для браузера</w:t>
      </w:r>
      <w:bookmarkEnd w:id="34"/>
    </w:p>
    <w:p>
      <w:pPr>
        <w:pStyle w:val="FirstParagraph"/>
      </w:pPr>
      <w:r>
        <w:t xml:space="preserve">Данная реализация требует поддержки браузером JavaScript плагинов, наличие у каждого клиента CryptoPro CSP версии выше 3.6. Плагин будет получать доступ к сертификату пользователя и документ из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, ЭП будет формироваться в браузере клиента и отправляться непосредственно в систему.</w:t>
      </w:r>
    </w:p>
    <w:p>
      <w:pPr>
        <w:pStyle w:val="Heading5"/>
      </w:pPr>
      <w:bookmarkStart w:id="35" w:name="использование-стороннего-продукта"/>
      <w:r>
        <w:t xml:space="preserve">Использование стороннего продукта</w:t>
      </w:r>
      <w:bookmarkEnd w:id="35"/>
    </w:p>
    <w:p>
      <w:pPr>
        <w:pStyle w:val="FirstParagraph"/>
      </w:pPr>
      <w:r>
        <w:t xml:space="preserve">На данный момент наиболее удачным сторонним решением явяется Adobe Acrobat Pro, который позволяет формировать ЭП для документов в формате [.pdf]. Решение требует наличие лицензии на данный продукт, а также сертификата от удостоверяющего центра.</w:t>
      </w:r>
    </w:p>
    <w:p>
      <w:pPr>
        <w:pStyle w:val="Heading4"/>
      </w:pPr>
      <w:bookmarkStart w:id="36" w:name="критерии-сравнения-аналогов"/>
      <w:r>
        <w:t xml:space="preserve">Критерии сравнения аналогов</w:t>
      </w:r>
      <w:bookmarkEnd w:id="36"/>
    </w:p>
    <w:p>
      <w:pPr>
        <w:pStyle w:val="Heading5"/>
      </w:pPr>
      <w:bookmarkStart w:id="37" w:name="расширяемость"/>
      <w:r>
        <w:t xml:space="preserve">Расширяемость</w:t>
      </w:r>
      <w:bookmarkEnd w:id="37"/>
    </w:p>
    <w:p>
      <w:pPr>
        <w:pStyle w:val="FirstParagraph"/>
      </w:pPr>
      <w:r>
        <w:t xml:space="preserve">Критерий подразумевает оценку последующего развития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, увеличение нагрузки на серверную часть и базу данных.</w:t>
      </w:r>
    </w:p>
    <w:p>
      <w:pPr>
        <w:pStyle w:val="Heading5"/>
      </w:pPr>
      <w:bookmarkStart w:id="38" w:name="доступность"/>
      <w:r>
        <w:t xml:space="preserve">Доступность</w:t>
      </w:r>
      <w:bookmarkEnd w:id="38"/>
    </w:p>
    <w:p>
      <w:pPr>
        <w:pStyle w:val="FirstParagraph"/>
      </w:pPr>
      <w:r>
        <w:t xml:space="preserve">Подразумевает отсутствие сложностей при установке, использовании и обновлении модуля.</w:t>
      </w:r>
    </w:p>
    <w:p>
      <w:pPr>
        <w:pStyle w:val="Heading5"/>
      </w:pPr>
      <w:bookmarkStart w:id="39" w:name="безопасность"/>
      <w:r>
        <w:t xml:space="preserve">Безопасность</w:t>
      </w:r>
      <w:bookmarkEnd w:id="39"/>
    </w:p>
    <w:p>
      <w:pPr>
        <w:pStyle w:val="FirstParagraph"/>
      </w:pPr>
      <w:r>
        <w:t xml:space="preserve">Критерий оценивается по количеству потенциальных рисков подмены или предоставления некорректных данных.</w:t>
      </w:r>
    </w:p>
    <w:p>
      <w:pPr>
        <w:pStyle w:val="Heading5"/>
      </w:pPr>
      <w:bookmarkStart w:id="40" w:name="масштабируемость"/>
      <w:r>
        <w:t xml:space="preserve">Масштабируемость</w:t>
      </w:r>
      <w:bookmarkEnd w:id="40"/>
    </w:p>
    <w:p>
      <w:pPr>
        <w:pStyle w:val="FirstParagraph"/>
      </w:pPr>
      <w:r>
        <w:t xml:space="preserve">Возможность выделения в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 </w:t>
      </w:r>
      <w:r>
        <w:t xml:space="preserve">модулей и из размещение на отдельных серверных узлах для увеличения производительности системы в целом.</w:t>
      </w:r>
    </w:p>
    <w:p>
      <w:pPr>
        <w:pStyle w:val="Heading4"/>
      </w:pPr>
      <w:bookmarkStart w:id="41" w:name="таблица-сравнения-по-критериям"/>
      <w:r>
        <w:t xml:space="preserve">Таблица сравнения по критериям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Критерий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Серверная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Толстый клиент</w:t>
            </w:r>
            <w:r>
              <w:t xml:space="preserve">”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Плагин для браузера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Adobe Acrobat 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Расширяемость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Доступность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Безопасность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Масштабируемость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</w:tbl>
    <w:p>
      <w:pPr>
        <w:pStyle w:val="Heading4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По итогам анализа можно заметить, что каждое решение обладает своими преимуществами и недостатками. Серверная реализация позволит использовать проверенный сервер для формирования ЭП и верификацию документов, что исключит возможность подлога, так как данные будут заранее загружены в систему, но обновление данных о сертификатах будет затруднено.</w:t>
      </w:r>
      <w:r>
        <w:t xml:space="preserve"> </w:t>
      </w:r>
      <w:r>
        <w:t xml:space="preserve">“</w:t>
      </w:r>
      <w:r>
        <w:t xml:space="preserve">Толстый клиент</w:t>
      </w:r>
      <w:r>
        <w:t xml:space="preserve">”</w:t>
      </w:r>
      <w:r>
        <w:t xml:space="preserve"> </w:t>
      </w:r>
      <w:r>
        <w:t xml:space="preserve">является безопасным и отделенным от системы модулем, что позволит клиенту работать с модулем ЭП, даже если в системе произойдет сбой. Но возникают проблемы с первичной установкой, а также обновлением модуля.</w:t>
      </w:r>
      <w:r>
        <w:t xml:space="preserve"> </w:t>
      </w:r>
      <w:r>
        <w:t xml:space="preserve">Плагин для браузера является гибким решением, так как пользователь будет уверен в безопасности своего закрытого ключа. Модуль сможет обновляться без действий клиента, но при отказе системы модуль также станет недоступным.</w:t>
      </w:r>
      <w:r>
        <w:t xml:space="preserve"> </w:t>
      </w:r>
      <w:r>
        <w:t xml:space="preserve">Продукт компании Adobe является универсальным решением, которое может стабильно работать вне зависимости от состояния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, также пользователи смогут использовать его для просмотра и редактирования документов. Недостаток в том, что данное решение подразумевает использование прикрепленной ЭП для конкретного расширения файлов, что противоречит техническому заданию на разработку модуля ЭП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</w:t>
      </w:r>
    </w:p>
    <w:p>
      <w:pPr>
        <w:pStyle w:val="Heading2"/>
      </w:pPr>
      <w:bookmarkStart w:id="43" w:name="выбор-метода-решения"/>
      <w:r>
        <w:t xml:space="preserve">Выбор метода решения</w:t>
      </w:r>
      <w:bookmarkEnd w:id="43"/>
    </w:p>
    <w:p>
      <w:pPr>
        <w:pStyle w:val="FirstParagraph"/>
      </w:pPr>
      <w:r>
        <w:t xml:space="preserve">В результате сравнения аналогов реализации модуля ЭП для подсистемы обеспечения эксплуатации и сервисного обслуживания Государственной автоматизированной системы «Выборы» наиболее удачным вариантом архитектуры приложения для формирования ЭП стал модуль в виде плагина для браузера. При успешной реализации данного подхода клиент сможет подписывать документы, не покидая окно браузера, в котором открыта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, что не изменит интерфейс взаимодействия с системой. Закрытый ключ пользователя останется в безопасности, а система не будет отягощена работой с электронной подписью.</w:t>
      </w:r>
      <w:r>
        <w:br w:type="textWrapping"/>
      </w:r>
      <w:r>
        <w:t xml:space="preserve">Проверка электронных подписей должна производится на сервере, где будут храниться сертификаты с открытыми ключами пользователей. Для обеспечения актуальности предоставляемой сервером информации необходимо обновлять статус подписи раз в сутки.</w:t>
      </w:r>
      <w:r>
        <w:t xml:space="preserve"> </w:t>
      </w:r>
      <w:r>
        <w:t xml:space="preserve">Для выбранного алгоритма шифрования существует несколько программных реализаций, среди которых решения от КриптоПро и Крипто-КОМ. Необходимо учесть, что по требованию Государственной автоматизированной системы «Выборы» на все клиентские машины устанавливается криптопровайдер КриптоПро CSP, таким образом остановимся на этом продукте и рассмотрим варианты реализации на его базе.</w:t>
      </w:r>
    </w:p>
    <w:p>
      <w:pPr>
        <w:pStyle w:val="Heading2"/>
      </w:pPr>
      <w:bookmarkStart w:id="44" w:name="описание-метода-решения"/>
      <w:r>
        <w:t xml:space="preserve">Описание метода решения</w:t>
      </w:r>
      <w:bookmarkEnd w:id="44"/>
    </w:p>
    <w:p>
      <w:pPr>
        <w:pStyle w:val="FirstParagraph"/>
      </w:pPr>
      <w:r>
        <w:t xml:space="preserve">Для формирования электронной подписи в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 </w:t>
      </w:r>
      <w:r>
        <w:t xml:space="preserve">необходимо внедрить плагин, работа которого будет заключаться в следующем:</w:t>
      </w:r>
      <w:r>
        <w:t xml:space="preserve"> </w:t>
      </w:r>
      <w:r>
        <w:t xml:space="preserve">+ Получение доступа к работе с сертификатом пользователя</w:t>
      </w:r>
      <w:r>
        <w:t xml:space="preserve"> </w:t>
      </w:r>
      <w:r>
        <w:t xml:space="preserve">+ Получение документа из специального поля на странице загрузки документа</w:t>
      </w:r>
      <w:r>
        <w:t xml:space="preserve"> </w:t>
      </w:r>
      <w:r>
        <w:t xml:space="preserve">+ Получение списка отклоненных сертификатов</w:t>
      </w:r>
      <w:r>
        <w:t xml:space="preserve"> </w:t>
      </w:r>
      <w:r>
        <w:t xml:space="preserve">+ Формирование ЭП с помощью алгоритма из библиотеки криптопровайдера КриптоПро CSP</w:t>
      </w:r>
      <w:r>
        <w:t xml:space="preserve"> </w:t>
      </w:r>
      <w:r>
        <w:t xml:space="preserve">+ Загрузка документ и ЭП в систему</w:t>
      </w:r>
    </w:p>
    <w:p>
      <w:pPr>
        <w:pStyle w:val="BodyText"/>
      </w:pPr>
      <w:r>
        <w:t xml:space="preserve">Для проверки электронной подписи необходимо при каждом обращении к документу проверять время его последней проверки на сервере, в случае, если оно превышает 24 часа, необходимо запускать повторную проверку, которая позволит убедиться в целостности данных, либо покажет, что подпись невалидна. Также необходимо осуществлять первичную проверку подписи документов при их загрузке в ПОЭСО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</w:t>
      </w:r>
      <w:r>
        <w:t xml:space="preserve"> </w:t>
      </w:r>
      <w:r>
        <w:t xml:space="preserve">Работа алгоритма проверки заключается в следующем:</w:t>
      </w:r>
      <w:r>
        <w:br w:type="textWrapping"/>
      </w:r>
      <w:r>
        <w:t xml:space="preserve">+ Обращение к Удостоверяющему центру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 </w:t>
      </w:r>
      <w:r>
        <w:t xml:space="preserve">и получение сертификата ключа проверки электронной подписи пользователя, загрузившего документ</w:t>
      </w:r>
      <w:r>
        <w:t xml:space="preserve"> </w:t>
      </w:r>
      <w:r>
        <w:t xml:space="preserve">+ Хэширование бинарного представления документа</w:t>
      </w:r>
      <w:r>
        <w:t xml:space="preserve"> </w:t>
      </w:r>
      <w:r>
        <w:t xml:space="preserve">+ Расшифровка ЭП, прикрепленной к проверяемому документу, с помощью открытого ключа пользователя</w:t>
      </w:r>
      <w:r>
        <w:t xml:space="preserve"> </w:t>
      </w:r>
      <w:r>
        <w:t xml:space="preserve">+ Сравнение полученных хэшей документа, положительный ответ в случае их идентичности, в ином случае отрицательный.</w:t>
      </w:r>
    </w:p>
    <w:p>
      <w:pPr>
        <w:pStyle w:val="Heading2"/>
      </w:pPr>
      <w:bookmarkStart w:id="45" w:name="исследование-метода-решения"/>
      <w:r>
        <w:t xml:space="preserve">## Исследование метода решения</w:t>
      </w:r>
      <w:bookmarkEnd w:id="45"/>
    </w:p>
    <w:p>
      <w:pPr>
        <w:pStyle w:val="Heading2"/>
      </w:pPr>
      <w:bookmarkStart w:id="46" w:name="заключение"/>
      <w:r>
        <w:t xml:space="preserve">Заключение</w:t>
      </w:r>
      <w:bookmarkEnd w:id="46"/>
    </w:p>
    <w:p>
      <w:pPr>
        <w:pStyle w:val="FirstParagraph"/>
      </w:pPr>
      <w:r>
        <w:t xml:space="preserve">В результате выполнения работы было проведено исследование возможности внедрения средств электронной подписи в подсистему обеспечения эксплуатации и сервисного обслуживания ГАС</w:t>
      </w:r>
      <w:r>
        <w:t xml:space="preserve"> </w:t>
      </w:r>
      <w:r>
        <w:t xml:space="preserve">“</w:t>
      </w:r>
      <w:r>
        <w:t xml:space="preserve">Выборы</w:t>
      </w:r>
      <w:r>
        <w:t xml:space="preserve">”</w:t>
      </w:r>
      <w:r>
        <w:t xml:space="preserve">. Проведенное исследование позволило разобрать утвержденные ГОСТом криптографические алгоритмы, которые позволяют формировать электронную подпись. Изучены готовые программные решения, удовлетворяющие требованиям Законодательства РФ, а также лучшие практики реализаций подобных модулей. На основании проведенного исследования реализован модуль, работающий на базе плагина для браузера КриптоПро.</w:t>
      </w:r>
    </w:p>
    <w:p>
      <w:pPr>
        <w:pStyle w:val="Heading2"/>
      </w:pPr>
      <w:bookmarkStart w:id="47" w:name="список-литературы"/>
      <w:r>
        <w:t xml:space="preserve">Список литературы</w:t>
      </w:r>
      <w:bookmarkEnd w:id="47"/>
    </w:p>
    <w:p>
      <w:pPr>
        <w:pStyle w:val="FirstParagraph"/>
      </w:pPr>
      <w:r>
        <w:t xml:space="preserve">http://www.altell.ru/legislation/standards/gost-34.10-2012.pdf</w:t>
      </w:r>
      <w:r>
        <w:br w:type="textWrapping"/>
      </w:r>
      <w:r>
        <w:t xml:space="preserve">https://ru.wikipedia.org/wiki/ГОСТ_Р_34.10-2012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1f3d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d51bb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2017-12-28T18:28:44Z</dcterms:created>
  <dcterms:modified xsi:type="dcterms:W3CDTF">2017-12-28T18:28:44Z</dcterms:modified>
</cp:coreProperties>
</file>