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cs="Times New Roman"/>
          <w:b/>
          <w:sz w:val="36"/>
        </w:rPr>
        <w:t>Reliability, Consistency, and Threading Architectures in Cloud Message Brokers: A Distributed-Systems Performance Study</w:t>
      </w:r>
    </w:p>
    <w:p>
      <w:pPr>
        <w:spacing w:after="80" w:before="0"/>
        <w:jc w:val="center"/>
      </w:pPr>
      <w:r>
        <w:rPr>
          <w:rFonts w:ascii="Times New Roman" w:hAnsi="Times New Roman" w:cs="Times New Roman"/>
          <w:b w:val="0"/>
          <w:i w:val="0"/>
          <w:sz w:val="26"/>
        </w:rPr>
        <w:t>Bhuvana Komati¹, Himanshu Jain², and Vidhyacharan Bhaskar³*</w:t>
      </w:r>
    </w:p>
    <w:p>
      <w:pPr>
        <w:spacing w:after="40" w:before="0"/>
        <w:jc w:val="center"/>
      </w:pPr>
      <w:r>
        <w:rPr>
          <w:rFonts w:ascii="Times New Roman" w:hAnsi="Times New Roman" w:cs="Times New Roman"/>
          <w:b w:val="0"/>
          <w:i w:val="0"/>
          <w:sz w:val="22"/>
        </w:rPr>
        <w:t>¹²³Department of Computer Engineering</w:t>
      </w:r>
    </w:p>
    <w:p>
      <w:pPr>
        <w:spacing w:after="40" w:before="0"/>
        <w:jc w:val="center"/>
      </w:pPr>
      <w:r>
        <w:rPr>
          <w:rFonts w:ascii="Times New Roman" w:hAnsi="Times New Roman" w:cs="Times New Roman"/>
          <w:b w:val="0"/>
          <w:i w:val="0"/>
          <w:sz w:val="22"/>
        </w:rPr>
        <w:t>San Jose State University</w:t>
      </w:r>
    </w:p>
    <w:p>
      <w:pPr>
        <w:spacing w:after="40" w:before="0"/>
        <w:jc w:val="center"/>
      </w:pPr>
      <w:r>
        <w:rPr>
          <w:rFonts w:ascii="Times New Roman" w:hAnsi="Times New Roman" w:cs="Times New Roman"/>
          <w:b w:val="0"/>
          <w:i w:val="0"/>
          <w:sz w:val="22"/>
        </w:rPr>
        <w:t>One Washington Square, San Jose, CA 95192, USA</w:t>
      </w:r>
    </w:p>
    <w:p>
      <w:pPr>
        <w:spacing w:after="40" w:before="0"/>
        <w:jc w:val="center"/>
      </w:pPr>
      <w:r>
        <w:rPr>
          <w:rFonts w:ascii="Times New Roman" w:hAnsi="Times New Roman" w:cs="Times New Roman"/>
          <w:b w:val="0"/>
          <w:i w:val="0"/>
          <w:sz w:val="22"/>
        </w:rPr>
        <w:t>Email: bhuvana.komati@sjsu.edu, himanshu.jain@sjsu.edu, charan.bhaskar@sjsu.edu</w:t>
      </w:r>
    </w:p>
    <w:p>
      <w:pPr>
        <w:spacing w:after="40" w:before="0"/>
        <w:jc w:val="center"/>
      </w:pPr>
      <w:r>
        <w:rPr>
          <w:rFonts w:ascii="Times New Roman" w:hAnsi="Times New Roman" w:cs="Times New Roman"/>
          <w:b w:val="0"/>
          <w:i/>
          <w:sz w:val="20"/>
        </w:rPr>
        <w:t>*Corresponding author email: charan.bhaskar@sjsu.edu</w:t>
      </w:r>
    </w:p>
    <w:p>
      <w:pPr>
        <w:spacing w:after="160" w:before="0"/>
        <w:jc w:val="center"/>
      </w:pPr>
      <w:r>
        <w:rPr>
          <w:rFonts w:ascii="Times New Roman" w:hAnsi="Times New Roman" w:cs="Times New Roman"/>
          <w:b w:val="0"/>
          <w:i w:val="0"/>
          <w:sz w:val="22"/>
        </w:rPr>
        <w:t>October 2026</w:t>
      </w:r>
    </w:p>
    <w:p>
      <w:pPr>
        <w:spacing w:after="80" w:before="0"/>
        <w:jc w:val="center"/>
      </w:pPr>
      <w:r>
        <w:rPr>
          <w:rFonts w:ascii="Times New Roman" w:hAnsi="Times New Roman" w:cs="Times New Roman"/>
          <w:b/>
          <w:i w:val="0"/>
          <w:sz w:val="24"/>
        </w:rPr>
        <w:t>Abstract</w:t>
      </w:r>
    </w:p>
    <w:p>
      <w:pPr>
        <w:spacing w:after="120" w:before="0"/>
        <w:jc w:val="both"/>
      </w:pPr>
      <w:r>
        <w:rPr>
          <w:rFonts w:ascii="Times New Roman" w:hAnsi="Times New Roman" w:cs="Times New Roman"/>
          <w:sz w:val="21"/>
        </w:rPr>
        <w:t>Cloud message brokers such as AWS SQS, RabbitMQ, and Apache Kafka must guarantee at-least-once delivery, durability, ordering, and—for transactional workloads—atomicity and agreement across replicas. These mechanisms, and the thread-pool architecture that executes them, impose a performance cost that classical queueing models ignore. This companion to our study of heavy-tailed service times holds the workload fixed and quantifies the cost of the broker's distributed-systems machinery with a seeded SimPy discrete-event framework, reporting every result as a mean over independent replications with a 95% confidence interval and, wherever a closed form exists, against an exact analytical value. Two-Phase Commit with three replicas, 10 ms round trips, and 0.99 replica availability adds 60.5 ms per message—half of it from rare 1 s vote timeouts—and cuts saturation throughput by 42.3%; Raft commit on the critical path costs 7.0% of capacity on a LAN but 36.2% on a WAN. The visibility timeout has an interior optimum: very short timeouts cause duplicate deliveries (54% of messages at 0.5 s) and dead-lettering, while long ones add roughly a tenth of the timeout to mean latency. Replication matters only when nodes fail: with node outages, two replicas cut the mean time to first delivery from 4.92 s to 0.50 s. Strict in-order delivery costs 19% mean latency at moderate load. A shared thread pool is 10% slower than an ideal pool at ρ = 0.7 and 4.8× slower at ρ = 0.9, whereas a dedicated pool behaves as an Erlang loss system that rejects up to 49% of arrivals. For heterogeneous servers we show that the large penalties often attributed to service-rate variance are instead per-pool instability caused by load-oblivious dispatch: with capacity-proportional or queue-aware routing every configuration is stable, and the most heterogeneous one waits no longer than a homogeneous fleet.</w:t>
      </w:r>
    </w:p>
    <w:p>
      <w:pPr>
        <w:spacing w:after="120" w:before="0"/>
        <w:jc w:val="both"/>
      </w:pPr>
      <w:r>
        <w:rPr>
          <w:rFonts w:ascii="Times New Roman" w:hAnsi="Times New Roman" w:cs="Times New Roman"/>
          <w:b/>
          <w:sz w:val="21"/>
        </w:rPr>
        <w:t xml:space="preserve">Keywords: </w:t>
      </w:r>
      <w:r>
        <w:rPr>
          <w:rFonts w:ascii="Times New Roman" w:hAnsi="Times New Roman" w:cs="Times New Roman"/>
          <w:sz w:val="21"/>
        </w:rPr>
        <w:t>Two-Phase Commit, Raft Consensus, Vector Clocks, Causal Delivery, Thread Pool Architecture, Visibility Timeout, Replication, Message Ordering, Heterogeneous Servers, Discrete-Event Simulation</w:t>
      </w:r>
    </w:p>
    <w:p>
      <w:pPr>
        <w:spacing w:after="80" w:before="200"/>
      </w:pPr>
      <w:r>
        <w:rPr>
          <w:rFonts w:ascii="Times New Roman" w:hAnsi="Times New Roman" w:cs="Times New Roman"/>
          <w:b/>
          <w:sz w:val="28"/>
        </w:rPr>
        <w:t>1   Introduction</w:t>
      </w:r>
    </w:p>
    <w:p>
      <w:pPr>
        <w:spacing w:after="120" w:before="0"/>
        <w:jc w:val="both"/>
      </w:pPr>
      <w:r>
        <w:rPr>
          <w:rFonts w:ascii="Times New Roman" w:hAnsi="Times New Roman" w:cs="Times New Roman"/>
          <w:sz w:val="22"/>
        </w:rPr>
        <w:t>Cloud message brokers decouple producers from consumers and absorb load spikes through asynchronous queues. Production systems such as AWS Simple Queue Service (SQS), RabbitMQ, and Apache Kafka are not simple FIFO buffers: to guarantee no message loss, survivable storage, ordered or causally consistent delivery, and in some cases transactional atomicity, they layer visibility timeouts and redelivery, multi-replica storage, consensus, and atomic-commit protocols on top of the raw queue. Each mechanism consumes time and threads, and that cost is invisible to a textbook M/M/N analysis.</w:t>
      </w:r>
    </w:p>
    <w:p>
      <w:pPr>
        <w:spacing w:after="120" w:before="0"/>
        <w:jc w:val="both"/>
      </w:pPr>
      <w:r>
        <w:rPr>
          <w:rFonts w:ascii="Times New Roman" w:hAnsi="Times New Roman" w:cs="Times New Roman"/>
          <w:sz w:val="22"/>
        </w:rPr>
        <w:t>In a companion paper we studied one axis of broker performance—the effect of heavy-tailed (Pareto) service-time distributions on tail latency and the resulting gap between M/M/N predictions and simulation. The present paper is the orthogonal study: we hold the service distribution (exponential, unless stated) fixed and quantify the performance consequences of the reliability, consistency, and concurrency mechanisms themselves.</w:t>
      </w:r>
    </w:p>
    <w:p>
      <w:pPr>
        <w:spacing w:after="120" w:before="0"/>
        <w:jc w:val="both"/>
      </w:pPr>
      <w:r>
        <w:rPr>
          <w:rFonts w:ascii="Times New Roman" w:hAnsi="Times New Roman" w:cs="Times New Roman"/>
          <w:sz w:val="22"/>
        </w:rPr>
        <w:t>Our contributions are fourfold. First, we measure the trade-offs of three reliability mechanisms—visibility timeout, replication under node outages, and message ordering. Second, we measure the latency and capacity cost of Two-Phase Commit and Raft on the critical path, and the hold-back cost of vector-clock causal delivery. Third, we compare dedicated and shared thread pools and identify each as a classical queueing system. Fourth, we relax four baseline assumptions—homogeneous servers, infinite buffers, a single priority class, and exponential service—and validate each extension against an exact or standard analytical result.</w:t>
      </w:r>
    </w:p>
    <w:p>
      <w:pPr>
        <w:spacing w:after="60" w:before="120"/>
      </w:pPr>
      <w:r>
        <w:rPr>
          <w:rFonts w:ascii="Times New Roman" w:hAnsi="Times New Roman" w:cs="Times New Roman"/>
          <w:b/>
          <w:sz w:val="24"/>
        </w:rPr>
        <w:t>1.1   Background and Related Work</w:t>
      </w:r>
    </w:p>
    <w:p>
      <w:pPr>
        <w:spacing w:after="120" w:before="0"/>
        <w:jc w:val="both"/>
      </w:pPr>
      <w:r>
        <w:rPr>
          <w:rFonts w:ascii="Times New Roman" w:hAnsi="Times New Roman" w:cs="Times New Roman"/>
          <w:sz w:val="22"/>
        </w:rPr>
        <w:t>Lamport's logical clocks [2] established the happened-before relation, later refined into vector clocks by Fidge [3] and Mattern [4]; causal broadcast built on them was given by Birman, Schiper, and Stephenson [22]. Atomic commitment was formalized by Gray [7] as Two-Phase Commit, whose blocking behavior was analyzed by Gray and Lamport [8]. Fischer, Lynch, and Paterson [11] showed consensus impossible in a purely asynchronous system with one crash, motivating leader-based protocols such as Paxos [6] and Raft [5]. Brewer's CAP conjecture [9], proved by Gilbert and Lynch [10], frames the choice between consistency and availability under partition; Vogels [12] and Dynamo [13] describe the eventually consistent alternative. Dean and Barroso [14] showed that tail latency governs user experience at scale, which motivates our P99 measurements.</w:t>
      </w:r>
    </w:p>
    <w:p>
      <w:pPr>
        <w:spacing w:after="120" w:before="0"/>
        <w:jc w:val="both"/>
      </w:pPr>
      <w:r>
        <w:rPr>
          <w:rFonts w:ascii="Times New Roman" w:hAnsi="Times New Roman" w:cs="Times New Roman"/>
          <w:sz w:val="22"/>
        </w:rPr>
        <w:t>On the queueing side we use Erlang's loss and delay formulas [16], Kleinrock's treatment [15], Little's Law [17], Cobham's priority formula [23], the Allen–Cunneen approximation [24], and Harchol-Balter's synthesis [18]. Our base system is the cloud-broker model of Li et al. [1], whose visibility-timeout and ordering semantics we implement; where Li et al. use Colored Petri Nets, we use discrete-event simulation in SimPy [20].</w:t>
      </w:r>
    </w:p>
    <w:p>
      <w:pPr>
        <w:spacing w:after="80" w:before="200"/>
      </w:pPr>
      <w:r>
        <w:rPr>
          <w:rFonts w:ascii="Times New Roman" w:hAnsi="Times New Roman" w:cs="Times New Roman"/>
          <w:b/>
          <w:sz w:val="28"/>
        </w:rPr>
        <w:t>2   System Model and Methodology</w:t>
      </w:r>
    </w:p>
    <w:p>
      <w:pPr>
        <w:spacing w:after="120" w:before="0"/>
        <w:jc w:val="both"/>
      </w:pPr>
      <w:r>
        <w:rPr>
          <w:rFonts w:ascii="Times New Roman" w:hAnsi="Times New Roman" w:cs="Times New Roman"/>
          <w:sz w:val="22"/>
        </w:rPr>
        <w:t>All results are produced by a discrete-event simulator written in Python with SimPy 4.1.1 [20]. Messages arrive as a Poisson process of rate λ and are served by threads modeled as SimPy resources; protocols are modeled either as explicit state machines (storage nodes with visibility-timeout managers, Raft nodes, causal-broadcast members) or as additional service-time components (2PC). Every run discards a warm-up interval, and every random stream is seeded. Unless stated otherwise each configuration is replicated 10 times with independent seeds, and we report the mean across replications with a 95% Student-t confidence interval (written mean ± half-width). Table 1 lists the common parameters.</w:t>
      </w:r>
    </w:p>
    <w:p>
      <w:pPr>
        <w:spacing w:after="80" w:before="40"/>
        <w:jc w:val="center"/>
      </w:pPr>
      <w:r>
        <w:rPr>
          <w:rFonts w:ascii="Times New Roman" w:hAnsi="Times New Roman" w:cs="Times New Roman"/>
          <w:b/>
          <w:sz w:val="19"/>
        </w:rPr>
        <w:t>Table 1:</w:t>
      </w:r>
      <w:r>
        <w:rPr>
          <w:rFonts w:ascii="Times New Roman" w:hAnsi="Times New Roman" w:cs="Times New Roman"/>
          <w:sz w:val="19"/>
        </w:rPr>
        <w:t xml:space="preserve"> Common system and protocol parameters.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20" w:before="20"/>
              <w:jc w:val="center"/>
            </w:pPr>
            <w:r/>
            <w:r>
              <w:rPr>
                <w:rFonts w:ascii="Times New Roman" w:hAnsi="Times New Roman" w:cs="Times New Roman"/>
                <w:b/>
                <w:sz w:val="19"/>
              </w:rPr>
              <w:t>Parameter</w:t>
            </w:r>
          </w:p>
        </w:tc>
        <w:tc>
          <w:tcPr>
            <w:tcW w:type="dxa" w:w="3010"/>
          </w:tcPr>
          <w:p>
            <w:pPr>
              <w:spacing w:after="20" w:before="20"/>
              <w:jc w:val="center"/>
            </w:pPr>
            <w:r/>
            <w:r>
              <w:rPr>
                <w:rFonts w:ascii="Times New Roman" w:hAnsi="Times New Roman" w:cs="Times New Roman"/>
                <w:b/>
                <w:sz w:val="19"/>
              </w:rPr>
              <w:t>Symbol</w:t>
            </w:r>
          </w:p>
        </w:tc>
        <w:tc>
          <w:tcPr>
            <w:tcW w:type="dxa" w:w="3010"/>
          </w:tcPr>
          <w:p>
            <w:pPr>
              <w:spacing w:after="20" w:before="20"/>
              <w:jc w:val="center"/>
            </w:pPr>
            <w:r/>
            <w:r>
              <w:rPr>
                <w:rFonts w:ascii="Times New Roman" w:hAnsi="Times New Roman" w:cs="Times New Roman"/>
                <w:b/>
                <w:sz w:val="19"/>
              </w:rPr>
              <w:t>Default value</w:t>
            </w:r>
          </w:p>
        </w:tc>
      </w:tr>
      <w:tr>
        <w:tc>
          <w:tcPr>
            <w:tcW w:type="dxa" w:w="3010"/>
          </w:tcPr>
          <w:p>
            <w:pPr>
              <w:spacing w:after="20" w:before="20"/>
              <w:jc w:val="center"/>
            </w:pPr>
            <w:r/>
            <w:r>
              <w:rPr>
                <w:rFonts w:ascii="Times New Roman" w:hAnsi="Times New Roman" w:cs="Times New Roman"/>
                <w:b w:val="0"/>
                <w:sz w:val="19"/>
              </w:rPr>
              <w:t>Service rate per thread</w:t>
            </w:r>
          </w:p>
        </w:tc>
        <w:tc>
          <w:tcPr>
            <w:tcW w:type="dxa" w:w="3010"/>
          </w:tcPr>
          <w:p>
            <w:pPr>
              <w:spacing w:after="20" w:before="20"/>
              <w:jc w:val="center"/>
            </w:pPr>
            <w:r/>
            <w:r>
              <w:rPr>
                <w:rFonts w:ascii="Times New Roman" w:hAnsi="Times New Roman" w:cs="Times New Roman"/>
                <w:b w:val="0"/>
                <w:sz w:val="19"/>
              </w:rPr>
              <w:t>μ</w:t>
            </w:r>
          </w:p>
        </w:tc>
        <w:tc>
          <w:tcPr>
            <w:tcW w:type="dxa" w:w="3010"/>
          </w:tcPr>
          <w:p>
            <w:pPr>
              <w:spacing w:after="20" w:before="20"/>
              <w:jc w:val="center"/>
            </w:pPr>
            <w:r/>
            <w:r>
              <w:rPr>
                <w:rFonts w:ascii="Times New Roman" w:hAnsi="Times New Roman" w:cs="Times New Roman"/>
                <w:b w:val="0"/>
                <w:sz w:val="19"/>
              </w:rPr>
              <w:t>12 msg/s</w:t>
            </w:r>
          </w:p>
        </w:tc>
      </w:tr>
      <w:tr>
        <w:tc>
          <w:tcPr>
            <w:tcW w:type="dxa" w:w="3010"/>
          </w:tcPr>
          <w:p>
            <w:pPr>
              <w:spacing w:after="20" w:before="20"/>
              <w:jc w:val="center"/>
            </w:pPr>
            <w:r/>
            <w:r>
              <w:rPr>
                <w:rFonts w:ascii="Times New Roman" w:hAnsi="Times New Roman" w:cs="Times New Roman"/>
                <w:b w:val="0"/>
                <w:sz w:val="19"/>
              </w:rPr>
              <w:t>2PC round-trip time</w:t>
            </w:r>
          </w:p>
        </w:tc>
        <w:tc>
          <w:tcPr>
            <w:tcW w:type="dxa" w:w="3010"/>
          </w:tcPr>
          <w:p>
            <w:pPr>
              <w:spacing w:after="20" w:before="20"/>
              <w:jc w:val="center"/>
            </w:pPr>
            <w:r/>
            <w:r>
              <w:rPr>
                <w:rFonts w:ascii="Times New Roman" w:hAnsi="Times New Roman" w:cs="Times New Roman"/>
                <w:b w:val="0"/>
                <w:sz w:val="19"/>
              </w:rPr>
              <w:t>RTT</w:t>
            </w:r>
          </w:p>
        </w:tc>
        <w:tc>
          <w:tcPr>
            <w:tcW w:type="dxa" w:w="3010"/>
          </w:tcPr>
          <w:p>
            <w:pPr>
              <w:spacing w:after="20" w:before="20"/>
              <w:jc w:val="center"/>
            </w:pPr>
            <w:r/>
            <w:r>
              <w:rPr>
                <w:rFonts w:ascii="Times New Roman" w:hAnsi="Times New Roman" w:cs="Times New Roman"/>
                <w:b w:val="0"/>
                <w:sz w:val="19"/>
              </w:rPr>
              <w:t>10 ms (σ = 2 ms)</w:t>
            </w:r>
          </w:p>
        </w:tc>
      </w:tr>
      <w:tr>
        <w:tc>
          <w:tcPr>
            <w:tcW w:type="dxa" w:w="3010"/>
          </w:tcPr>
          <w:p>
            <w:pPr>
              <w:spacing w:after="20" w:before="20"/>
              <w:jc w:val="center"/>
            </w:pPr>
            <w:r/>
            <w:r>
              <w:rPr>
                <w:rFonts w:ascii="Times New Roman" w:hAnsi="Times New Roman" w:cs="Times New Roman"/>
                <w:b w:val="0"/>
                <w:sz w:val="19"/>
              </w:rPr>
              <w:t>2PC replica availability / vote timeout</w:t>
            </w:r>
          </w:p>
        </w:tc>
        <w:tc>
          <w:tcPr>
            <w:tcW w:type="dxa" w:w="3010"/>
          </w:tcPr>
          <w:p>
            <w:pPr>
              <w:spacing w:after="20" w:before="20"/>
              <w:jc w:val="center"/>
            </w:pPr>
            <w:r/>
            <w:r>
              <w:rPr>
                <w:rFonts w:ascii="Times New Roman" w:hAnsi="Times New Roman" w:cs="Times New Roman"/>
                <w:b w:val="0"/>
                <w:sz w:val="19"/>
              </w:rPr>
              <w:t>a, T</w:t>
            </w:r>
          </w:p>
        </w:tc>
        <w:tc>
          <w:tcPr>
            <w:tcW w:type="dxa" w:w="3010"/>
          </w:tcPr>
          <w:p>
            <w:pPr>
              <w:spacing w:after="20" w:before="20"/>
              <w:jc w:val="center"/>
            </w:pPr>
            <w:r/>
            <w:r>
              <w:rPr>
                <w:rFonts w:ascii="Times New Roman" w:hAnsi="Times New Roman" w:cs="Times New Roman"/>
                <w:b w:val="0"/>
                <w:sz w:val="19"/>
              </w:rPr>
              <w:t>0.99, 1.0 s</w:t>
            </w:r>
          </w:p>
        </w:tc>
      </w:tr>
      <w:tr>
        <w:tc>
          <w:tcPr>
            <w:tcW w:type="dxa" w:w="3010"/>
          </w:tcPr>
          <w:p>
            <w:pPr>
              <w:spacing w:after="20" w:before="20"/>
              <w:jc w:val="center"/>
            </w:pPr>
            <w:r/>
            <w:r>
              <w:rPr>
                <w:rFonts w:ascii="Times New Roman" w:hAnsi="Times New Roman" w:cs="Times New Roman"/>
                <w:b w:val="0"/>
                <w:sz w:val="19"/>
              </w:rPr>
              <w:t>2PC replicas</w:t>
            </w:r>
          </w:p>
        </w:tc>
        <w:tc>
          <w:tcPr>
            <w:tcW w:type="dxa" w:w="3010"/>
          </w:tcPr>
          <w:p>
            <w:pPr>
              <w:spacing w:after="20" w:before="20"/>
              <w:jc w:val="center"/>
            </w:pPr>
            <w:r/>
            <w:r>
              <w:rPr>
                <w:rFonts w:ascii="Times New Roman" w:hAnsi="Times New Roman" w:cs="Times New Roman"/>
                <w:b w:val="0"/>
                <w:sz w:val="19"/>
              </w:rPr>
              <w:t>n</w:t>
            </w:r>
          </w:p>
        </w:tc>
        <w:tc>
          <w:tcPr>
            <w:tcW w:type="dxa" w:w="3010"/>
          </w:tcPr>
          <w:p>
            <w:pPr>
              <w:spacing w:after="20" w:before="20"/>
              <w:jc w:val="center"/>
            </w:pPr>
            <w:r/>
            <w:r>
              <w:rPr>
                <w:rFonts w:ascii="Times New Roman" w:hAnsi="Times New Roman" w:cs="Times New Roman"/>
                <w:b w:val="0"/>
                <w:sz w:val="19"/>
              </w:rPr>
              <w:t>3</w:t>
            </w:r>
          </w:p>
        </w:tc>
      </w:tr>
      <w:tr>
        <w:tc>
          <w:tcPr>
            <w:tcW w:type="dxa" w:w="3010"/>
          </w:tcPr>
          <w:p>
            <w:pPr>
              <w:spacing w:after="20" w:before="20"/>
              <w:jc w:val="center"/>
            </w:pPr>
            <w:r/>
            <w:r>
              <w:rPr>
                <w:rFonts w:ascii="Times New Roman" w:hAnsi="Times New Roman" w:cs="Times New Roman"/>
                <w:b w:val="0"/>
                <w:sz w:val="19"/>
              </w:rPr>
              <w:t>Raft LAN: election timeout, heartbeat, one-way delay</w:t>
            </w:r>
          </w:p>
        </w:tc>
        <w:tc>
          <w:tcPr>
            <w:tcW w:type="dxa" w:w="3010"/>
          </w:tcPr>
          <w:p>
            <w:pPr>
              <w:spacing w:after="20" w:before="20"/>
              <w:jc w:val="center"/>
            </w:pPr>
            <w:r/>
            <w:r>
              <w:rPr>
                <w:rFonts w:ascii="Times New Roman" w:hAnsi="Times New Roman" w:cs="Times New Roman"/>
                <w:b w:val="0"/>
                <w:sz w:val="19"/>
              </w:rPr>
              <w:t>—</w:t>
            </w:r>
          </w:p>
        </w:tc>
        <w:tc>
          <w:tcPr>
            <w:tcW w:type="dxa" w:w="3010"/>
          </w:tcPr>
          <w:p>
            <w:pPr>
              <w:spacing w:after="20" w:before="20"/>
              <w:jc w:val="center"/>
            </w:pPr>
            <w:r/>
            <w:r>
              <w:rPr>
                <w:rFonts w:ascii="Times New Roman" w:hAnsi="Times New Roman" w:cs="Times New Roman"/>
                <w:b w:val="0"/>
                <w:sz w:val="19"/>
              </w:rPr>
              <w:t>U[150, 300] ms, 50 ms, 2 ms + U[0, 3] ms</w:t>
            </w:r>
          </w:p>
        </w:tc>
      </w:tr>
      <w:tr>
        <w:tc>
          <w:tcPr>
            <w:tcW w:type="dxa" w:w="3010"/>
          </w:tcPr>
          <w:p>
            <w:pPr>
              <w:spacing w:after="20" w:before="20"/>
              <w:jc w:val="center"/>
            </w:pPr>
            <w:r/>
            <w:r>
              <w:rPr>
                <w:rFonts w:ascii="Times New Roman" w:hAnsi="Times New Roman" w:cs="Times New Roman"/>
                <w:b w:val="0"/>
                <w:sz w:val="19"/>
              </w:rPr>
              <w:t>Raft WAN: election timeout, heartbeat, one-way delay</w:t>
            </w:r>
          </w:p>
        </w:tc>
        <w:tc>
          <w:tcPr>
            <w:tcW w:type="dxa" w:w="3010"/>
          </w:tcPr>
          <w:p>
            <w:pPr>
              <w:spacing w:after="20" w:before="20"/>
              <w:jc w:val="center"/>
            </w:pPr>
            <w:r/>
            <w:r>
              <w:rPr>
                <w:rFonts w:ascii="Times New Roman" w:hAnsi="Times New Roman" w:cs="Times New Roman"/>
                <w:b w:val="0"/>
                <w:sz w:val="19"/>
              </w:rPr>
              <w:t>—</w:t>
            </w:r>
          </w:p>
        </w:tc>
        <w:tc>
          <w:tcPr>
            <w:tcW w:type="dxa" w:w="3010"/>
          </w:tcPr>
          <w:p>
            <w:pPr>
              <w:spacing w:after="20" w:before="20"/>
              <w:jc w:val="center"/>
            </w:pPr>
            <w:r/>
            <w:r>
              <w:rPr>
                <w:rFonts w:ascii="Times New Roman" w:hAnsi="Times New Roman" w:cs="Times New Roman"/>
                <w:b w:val="0"/>
                <w:sz w:val="19"/>
              </w:rPr>
              <w:t>U[150, 300] ms, 50 ms, 20 ms + U[0, 10] ms</w:t>
            </w:r>
          </w:p>
        </w:tc>
      </w:tr>
      <w:tr>
        <w:tc>
          <w:tcPr>
            <w:tcW w:type="dxa" w:w="3010"/>
          </w:tcPr>
          <w:p>
            <w:pPr>
              <w:spacing w:after="20" w:before="20"/>
              <w:jc w:val="center"/>
            </w:pPr>
            <w:r/>
            <w:r>
              <w:rPr>
                <w:rFonts w:ascii="Times New Roman" w:hAnsi="Times New Roman" w:cs="Times New Roman"/>
                <w:b w:val="0"/>
                <w:sz w:val="19"/>
              </w:rPr>
              <w:t>Visibility timeout (SQS default)</w:t>
            </w:r>
          </w:p>
        </w:tc>
        <w:tc>
          <w:tcPr>
            <w:tcW w:type="dxa" w:w="3010"/>
          </w:tcPr>
          <w:p>
            <w:pPr>
              <w:spacing w:after="20" w:before="20"/>
              <w:jc w:val="center"/>
            </w:pPr>
            <w:r/>
            <w:r>
              <w:rPr>
                <w:rFonts w:ascii="Times New Roman" w:hAnsi="Times New Roman" w:cs="Times New Roman"/>
                <w:b w:val="0"/>
                <w:sz w:val="19"/>
              </w:rPr>
              <w:t>VT</w:t>
            </w:r>
          </w:p>
        </w:tc>
        <w:tc>
          <w:tcPr>
            <w:tcW w:type="dxa" w:w="3010"/>
          </w:tcPr>
          <w:p>
            <w:pPr>
              <w:spacing w:after="20" w:before="20"/>
              <w:jc w:val="center"/>
            </w:pPr>
            <w:r/>
            <w:r>
              <w:rPr>
                <w:rFonts w:ascii="Times New Roman" w:hAnsi="Times New Roman" w:cs="Times New Roman"/>
                <w:b w:val="0"/>
                <w:sz w:val="19"/>
              </w:rPr>
              <w:t>30 s</w:t>
            </w:r>
          </w:p>
        </w:tc>
      </w:tr>
      <w:tr>
        <w:tc>
          <w:tcPr>
            <w:tcW w:type="dxa" w:w="3010"/>
          </w:tcPr>
          <w:p>
            <w:pPr>
              <w:spacing w:after="20" w:before="20"/>
              <w:jc w:val="center"/>
            </w:pPr>
            <w:r/>
            <w:r>
              <w:rPr>
                <w:rFonts w:ascii="Times New Roman" w:hAnsi="Times New Roman" w:cs="Times New Roman"/>
                <w:b w:val="0"/>
                <w:sz w:val="19"/>
              </w:rPr>
              <w:t>Max receive count (dead-letter threshold)</w:t>
            </w:r>
          </w:p>
        </w:tc>
        <w:tc>
          <w:tcPr>
            <w:tcW w:type="dxa" w:w="3010"/>
          </w:tcPr>
          <w:p>
            <w:pPr>
              <w:spacing w:after="20" w:before="20"/>
              <w:jc w:val="center"/>
            </w:pPr>
            <w:r/>
            <w:r>
              <w:rPr>
                <w:rFonts w:ascii="Times New Roman" w:hAnsi="Times New Roman" w:cs="Times New Roman"/>
                <w:b w:val="0"/>
                <w:sz w:val="19"/>
              </w:rPr>
              <w:t>—</w:t>
            </w:r>
          </w:p>
        </w:tc>
        <w:tc>
          <w:tcPr>
            <w:tcW w:type="dxa" w:w="3010"/>
          </w:tcPr>
          <w:p>
            <w:pPr>
              <w:spacing w:after="20" w:before="20"/>
              <w:jc w:val="center"/>
            </w:pPr>
            <w:r/>
            <w:r>
              <w:rPr>
                <w:rFonts w:ascii="Times New Roman" w:hAnsi="Times New Roman" w:cs="Times New Roman"/>
                <w:b w:val="0"/>
                <w:sz w:val="19"/>
              </w:rPr>
              <w:t>3</w:t>
            </w:r>
          </w:p>
        </w:tc>
      </w:tr>
      <w:tr>
        <w:tc>
          <w:tcPr>
            <w:tcW w:type="dxa" w:w="3010"/>
          </w:tcPr>
          <w:p>
            <w:pPr>
              <w:spacing w:after="20" w:before="20"/>
              <w:jc w:val="center"/>
            </w:pPr>
            <w:r/>
            <w:r>
              <w:rPr>
                <w:rFonts w:ascii="Times New Roman" w:hAnsi="Times New Roman" w:cs="Times New Roman"/>
                <w:b w:val="0"/>
                <w:sz w:val="19"/>
              </w:rPr>
              <w:t>Shared-pool overhead coefficient</w:t>
            </w:r>
          </w:p>
        </w:tc>
        <w:tc>
          <w:tcPr>
            <w:tcW w:type="dxa" w:w="3010"/>
          </w:tcPr>
          <w:p>
            <w:pPr>
              <w:spacing w:after="20" w:before="20"/>
              <w:jc w:val="center"/>
            </w:pPr>
            <w:r/>
            <w:r>
              <w:rPr>
                <w:rFonts w:ascii="Times New Roman" w:hAnsi="Times New Roman" w:cs="Times New Roman"/>
                <w:b w:val="0"/>
                <w:sz w:val="19"/>
              </w:rPr>
              <w:t>α</w:t>
            </w:r>
          </w:p>
        </w:tc>
        <w:tc>
          <w:tcPr>
            <w:tcW w:type="dxa" w:w="3010"/>
          </w:tcPr>
          <w:p>
            <w:pPr>
              <w:spacing w:after="20" w:before="20"/>
              <w:jc w:val="center"/>
            </w:pPr>
            <w:r/>
            <w:r>
              <w:rPr>
                <w:rFonts w:ascii="Times New Roman" w:hAnsi="Times New Roman" w:cs="Times New Roman"/>
                <w:b w:val="0"/>
                <w:sz w:val="19"/>
              </w:rPr>
              <w:t>0.1</w:t>
            </w:r>
          </w:p>
        </w:tc>
      </w:tr>
      <w:tr>
        <w:tc>
          <w:tcPr>
            <w:tcW w:type="dxa" w:w="3010"/>
          </w:tcPr>
          <w:p>
            <w:pPr>
              <w:spacing w:after="20" w:before="20"/>
              <w:jc w:val="center"/>
            </w:pPr>
            <w:r/>
            <w:r>
              <w:rPr>
                <w:rFonts w:ascii="Times New Roman" w:hAnsi="Times New Roman" w:cs="Times New Roman"/>
                <w:b w:val="0"/>
                <w:sz w:val="19"/>
              </w:rPr>
              <w:t>Threads per dedicated connection</w:t>
            </w:r>
          </w:p>
        </w:tc>
        <w:tc>
          <w:tcPr>
            <w:tcW w:type="dxa" w:w="3010"/>
          </w:tcPr>
          <w:p>
            <w:pPr>
              <w:spacing w:after="20" w:before="20"/>
              <w:jc w:val="center"/>
            </w:pPr>
            <w:r/>
            <w:r>
              <w:rPr>
                <w:rFonts w:ascii="Times New Roman" w:hAnsi="Times New Roman" w:cs="Times New Roman"/>
                <w:b w:val="0"/>
                <w:sz w:val="19"/>
              </w:rPr>
              <w:t>—</w:t>
            </w:r>
          </w:p>
        </w:tc>
        <w:tc>
          <w:tcPr>
            <w:tcW w:type="dxa" w:w="3010"/>
          </w:tcPr>
          <w:p>
            <w:pPr>
              <w:spacing w:after="20" w:before="20"/>
              <w:jc w:val="center"/>
            </w:pPr>
            <w:r/>
            <w:r>
              <w:rPr>
                <w:rFonts w:ascii="Times New Roman" w:hAnsi="Times New Roman" w:cs="Times New Roman"/>
                <w:b w:val="0"/>
                <w:sz w:val="19"/>
              </w:rPr>
              <w:t>2</w:t>
            </w:r>
          </w:p>
        </w:tc>
      </w:tr>
    </w:tbl>
    <w:p>
      <w:pPr>
        <w:spacing w:after="80" w:before="0"/>
      </w:pPr>
    </w:p>
    <w:p>
      <w:pPr>
        <w:spacing w:after="120" w:before="0"/>
        <w:jc w:val="both"/>
      </w:pPr>
      <w:r>
        <w:rPr>
          <w:rFonts w:ascii="Times New Roman" w:hAnsi="Times New Roman" w:cs="Times New Roman"/>
          <w:b/>
          <w:sz w:val="22"/>
        </w:rPr>
        <w:t xml:space="preserve">Model verification. </w:t>
      </w:r>
      <w:r>
        <w:rPr>
          <w:rFonts w:ascii="Times New Roman" w:hAnsi="Times New Roman" w:cs="Times New Roman"/>
          <w:sz w:val="22"/>
        </w:rPr>
        <w:t>Wherever an exact result exists we compare the simulator against it: M/M/N (Erlang-C) for the threading baseline, Erlang-B for the dedicated pool, independent M/M/n_i queues for heterogeneous servers under static dispatch, the M/M/N/K birth–death solution for finite buffers, Cobham's formula and the work-conservation law for priority classes, a numerically solved continuous-time Markov chain (CTMC) for Erlang-k service, the closed-form 2PC overhead moments, and (1 − f)ⁿ for the 2PC commit rate. These checks are reported alongside each result.</w:t>
      </w:r>
    </w:p>
    <w:p>
      <w:pPr>
        <w:spacing w:after="80" w:before="200"/>
      </w:pPr>
      <w:r>
        <w:rPr>
          <w:rFonts w:ascii="Times New Roman" w:hAnsi="Times New Roman" w:cs="Times New Roman"/>
          <w:b/>
          <w:sz w:val="28"/>
        </w:rPr>
        <w:t>3   Reliability Mechanisms</w:t>
      </w:r>
    </w:p>
    <w:p>
      <w:pPr>
        <w:spacing w:after="120" w:before="0"/>
        <w:jc w:val="both"/>
      </w:pPr>
      <w:r>
        <w:rPr>
          <w:rFonts w:ascii="Times New Roman" w:hAnsi="Times New Roman" w:cs="Times New Roman"/>
          <w:sz w:val="22"/>
        </w:rPr>
        <w:t>The broker model stores each message on a set of storage nodes chosen by a consistent-hash ring (150 virtual nodes per physical node, MD5 placement). Consumers poll a randomly chosen node—modeling SQS short polling—and back off for 0.1 s if it has no visible message. Receiving a copy hides all replicas of that message, so each logical message is delivered to one consumer at a time; acknowledgements use receipt handles, so an acknowledgement issued for a delivery that has already timed out is rejected, as in SQS.</w:t>
      </w:r>
    </w:p>
    <w:p>
      <w:pPr>
        <w:spacing w:after="60" w:before="120"/>
      </w:pPr>
      <w:r>
        <w:rPr>
          <w:rFonts w:ascii="Times New Roman" w:hAnsi="Times New Roman" w:cs="Times New Roman"/>
          <w:b/>
          <w:sz w:val="24"/>
        </w:rPr>
        <w:t>3.1   Visibility Timeout and Redelivery</w:t>
      </w:r>
    </w:p>
    <w:p>
      <w:pPr>
        <w:spacing w:after="120" w:before="0"/>
        <w:jc w:val="both"/>
      </w:pPr>
      <w:r>
        <w:rPr>
          <w:rFonts w:ascii="Times New Roman" w:hAnsi="Times New Roman" w:cs="Times New Roman"/>
          <w:sz w:val="22"/>
        </w:rPr>
        <w:t>A received message is hidden for VT seconds. If it is acknowledged in time it is deleted; otherwise it becomes visible again and is redelivered, and a message whose receive count reaches 3 is moved to a dead-letter queue (DLQ) [19]. VT therefore has opposing effects: if it is shorter than the processing time, healthy consumers are timed out and the message is processed twice; if it is long, a genuinely failed message waits VT before its retry. We swept VT from 0.5 s to 120 s with λ = 10 msg/s, exponential processing with mean 0.5 s, failure probability 0.1, 10 consumers, three nodes, and replication factor two (2000 s runs, 200 s warm-up, 10 replications). Duplicate rate is the number of completed-but-stale deliveries per published message; the delivery and DLQ ratios are measured over messages published at least 3·VT + 10 s before the end of the run.</w:t>
      </w:r>
    </w:p>
    <w:p>
      <w:pPr>
        <w:spacing w:after="80" w:before="40"/>
        <w:jc w:val="center"/>
      </w:pPr>
      <w:r>
        <w:rPr>
          <w:rFonts w:ascii="Times New Roman" w:hAnsi="Times New Roman" w:cs="Times New Roman"/>
          <w:b/>
          <w:sz w:val="19"/>
        </w:rPr>
        <w:t>Table 2:</w:t>
      </w:r>
      <w:r>
        <w:rPr>
          <w:rFonts w:ascii="Times New Roman" w:hAnsi="Times New Roman" w:cs="Times New Roman"/>
          <w:sz w:val="19"/>
        </w:rPr>
        <w:t xml:space="preserve"> Effect of visibility timeout (mean ± 95% CI over 10 replications).</w:t>
      </w:r>
    </w:p>
    <w:tbl>
      <w:tblPr>
        <w:tblStyle w:val="TableGrid"/>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Pr>
          <w:p>
            <w:pPr>
              <w:spacing w:after="20" w:before="20"/>
              <w:jc w:val="center"/>
            </w:pPr>
            <w:r/>
            <w:r>
              <w:rPr>
                <w:rFonts w:ascii="Times New Roman" w:hAnsi="Times New Roman" w:cs="Times New Roman"/>
                <w:b/>
                <w:sz w:val="19"/>
              </w:rPr>
              <w:t>VT (s)</w:t>
            </w:r>
          </w:p>
        </w:tc>
        <w:tc>
          <w:tcPr>
            <w:tcW w:type="dxa" w:w="1505"/>
          </w:tcPr>
          <w:p>
            <w:pPr>
              <w:spacing w:after="20" w:before="20"/>
              <w:jc w:val="center"/>
            </w:pPr>
            <w:r/>
            <w:r>
              <w:rPr>
                <w:rFonts w:ascii="Times New Roman" w:hAnsi="Times New Roman" w:cs="Times New Roman"/>
                <w:b/>
                <w:sz w:val="19"/>
              </w:rPr>
              <w:t>Mean latency (s)</w:t>
            </w:r>
          </w:p>
        </w:tc>
        <w:tc>
          <w:tcPr>
            <w:tcW w:type="dxa" w:w="1505"/>
          </w:tcPr>
          <w:p>
            <w:pPr>
              <w:spacing w:after="20" w:before="20"/>
              <w:jc w:val="center"/>
            </w:pPr>
            <w:r/>
            <w:r>
              <w:rPr>
                <w:rFonts w:ascii="Times New Roman" w:hAnsi="Times New Roman" w:cs="Times New Roman"/>
                <w:b/>
                <w:sz w:val="19"/>
              </w:rPr>
              <w:t>P99 latency (s)</w:t>
            </w:r>
          </w:p>
        </w:tc>
        <w:tc>
          <w:tcPr>
            <w:tcW w:type="dxa" w:w="1505"/>
          </w:tcPr>
          <w:p>
            <w:pPr>
              <w:spacing w:after="20" w:before="20"/>
              <w:jc w:val="center"/>
            </w:pPr>
            <w:r/>
            <w:r>
              <w:rPr>
                <w:rFonts w:ascii="Times New Roman" w:hAnsi="Times New Roman" w:cs="Times New Roman"/>
                <w:b/>
                <w:sz w:val="19"/>
              </w:rPr>
              <w:t>Mean retries</w:t>
            </w:r>
          </w:p>
        </w:tc>
        <w:tc>
          <w:tcPr>
            <w:tcW w:type="dxa" w:w="1505"/>
          </w:tcPr>
          <w:p>
            <w:pPr>
              <w:spacing w:after="20" w:before="20"/>
              <w:jc w:val="center"/>
            </w:pPr>
            <w:r/>
            <w:r>
              <w:rPr>
                <w:rFonts w:ascii="Times New Roman" w:hAnsi="Times New Roman" w:cs="Times New Roman"/>
                <w:b/>
                <w:sz w:val="19"/>
              </w:rPr>
              <w:t>Duplicates</w:t>
            </w:r>
          </w:p>
        </w:tc>
        <w:tc>
          <w:tcPr>
            <w:tcW w:type="dxa" w:w="1505"/>
          </w:tcPr>
          <w:p>
            <w:pPr>
              <w:spacing w:after="20" w:before="20"/>
              <w:jc w:val="center"/>
            </w:pPr>
            <w:r/>
            <w:r>
              <w:rPr>
                <w:rFonts w:ascii="Times New Roman" w:hAnsi="Times New Roman" w:cs="Times New Roman"/>
                <w:b/>
                <w:sz w:val="19"/>
              </w:rPr>
              <w:t>Dead-lettered</w:t>
            </w:r>
          </w:p>
        </w:tc>
      </w:tr>
      <w:tr>
        <w:tc>
          <w:tcPr>
            <w:tcW w:type="dxa" w:w="1505"/>
          </w:tcPr>
          <w:p>
            <w:pPr>
              <w:spacing w:after="20" w:before="20"/>
              <w:jc w:val="center"/>
            </w:pPr>
            <w:r/>
            <w:r>
              <w:rPr>
                <w:rFonts w:ascii="Times New Roman" w:hAnsi="Times New Roman" w:cs="Times New Roman"/>
                <w:b w:val="0"/>
                <w:sz w:val="19"/>
              </w:rPr>
              <w:t>0.5</w:t>
            </w:r>
          </w:p>
        </w:tc>
        <w:tc>
          <w:tcPr>
            <w:tcW w:type="dxa" w:w="1505"/>
          </w:tcPr>
          <w:p>
            <w:pPr>
              <w:spacing w:after="20" w:before="20"/>
              <w:jc w:val="center"/>
            </w:pPr>
            <w:r/>
            <w:r>
              <w:rPr>
                <w:rFonts w:ascii="Times New Roman" w:hAnsi="Times New Roman" w:cs="Times New Roman"/>
                <w:b w:val="0"/>
                <w:sz w:val="19"/>
              </w:rPr>
              <w:t>0.77 ± 0.03</w:t>
            </w:r>
          </w:p>
        </w:tc>
        <w:tc>
          <w:tcPr>
            <w:tcW w:type="dxa" w:w="1505"/>
          </w:tcPr>
          <w:p>
            <w:pPr>
              <w:spacing w:after="20" w:before="20"/>
              <w:jc w:val="center"/>
            </w:pPr>
            <w:r/>
            <w:r>
              <w:rPr>
                <w:rFonts w:ascii="Times New Roman" w:hAnsi="Times New Roman" w:cs="Times New Roman"/>
                <w:b w:val="0"/>
                <w:sz w:val="19"/>
              </w:rPr>
              <w:t>3.6 ± 0.3</w:t>
            </w:r>
          </w:p>
        </w:tc>
        <w:tc>
          <w:tcPr>
            <w:tcW w:type="dxa" w:w="1505"/>
          </w:tcPr>
          <w:p>
            <w:pPr>
              <w:spacing w:after="20" w:before="20"/>
              <w:jc w:val="center"/>
            </w:pPr>
            <w:r/>
            <w:r>
              <w:rPr>
                <w:rFonts w:ascii="Times New Roman" w:hAnsi="Times New Roman" w:cs="Times New Roman"/>
                <w:b w:val="0"/>
                <w:sz w:val="19"/>
              </w:rPr>
              <w:t>0.500</w:t>
            </w:r>
          </w:p>
        </w:tc>
        <w:tc>
          <w:tcPr>
            <w:tcW w:type="dxa" w:w="1505"/>
          </w:tcPr>
          <w:p>
            <w:pPr>
              <w:spacing w:after="20" w:before="20"/>
              <w:jc w:val="center"/>
            </w:pPr>
            <w:r/>
            <w:r>
              <w:rPr>
                <w:rFonts w:ascii="Times New Roman" w:hAnsi="Times New Roman" w:cs="Times New Roman"/>
                <w:b w:val="0"/>
                <w:sz w:val="19"/>
              </w:rPr>
              <w:t>53.66%</w:t>
            </w:r>
          </w:p>
        </w:tc>
        <w:tc>
          <w:tcPr>
            <w:tcW w:type="dxa" w:w="1505"/>
          </w:tcPr>
          <w:p>
            <w:pPr>
              <w:spacing w:after="20" w:before="20"/>
              <w:jc w:val="center"/>
            </w:pPr>
            <w:r/>
            <w:r>
              <w:rPr>
                <w:rFonts w:ascii="Times New Roman" w:hAnsi="Times New Roman" w:cs="Times New Roman"/>
                <w:b w:val="0"/>
                <w:sz w:val="19"/>
              </w:rPr>
              <w:t>7.94%</w:t>
            </w:r>
          </w:p>
        </w:tc>
      </w:tr>
      <w:tr>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0.67 ± 0.01</w:t>
            </w:r>
          </w:p>
        </w:tc>
        <w:tc>
          <w:tcPr>
            <w:tcW w:type="dxa" w:w="1505"/>
          </w:tcPr>
          <w:p>
            <w:pPr>
              <w:spacing w:after="20" w:before="20"/>
              <w:jc w:val="center"/>
            </w:pPr>
            <w:r/>
            <w:r>
              <w:rPr>
                <w:rFonts w:ascii="Times New Roman" w:hAnsi="Times New Roman" w:cs="Times New Roman"/>
                <w:b w:val="0"/>
                <w:sz w:val="19"/>
              </w:rPr>
              <w:t>2.8 ± 0.0</w:t>
            </w:r>
          </w:p>
        </w:tc>
        <w:tc>
          <w:tcPr>
            <w:tcW w:type="dxa" w:w="1505"/>
          </w:tcPr>
          <w:p>
            <w:pPr>
              <w:spacing w:after="20" w:before="20"/>
              <w:jc w:val="center"/>
            </w:pPr>
            <w:r/>
            <w:r>
              <w:rPr>
                <w:rFonts w:ascii="Times New Roman" w:hAnsi="Times New Roman" w:cs="Times New Roman"/>
                <w:b w:val="0"/>
                <w:sz w:val="19"/>
              </w:rPr>
              <w:t>0.252</w:t>
            </w:r>
          </w:p>
        </w:tc>
        <w:tc>
          <w:tcPr>
            <w:tcW w:type="dxa" w:w="1505"/>
          </w:tcPr>
          <w:p>
            <w:pPr>
              <w:spacing w:after="20" w:before="20"/>
              <w:jc w:val="center"/>
            </w:pPr>
            <w:r/>
            <w:r>
              <w:rPr>
                <w:rFonts w:ascii="Times New Roman" w:hAnsi="Times New Roman" w:cs="Times New Roman"/>
                <w:b w:val="0"/>
                <w:sz w:val="19"/>
              </w:rPr>
              <w:t>15.48%</w:t>
            </w:r>
          </w:p>
        </w:tc>
        <w:tc>
          <w:tcPr>
            <w:tcW w:type="dxa" w:w="1505"/>
          </w:tcPr>
          <w:p>
            <w:pPr>
              <w:spacing w:after="20" w:before="20"/>
              <w:jc w:val="center"/>
            </w:pPr>
            <w:r/>
            <w:r>
              <w:rPr>
                <w:rFonts w:ascii="Times New Roman" w:hAnsi="Times New Roman" w:cs="Times New Roman"/>
                <w:b w:val="0"/>
                <w:sz w:val="19"/>
              </w:rPr>
              <w:t>1.13%</w:t>
            </w:r>
          </w:p>
        </w:tc>
      </w:tr>
      <w:tr>
        <w:tc>
          <w:tcPr>
            <w:tcW w:type="dxa" w:w="1505"/>
          </w:tcPr>
          <w:p>
            <w:pPr>
              <w:spacing w:after="20" w:before="20"/>
              <w:jc w:val="center"/>
            </w:pPr>
            <w:r/>
            <w:r>
              <w:rPr>
                <w:rFonts w:ascii="Times New Roman" w:hAnsi="Times New Roman" w:cs="Times New Roman"/>
                <w:b w:val="0"/>
                <w:sz w:val="19"/>
              </w:rPr>
              <w:t>2</w:t>
            </w:r>
          </w:p>
        </w:tc>
        <w:tc>
          <w:tcPr>
            <w:tcW w:type="dxa" w:w="1505"/>
          </w:tcPr>
          <w:p>
            <w:pPr>
              <w:spacing w:after="20" w:before="20"/>
              <w:jc w:val="center"/>
            </w:pPr>
            <w:r/>
            <w:r>
              <w:rPr>
                <w:rFonts w:ascii="Times New Roman" w:hAnsi="Times New Roman" w:cs="Times New Roman"/>
                <w:b w:val="0"/>
                <w:sz w:val="19"/>
              </w:rPr>
              <w:t>0.77 ± 0.01</w:t>
            </w:r>
          </w:p>
        </w:tc>
        <w:tc>
          <w:tcPr>
            <w:tcW w:type="dxa" w:w="1505"/>
          </w:tcPr>
          <w:p>
            <w:pPr>
              <w:spacing w:after="20" w:before="20"/>
              <w:jc w:val="center"/>
            </w:pPr>
            <w:r/>
            <w:r>
              <w:rPr>
                <w:rFonts w:ascii="Times New Roman" w:hAnsi="Times New Roman" w:cs="Times New Roman"/>
                <w:b w:val="0"/>
                <w:sz w:val="19"/>
              </w:rPr>
              <w:t>4.2 ± 0.0</w:t>
            </w:r>
          </w:p>
        </w:tc>
        <w:tc>
          <w:tcPr>
            <w:tcW w:type="dxa" w:w="1505"/>
          </w:tcPr>
          <w:p>
            <w:pPr>
              <w:spacing w:after="20" w:before="20"/>
              <w:jc w:val="center"/>
            </w:pPr>
            <w:r/>
            <w:r>
              <w:rPr>
                <w:rFonts w:ascii="Times New Roman" w:hAnsi="Times New Roman" w:cs="Times New Roman"/>
                <w:b w:val="0"/>
                <w:sz w:val="19"/>
              </w:rPr>
              <w:t>0.128</w:t>
            </w:r>
          </w:p>
        </w:tc>
        <w:tc>
          <w:tcPr>
            <w:tcW w:type="dxa" w:w="1505"/>
          </w:tcPr>
          <w:p>
            <w:pPr>
              <w:spacing w:after="20" w:before="20"/>
              <w:jc w:val="center"/>
            </w:pPr>
            <w:r/>
            <w:r>
              <w:rPr>
                <w:rFonts w:ascii="Times New Roman" w:hAnsi="Times New Roman" w:cs="Times New Roman"/>
                <w:b w:val="0"/>
                <w:sz w:val="19"/>
              </w:rPr>
              <w:t>1.85%</w:t>
            </w:r>
          </w:p>
        </w:tc>
        <w:tc>
          <w:tcPr>
            <w:tcW w:type="dxa" w:w="1505"/>
          </w:tcPr>
          <w:p>
            <w:pPr>
              <w:spacing w:after="20" w:before="20"/>
              <w:jc w:val="center"/>
            </w:pPr>
            <w:r/>
            <w:r>
              <w:rPr>
                <w:rFonts w:ascii="Times New Roman" w:hAnsi="Times New Roman" w:cs="Times New Roman"/>
                <w:b w:val="0"/>
                <w:sz w:val="19"/>
              </w:rPr>
              <w:t>0.16%</w:t>
            </w:r>
          </w:p>
        </w:tc>
      </w:tr>
      <w:tr>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1.09 ± 0.01</w:t>
            </w:r>
          </w:p>
        </w:tc>
        <w:tc>
          <w:tcPr>
            <w:tcW w:type="dxa" w:w="1505"/>
          </w:tcPr>
          <w:p>
            <w:pPr>
              <w:spacing w:after="20" w:before="20"/>
              <w:jc w:val="center"/>
            </w:pPr>
            <w:r/>
            <w:r>
              <w:rPr>
                <w:rFonts w:ascii="Times New Roman" w:hAnsi="Times New Roman" w:cs="Times New Roman"/>
                <w:b w:val="0"/>
                <w:sz w:val="19"/>
              </w:rPr>
              <w:t>7.6 ± 0.7</w:t>
            </w:r>
          </w:p>
        </w:tc>
        <w:tc>
          <w:tcPr>
            <w:tcW w:type="dxa" w:w="1505"/>
          </w:tcPr>
          <w:p>
            <w:pPr>
              <w:spacing w:after="20" w:before="20"/>
              <w:jc w:val="center"/>
            </w:pPr>
            <w:r/>
            <w:r>
              <w:rPr>
                <w:rFonts w:ascii="Times New Roman" w:hAnsi="Times New Roman" w:cs="Times New Roman"/>
                <w:b w:val="0"/>
                <w:sz w:val="19"/>
              </w:rPr>
              <w:t>0.109</w:t>
            </w:r>
          </w:p>
        </w:tc>
        <w:tc>
          <w:tcPr>
            <w:tcW w:type="dxa" w:w="1505"/>
          </w:tcPr>
          <w:p>
            <w:pPr>
              <w:spacing w:after="20" w:before="20"/>
              <w:jc w:val="center"/>
            </w:pPr>
            <w:r/>
            <w:r>
              <w:rPr>
                <w:rFonts w:ascii="Times New Roman" w:hAnsi="Times New Roman" w:cs="Times New Roman"/>
                <w:b w:val="0"/>
                <w:sz w:val="19"/>
              </w:rPr>
              <w:t>0.01%</w:t>
            </w:r>
          </w:p>
        </w:tc>
        <w:tc>
          <w:tcPr>
            <w:tcW w:type="dxa" w:w="1505"/>
          </w:tcPr>
          <w:p>
            <w:pPr>
              <w:spacing w:after="20" w:before="20"/>
              <w:jc w:val="center"/>
            </w:pPr>
            <w:r/>
            <w:r>
              <w:rPr>
                <w:rFonts w:ascii="Times New Roman" w:hAnsi="Times New Roman" w:cs="Times New Roman"/>
                <w:b w:val="0"/>
                <w:sz w:val="19"/>
              </w:rPr>
              <w:t>0.10%</w:t>
            </w:r>
          </w:p>
        </w:tc>
      </w:tr>
      <w:tr>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1.63 ± 0.02</w:t>
            </w:r>
          </w:p>
        </w:tc>
        <w:tc>
          <w:tcPr>
            <w:tcW w:type="dxa" w:w="1505"/>
          </w:tcPr>
          <w:p>
            <w:pPr>
              <w:spacing w:after="20" w:before="20"/>
              <w:jc w:val="center"/>
            </w:pPr>
            <w:r/>
            <w:r>
              <w:rPr>
                <w:rFonts w:ascii="Times New Roman" w:hAnsi="Times New Roman" w:cs="Times New Roman"/>
                <w:b w:val="0"/>
                <w:sz w:val="19"/>
              </w:rPr>
              <w:t>13.3 ± 1.8</w:t>
            </w:r>
          </w:p>
        </w:tc>
        <w:tc>
          <w:tcPr>
            <w:tcW w:type="dxa" w:w="1505"/>
          </w:tcPr>
          <w:p>
            <w:pPr>
              <w:spacing w:after="20" w:before="20"/>
              <w:jc w:val="center"/>
            </w:pPr>
            <w:r/>
            <w:r>
              <w:rPr>
                <w:rFonts w:ascii="Times New Roman" w:hAnsi="Times New Roman" w:cs="Times New Roman"/>
                <w:b w:val="0"/>
                <w:sz w:val="19"/>
              </w:rPr>
              <w:t>0.108</w:t>
            </w:r>
          </w:p>
        </w:tc>
        <w:tc>
          <w:tcPr>
            <w:tcW w:type="dxa" w:w="1505"/>
          </w:tcPr>
          <w:p>
            <w:pPr>
              <w:spacing w:after="20" w:before="20"/>
              <w:jc w:val="center"/>
            </w:pPr>
            <w:r/>
            <w:r>
              <w:rPr>
                <w:rFonts w:ascii="Times New Roman" w:hAnsi="Times New Roman" w:cs="Times New Roman"/>
                <w:b w:val="0"/>
                <w:sz w:val="19"/>
              </w:rPr>
              <w:t>0.00%</w:t>
            </w:r>
          </w:p>
        </w:tc>
        <w:tc>
          <w:tcPr>
            <w:tcW w:type="dxa" w:w="1505"/>
          </w:tcPr>
          <w:p>
            <w:pPr>
              <w:spacing w:after="20" w:before="20"/>
              <w:jc w:val="center"/>
            </w:pPr>
            <w:r/>
            <w:r>
              <w:rPr>
                <w:rFonts w:ascii="Times New Roman" w:hAnsi="Times New Roman" w:cs="Times New Roman"/>
                <w:b w:val="0"/>
                <w:sz w:val="19"/>
              </w:rPr>
              <w:t>0.11%</w:t>
            </w:r>
          </w:p>
        </w:tc>
      </w:tr>
      <w:tr>
        <w:tc>
          <w:tcPr>
            <w:tcW w:type="dxa" w:w="1505"/>
          </w:tcPr>
          <w:p>
            <w:pPr>
              <w:spacing w:after="20" w:before="20"/>
              <w:jc w:val="center"/>
            </w:pPr>
            <w:r/>
            <w:r>
              <w:rPr>
                <w:rFonts w:ascii="Times New Roman" w:hAnsi="Times New Roman" w:cs="Times New Roman"/>
                <w:b w:val="0"/>
                <w:sz w:val="19"/>
              </w:rPr>
              <w:t>30</w:t>
            </w:r>
          </w:p>
        </w:tc>
        <w:tc>
          <w:tcPr>
            <w:tcW w:type="dxa" w:w="1505"/>
          </w:tcPr>
          <w:p>
            <w:pPr>
              <w:spacing w:after="20" w:before="20"/>
              <w:jc w:val="center"/>
            </w:pPr>
            <w:r/>
            <w:r>
              <w:rPr>
                <w:rFonts w:ascii="Times New Roman" w:hAnsi="Times New Roman" w:cs="Times New Roman"/>
                <w:b w:val="0"/>
                <w:sz w:val="19"/>
              </w:rPr>
              <w:t>3.80 ± 0.05</w:t>
            </w:r>
          </w:p>
        </w:tc>
        <w:tc>
          <w:tcPr>
            <w:tcW w:type="dxa" w:w="1505"/>
          </w:tcPr>
          <w:p>
            <w:pPr>
              <w:spacing w:after="20" w:before="20"/>
              <w:jc w:val="center"/>
            </w:pPr>
            <w:r/>
            <w:r>
              <w:rPr>
                <w:rFonts w:ascii="Times New Roman" w:hAnsi="Times New Roman" w:cs="Times New Roman"/>
                <w:b w:val="0"/>
                <w:sz w:val="19"/>
              </w:rPr>
              <w:t>36.8 ± 7.1</w:t>
            </w:r>
          </w:p>
        </w:tc>
        <w:tc>
          <w:tcPr>
            <w:tcW w:type="dxa" w:w="1505"/>
          </w:tcPr>
          <w:p>
            <w:pPr>
              <w:spacing w:after="20" w:before="20"/>
              <w:jc w:val="center"/>
            </w:pPr>
            <w:r/>
            <w:r>
              <w:rPr>
                <w:rFonts w:ascii="Times New Roman" w:hAnsi="Times New Roman" w:cs="Times New Roman"/>
                <w:b w:val="0"/>
                <w:sz w:val="19"/>
              </w:rPr>
              <w:t>0.108</w:t>
            </w:r>
          </w:p>
        </w:tc>
        <w:tc>
          <w:tcPr>
            <w:tcW w:type="dxa" w:w="1505"/>
          </w:tcPr>
          <w:p>
            <w:pPr>
              <w:spacing w:after="20" w:before="20"/>
              <w:jc w:val="center"/>
            </w:pPr>
            <w:r/>
            <w:r>
              <w:rPr>
                <w:rFonts w:ascii="Times New Roman" w:hAnsi="Times New Roman" w:cs="Times New Roman"/>
                <w:b w:val="0"/>
                <w:sz w:val="19"/>
              </w:rPr>
              <w:t>0.00%</w:t>
            </w:r>
          </w:p>
        </w:tc>
        <w:tc>
          <w:tcPr>
            <w:tcW w:type="dxa" w:w="1505"/>
          </w:tcPr>
          <w:p>
            <w:pPr>
              <w:spacing w:after="20" w:before="20"/>
              <w:jc w:val="center"/>
            </w:pPr>
            <w:r/>
            <w:r>
              <w:rPr>
                <w:rFonts w:ascii="Times New Roman" w:hAnsi="Times New Roman" w:cs="Times New Roman"/>
                <w:b w:val="0"/>
                <w:sz w:val="19"/>
              </w:rPr>
              <w:t>0.10%</w:t>
            </w:r>
          </w:p>
        </w:tc>
      </w:tr>
      <w:tr>
        <w:tc>
          <w:tcPr>
            <w:tcW w:type="dxa" w:w="1505"/>
          </w:tcPr>
          <w:p>
            <w:pPr>
              <w:spacing w:after="20" w:before="20"/>
              <w:jc w:val="center"/>
            </w:pPr>
            <w:r/>
            <w:r>
              <w:rPr>
                <w:rFonts w:ascii="Times New Roman" w:hAnsi="Times New Roman" w:cs="Times New Roman"/>
                <w:b w:val="0"/>
                <w:sz w:val="19"/>
              </w:rPr>
              <w:t>60</w:t>
            </w:r>
          </w:p>
        </w:tc>
        <w:tc>
          <w:tcPr>
            <w:tcW w:type="dxa" w:w="1505"/>
          </w:tcPr>
          <w:p>
            <w:pPr>
              <w:spacing w:after="20" w:before="20"/>
              <w:jc w:val="center"/>
            </w:pPr>
            <w:r/>
            <w:r>
              <w:rPr>
                <w:rFonts w:ascii="Times New Roman" w:hAnsi="Times New Roman" w:cs="Times New Roman"/>
                <w:b w:val="0"/>
                <w:sz w:val="19"/>
              </w:rPr>
              <w:t>7.07 ± 0.12</w:t>
            </w:r>
          </w:p>
        </w:tc>
        <w:tc>
          <w:tcPr>
            <w:tcW w:type="dxa" w:w="1505"/>
          </w:tcPr>
          <w:p>
            <w:pPr>
              <w:spacing w:after="20" w:before="20"/>
              <w:jc w:val="center"/>
            </w:pPr>
            <w:r/>
            <w:r>
              <w:rPr>
                <w:rFonts w:ascii="Times New Roman" w:hAnsi="Times New Roman" w:cs="Times New Roman"/>
                <w:b w:val="0"/>
                <w:sz w:val="19"/>
              </w:rPr>
              <w:t>68.1 ± 13.1</w:t>
            </w:r>
          </w:p>
        </w:tc>
        <w:tc>
          <w:tcPr>
            <w:tcW w:type="dxa" w:w="1505"/>
          </w:tcPr>
          <w:p>
            <w:pPr>
              <w:spacing w:after="20" w:before="20"/>
              <w:jc w:val="center"/>
            </w:pPr>
            <w:r/>
            <w:r>
              <w:rPr>
                <w:rFonts w:ascii="Times New Roman" w:hAnsi="Times New Roman" w:cs="Times New Roman"/>
                <w:b w:val="0"/>
                <w:sz w:val="19"/>
              </w:rPr>
              <w:t>0.109</w:t>
            </w:r>
          </w:p>
        </w:tc>
        <w:tc>
          <w:tcPr>
            <w:tcW w:type="dxa" w:w="1505"/>
          </w:tcPr>
          <w:p>
            <w:pPr>
              <w:spacing w:after="20" w:before="20"/>
              <w:jc w:val="center"/>
            </w:pPr>
            <w:r/>
            <w:r>
              <w:rPr>
                <w:rFonts w:ascii="Times New Roman" w:hAnsi="Times New Roman" w:cs="Times New Roman"/>
                <w:b w:val="0"/>
                <w:sz w:val="19"/>
              </w:rPr>
              <w:t>0.00%</w:t>
            </w:r>
          </w:p>
        </w:tc>
        <w:tc>
          <w:tcPr>
            <w:tcW w:type="dxa" w:w="1505"/>
          </w:tcPr>
          <w:p>
            <w:pPr>
              <w:spacing w:after="20" w:before="20"/>
              <w:jc w:val="center"/>
            </w:pPr>
            <w:r/>
            <w:r>
              <w:rPr>
                <w:rFonts w:ascii="Times New Roman" w:hAnsi="Times New Roman" w:cs="Times New Roman"/>
                <w:b w:val="0"/>
                <w:sz w:val="19"/>
              </w:rPr>
              <w:t>0.10%</w:t>
            </w:r>
          </w:p>
        </w:tc>
      </w:tr>
      <w:tr>
        <w:tc>
          <w:tcPr>
            <w:tcW w:type="dxa" w:w="1505"/>
          </w:tcPr>
          <w:p>
            <w:pPr>
              <w:spacing w:after="20" w:before="20"/>
              <w:jc w:val="center"/>
            </w:pPr>
            <w:r/>
            <w:r>
              <w:rPr>
                <w:rFonts w:ascii="Times New Roman" w:hAnsi="Times New Roman" w:cs="Times New Roman"/>
                <w:b w:val="0"/>
                <w:sz w:val="19"/>
              </w:rPr>
              <w:t>120</w:t>
            </w:r>
          </w:p>
        </w:tc>
        <w:tc>
          <w:tcPr>
            <w:tcW w:type="dxa" w:w="1505"/>
          </w:tcPr>
          <w:p>
            <w:pPr>
              <w:spacing w:after="20" w:before="20"/>
              <w:jc w:val="center"/>
            </w:pPr>
            <w:r/>
            <w:r>
              <w:rPr>
                <w:rFonts w:ascii="Times New Roman" w:hAnsi="Times New Roman" w:cs="Times New Roman"/>
                <w:b w:val="0"/>
                <w:sz w:val="19"/>
              </w:rPr>
              <w:t>13.61 ± 0.20</w:t>
            </w:r>
          </w:p>
        </w:tc>
        <w:tc>
          <w:tcPr>
            <w:tcW w:type="dxa" w:w="1505"/>
          </w:tcPr>
          <w:p>
            <w:pPr>
              <w:spacing w:after="20" w:before="20"/>
              <w:jc w:val="center"/>
            </w:pPr>
            <w:r/>
            <w:r>
              <w:rPr>
                <w:rFonts w:ascii="Times New Roman" w:hAnsi="Times New Roman" w:cs="Times New Roman"/>
                <w:b w:val="0"/>
                <w:sz w:val="19"/>
              </w:rPr>
              <w:t>122.5 ± 0.3</w:t>
            </w:r>
          </w:p>
        </w:tc>
        <w:tc>
          <w:tcPr>
            <w:tcW w:type="dxa" w:w="1505"/>
          </w:tcPr>
          <w:p>
            <w:pPr>
              <w:spacing w:after="20" w:before="20"/>
              <w:jc w:val="center"/>
            </w:pPr>
            <w:r/>
            <w:r>
              <w:rPr>
                <w:rFonts w:ascii="Times New Roman" w:hAnsi="Times New Roman" w:cs="Times New Roman"/>
                <w:b w:val="0"/>
                <w:sz w:val="19"/>
              </w:rPr>
              <w:t>0.109</w:t>
            </w:r>
          </w:p>
        </w:tc>
        <w:tc>
          <w:tcPr>
            <w:tcW w:type="dxa" w:w="1505"/>
          </w:tcPr>
          <w:p>
            <w:pPr>
              <w:spacing w:after="20" w:before="20"/>
              <w:jc w:val="center"/>
            </w:pPr>
            <w:r/>
            <w:r>
              <w:rPr>
                <w:rFonts w:ascii="Times New Roman" w:hAnsi="Times New Roman" w:cs="Times New Roman"/>
                <w:b w:val="0"/>
                <w:sz w:val="19"/>
              </w:rPr>
              <w:t>0.00%</w:t>
            </w:r>
          </w:p>
        </w:tc>
        <w:tc>
          <w:tcPr>
            <w:tcW w:type="dxa" w:w="1505"/>
          </w:tcPr>
          <w:p>
            <w:pPr>
              <w:spacing w:after="20" w:before="20"/>
              <w:jc w:val="center"/>
            </w:pPr>
            <w:r/>
            <w:r>
              <w:rPr>
                <w:rFonts w:ascii="Times New Roman" w:hAnsi="Times New Roman" w:cs="Times New Roman"/>
                <w:b w:val="0"/>
                <w:sz w:val="19"/>
              </w:rPr>
              <w:t>0.10%</w:t>
            </w:r>
          </w:p>
        </w:tc>
      </w:tr>
    </w:tbl>
    <w:p>
      <w:pPr>
        <w:spacing w:after="80" w:before="0"/>
      </w:pPr>
    </w:p>
    <w:p>
      <w:pPr>
        <w:spacing w:after="40" w:before="80"/>
        <w:jc w:val="center"/>
      </w:pPr>
      <w:r>
        <w:drawing>
          <wp:inline xmlns:a="http://schemas.openxmlformats.org/drawingml/2006/main" xmlns:pic="http://schemas.openxmlformats.org/drawingml/2006/picture">
            <wp:extent cx="5669280" cy="2180492"/>
            <wp:docPr id="1" name="Picture 1"/>
            <wp:cNvGraphicFramePr>
              <a:graphicFrameLocks noChangeAspect="1"/>
            </wp:cNvGraphicFramePr>
            <a:graphic>
              <a:graphicData uri="http://schemas.openxmlformats.org/drawingml/2006/picture">
                <pic:pic>
                  <pic:nvPicPr>
                    <pic:cNvPr id="0" name="fig1_visibility_timeout.png"/>
                    <pic:cNvPicPr/>
                  </pic:nvPicPr>
                  <pic:blipFill>
                    <a:blip r:embed="rId9"/>
                    <a:stretch>
                      <a:fillRect/>
                    </a:stretch>
                  </pic:blipFill>
                  <pic:spPr>
                    <a:xfrm>
                      <a:off x="0" y="0"/>
                      <a:ext cx="5669280" cy="2180492"/>
                    </a:xfrm>
                    <a:prstGeom prst="rect"/>
                  </pic:spPr>
                </pic:pic>
              </a:graphicData>
            </a:graphic>
          </wp:inline>
        </w:drawing>
      </w:r>
    </w:p>
    <w:p>
      <w:pPr>
        <w:spacing w:after="80" w:before="40"/>
        <w:jc w:val="center"/>
      </w:pPr>
      <w:r>
        <w:rPr>
          <w:rFonts w:ascii="Times New Roman" w:hAnsi="Times New Roman" w:cs="Times New Roman"/>
          <w:b/>
          <w:sz w:val="19"/>
        </w:rPr>
        <w:t>Figure 1:</w:t>
      </w:r>
      <w:r>
        <w:rPr>
          <w:rFonts w:ascii="Times New Roman" w:hAnsi="Times New Roman" w:cs="Times New Roman"/>
          <w:sz w:val="19"/>
        </w:rPr>
        <w:t xml:space="preserve"> Visibility-timeout trade-off. (A) Mean and P99 latency are minimized near VT = 1 s. (B) Below about 5 s, premature timeouts cause duplicate processing and dead-lettering.</w:t>
      </w:r>
    </w:p>
    <w:p>
      <w:pPr>
        <w:spacing w:after="120" w:before="0"/>
        <w:jc w:val="both"/>
      </w:pPr>
      <w:r>
        <w:rPr>
          <w:rFonts w:ascii="Times New Roman" w:hAnsi="Times New Roman" w:cs="Times New Roman"/>
          <w:sz w:val="22"/>
        </w:rPr>
        <w:t>Mean latency is minimized at VT = 1 s (0.675 s). Shorter timeouts expire while healthy consumers are still working: at VT = 0.5 s, 53.7% of messages are processed twice and 7.9% are wrongly dead-lettered after three premature timeouts. Once VT exceeds the processing time by a wide margin (VT ≥ 5 s), duplicates disappear (0.01%) and the DLQ ratio settles at 0.10%, consistent with the 0.1³ = 0.1% probability of three consecutive genuine failures. Beyond that point latency grows linearly with VT, because about one message in ten waits a full timeout before its retry: mean latency rises from 1.09 s at 5 s to 3.80 s at the SQS default of 30 s and 13.61 s at 120 s, and P99 latency tracks VT itself (36.8 s and 122.5 s). Mean retries fall only until duplicates vanish and then stay near the failure probability. VT should therefore be set a small multiple above the processing-time tail; the 30 s default is safe but costs latency for sub-second workloads.</w:t>
      </w:r>
    </w:p>
    <w:p>
      <w:pPr>
        <w:spacing w:after="60" w:before="120"/>
      </w:pPr>
      <w:r>
        <w:rPr>
          <w:rFonts w:ascii="Times New Roman" w:hAnsi="Times New Roman" w:cs="Times New Roman"/>
          <w:b/>
          <w:sz w:val="24"/>
        </w:rPr>
        <w:t>3.2   Replication Under Node Outages</w:t>
      </w:r>
    </w:p>
    <w:p>
      <w:pPr>
        <w:spacing w:after="120" w:before="0"/>
        <w:jc w:val="both"/>
      </w:pPr>
      <w:r>
        <w:rPr>
          <w:rFonts w:ascii="Times New Roman" w:hAnsi="Times New Roman" w:cs="Times New Roman"/>
          <w:sz w:val="22"/>
        </w:rPr>
        <w:t>Each message is written to its primary node and the next R − 1 nodes on the ring, so storage grows R-fold. Without node failures replication can only add cost, so we also inject independent node outages: each of the three nodes fails after an exponential up-time with mean 100 s and recovers after an exponential down-time with mean 20 s. While a node is down its copies cannot be read; acknowledgements are still applied. We used λ = 100 msg/s, processing mean 0.05 s, failure probability 0.1, VT = 30 s, and 20 consumers (enough that polls wasted on a down node do not saturate the consumer pool), with 500 s runs, a 50 s warm-up, and 30 replications. Because end-to-end latency is dominated by the 30 s retry of the 10% failed messages, we also report the time from publication to first delivery, which isolates availability.</w:t>
      </w:r>
    </w:p>
    <w:p>
      <w:pPr>
        <w:spacing w:after="80" w:before="40"/>
        <w:jc w:val="center"/>
      </w:pPr>
      <w:r>
        <w:rPr>
          <w:rFonts w:ascii="Times New Roman" w:hAnsi="Times New Roman" w:cs="Times New Roman"/>
          <w:b/>
          <w:sz w:val="19"/>
        </w:rPr>
        <w:t>Table 3:</w:t>
      </w:r>
      <w:r>
        <w:rPr>
          <w:rFonts w:ascii="Times New Roman" w:hAnsi="Times New Roman" w:cs="Times New Roman"/>
          <w:sz w:val="19"/>
        </w:rPr>
        <w:t xml:space="preserve"> Replication factor with and without node outages (30 replications).</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after="20" w:before="20"/>
              <w:jc w:val="center"/>
            </w:pPr>
            <w:r/>
            <w:r>
              <w:rPr>
                <w:rFonts w:ascii="Times New Roman" w:hAnsi="Times New Roman" w:cs="Times New Roman"/>
                <w:b/>
                <w:sz w:val="19"/>
              </w:rPr>
              <w:t>Outages</w:t>
            </w:r>
          </w:p>
        </w:tc>
        <w:tc>
          <w:tcPr>
            <w:tcW w:type="dxa" w:w="1290"/>
          </w:tcPr>
          <w:p>
            <w:pPr>
              <w:spacing w:after="20" w:before="20"/>
              <w:jc w:val="center"/>
            </w:pPr>
            <w:r/>
            <w:r>
              <w:rPr>
                <w:rFonts w:ascii="Times New Roman" w:hAnsi="Times New Roman" w:cs="Times New Roman"/>
                <w:b/>
                <w:sz w:val="19"/>
              </w:rPr>
              <w:t>R</w:t>
            </w:r>
          </w:p>
        </w:tc>
        <w:tc>
          <w:tcPr>
            <w:tcW w:type="dxa" w:w="1290"/>
          </w:tcPr>
          <w:p>
            <w:pPr>
              <w:spacing w:after="20" w:before="20"/>
              <w:jc w:val="center"/>
            </w:pPr>
            <w:r/>
            <w:r>
              <w:rPr>
                <w:rFonts w:ascii="Times New Roman" w:hAnsi="Times New Roman" w:cs="Times New Roman"/>
                <w:b/>
                <w:sz w:val="19"/>
              </w:rPr>
              <w:t>Copies / msg</w:t>
            </w:r>
          </w:p>
        </w:tc>
        <w:tc>
          <w:tcPr>
            <w:tcW w:type="dxa" w:w="1290"/>
          </w:tcPr>
          <w:p>
            <w:pPr>
              <w:spacing w:after="20" w:before="20"/>
              <w:jc w:val="center"/>
            </w:pPr>
            <w:r/>
            <w:r>
              <w:rPr>
                <w:rFonts w:ascii="Times New Roman" w:hAnsi="Times New Roman" w:cs="Times New Roman"/>
                <w:b/>
                <w:sz w:val="19"/>
              </w:rPr>
              <w:t>Mean latency (s)</w:t>
            </w:r>
          </w:p>
        </w:tc>
        <w:tc>
          <w:tcPr>
            <w:tcW w:type="dxa" w:w="1290"/>
          </w:tcPr>
          <w:p>
            <w:pPr>
              <w:spacing w:after="20" w:before="20"/>
              <w:jc w:val="center"/>
            </w:pPr>
            <w:r/>
            <w:r>
              <w:rPr>
                <w:rFonts w:ascii="Times New Roman" w:hAnsi="Times New Roman" w:cs="Times New Roman"/>
                <w:b/>
                <w:sz w:val="19"/>
              </w:rPr>
              <w:t>Mean time to 1st delivery (s)</w:t>
            </w:r>
          </w:p>
        </w:tc>
        <w:tc>
          <w:tcPr>
            <w:tcW w:type="dxa" w:w="1290"/>
          </w:tcPr>
          <w:p>
            <w:pPr>
              <w:spacing w:after="20" w:before="20"/>
              <w:jc w:val="center"/>
            </w:pPr>
            <w:r/>
            <w:r>
              <w:rPr>
                <w:rFonts w:ascii="Times New Roman" w:hAnsi="Times New Roman" w:cs="Times New Roman"/>
                <w:b/>
                <w:sz w:val="19"/>
              </w:rPr>
              <w:t>P99 time to 1st delivery (s)</w:t>
            </w:r>
          </w:p>
        </w:tc>
        <w:tc>
          <w:tcPr>
            <w:tcW w:type="dxa" w:w="1290"/>
          </w:tcPr>
          <w:p>
            <w:pPr>
              <w:spacing w:after="20" w:before="20"/>
              <w:jc w:val="center"/>
            </w:pPr>
            <w:r/>
            <w:r>
              <w:rPr>
                <w:rFonts w:ascii="Times New Roman" w:hAnsi="Times New Roman" w:cs="Times New Roman"/>
                <w:b/>
                <w:sz w:val="19"/>
              </w:rPr>
              <w:t>Throughput (msg/s)</w:t>
            </w:r>
          </w:p>
        </w:tc>
      </w:tr>
      <w:tr>
        <w:tc>
          <w:tcPr>
            <w:tcW w:type="dxa" w:w="1290"/>
          </w:tcPr>
          <w:p>
            <w:pPr>
              <w:spacing w:after="20" w:before="20"/>
              <w:jc w:val="center"/>
            </w:pPr>
            <w:r/>
            <w:r>
              <w:rPr>
                <w:rFonts w:ascii="Times New Roman" w:hAnsi="Times New Roman" w:cs="Times New Roman"/>
                <w:b w:val="0"/>
                <w:sz w:val="19"/>
              </w:rPr>
              <w:t>off</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1.0</w:t>
            </w:r>
          </w:p>
        </w:tc>
        <w:tc>
          <w:tcPr>
            <w:tcW w:type="dxa" w:w="1290"/>
          </w:tcPr>
          <w:p>
            <w:pPr>
              <w:spacing w:after="20" w:before="20"/>
              <w:jc w:val="center"/>
            </w:pPr>
            <w:r/>
            <w:r>
              <w:rPr>
                <w:rFonts w:ascii="Times New Roman" w:hAnsi="Times New Roman" w:cs="Times New Roman"/>
                <w:b w:val="0"/>
                <w:sz w:val="19"/>
              </w:rPr>
              <w:t>3.31 ± 0.02</w:t>
            </w:r>
          </w:p>
        </w:tc>
        <w:tc>
          <w:tcPr>
            <w:tcW w:type="dxa" w:w="1290"/>
          </w:tcPr>
          <w:p>
            <w:pPr>
              <w:spacing w:after="20" w:before="20"/>
              <w:jc w:val="center"/>
            </w:pPr>
            <w:r/>
            <w:r>
              <w:rPr>
                <w:rFonts w:ascii="Times New Roman" w:hAnsi="Times New Roman" w:cs="Times New Roman"/>
                <w:b w:val="0"/>
                <w:sz w:val="19"/>
              </w:rPr>
              <w:t>0.020 ± 0.000</w:t>
            </w:r>
          </w:p>
        </w:tc>
        <w:tc>
          <w:tcPr>
            <w:tcW w:type="dxa" w:w="1290"/>
          </w:tcPr>
          <w:p>
            <w:pPr>
              <w:spacing w:after="20" w:before="20"/>
              <w:jc w:val="center"/>
            </w:pPr>
            <w:r/>
            <w:r>
              <w:rPr>
                <w:rFonts w:ascii="Times New Roman" w:hAnsi="Times New Roman" w:cs="Times New Roman"/>
                <w:b w:val="0"/>
                <w:sz w:val="19"/>
              </w:rPr>
              <w:t>0.11 ± 0.00</w:t>
            </w:r>
          </w:p>
        </w:tc>
        <w:tc>
          <w:tcPr>
            <w:tcW w:type="dxa" w:w="1290"/>
          </w:tcPr>
          <w:p>
            <w:pPr>
              <w:spacing w:after="20" w:before="20"/>
              <w:jc w:val="center"/>
            </w:pPr>
            <w:r/>
            <w:r>
              <w:rPr>
                <w:rFonts w:ascii="Times New Roman" w:hAnsi="Times New Roman" w:cs="Times New Roman"/>
                <w:b w:val="0"/>
                <w:sz w:val="19"/>
              </w:rPr>
              <w:t>99.9</w:t>
            </w:r>
          </w:p>
        </w:tc>
      </w:tr>
      <w:tr>
        <w:tc>
          <w:tcPr>
            <w:tcW w:type="dxa" w:w="1290"/>
          </w:tcPr>
          <w:p>
            <w:pPr>
              <w:spacing w:after="20" w:before="20"/>
              <w:jc w:val="center"/>
            </w:pPr>
            <w:r/>
            <w:r>
              <w:rPr>
                <w:rFonts w:ascii="Times New Roman" w:hAnsi="Times New Roman" w:cs="Times New Roman"/>
                <w:b w:val="0"/>
                <w:sz w:val="19"/>
              </w:rPr>
              <w:t>off</w:t>
            </w:r>
          </w:p>
        </w:tc>
        <w:tc>
          <w:tcPr>
            <w:tcW w:type="dxa" w:w="1290"/>
          </w:tcPr>
          <w:p>
            <w:pPr>
              <w:spacing w:after="20" w:before="20"/>
              <w:jc w:val="center"/>
            </w:pPr>
            <w:r/>
            <w:r>
              <w:rPr>
                <w:rFonts w:ascii="Times New Roman" w:hAnsi="Times New Roman" w:cs="Times New Roman"/>
                <w:b w:val="0"/>
                <w:sz w:val="19"/>
              </w:rPr>
              <w:t>2</w:t>
            </w:r>
          </w:p>
        </w:tc>
        <w:tc>
          <w:tcPr>
            <w:tcW w:type="dxa" w:w="1290"/>
          </w:tcPr>
          <w:p>
            <w:pPr>
              <w:spacing w:after="20" w:before="20"/>
              <w:jc w:val="center"/>
            </w:pPr>
            <w:r/>
            <w:r>
              <w:rPr>
                <w:rFonts w:ascii="Times New Roman" w:hAnsi="Times New Roman" w:cs="Times New Roman"/>
                <w:b w:val="0"/>
                <w:sz w:val="19"/>
              </w:rPr>
              <w:t>2.0</w:t>
            </w:r>
          </w:p>
        </w:tc>
        <w:tc>
          <w:tcPr>
            <w:tcW w:type="dxa" w:w="1290"/>
          </w:tcPr>
          <w:p>
            <w:pPr>
              <w:spacing w:after="20" w:before="20"/>
              <w:jc w:val="center"/>
            </w:pPr>
            <w:r/>
            <w:r>
              <w:rPr>
                <w:rFonts w:ascii="Times New Roman" w:hAnsi="Times New Roman" w:cs="Times New Roman"/>
                <w:b w:val="0"/>
                <w:sz w:val="19"/>
              </w:rPr>
              <w:t>3.30 ± 0.02</w:t>
            </w:r>
          </w:p>
        </w:tc>
        <w:tc>
          <w:tcPr>
            <w:tcW w:type="dxa" w:w="1290"/>
          </w:tcPr>
          <w:p>
            <w:pPr>
              <w:spacing w:after="20" w:before="20"/>
              <w:jc w:val="center"/>
            </w:pPr>
            <w:r/>
            <w:r>
              <w:rPr>
                <w:rFonts w:ascii="Times New Roman" w:hAnsi="Times New Roman" w:cs="Times New Roman"/>
                <w:b w:val="0"/>
                <w:sz w:val="19"/>
              </w:rPr>
              <w:t>0.012 ± 0.000</w:t>
            </w:r>
          </w:p>
        </w:tc>
        <w:tc>
          <w:tcPr>
            <w:tcW w:type="dxa" w:w="1290"/>
          </w:tcPr>
          <w:p>
            <w:pPr>
              <w:spacing w:after="20" w:before="20"/>
              <w:jc w:val="center"/>
            </w:pPr>
            <w:r/>
            <w:r>
              <w:rPr>
                <w:rFonts w:ascii="Times New Roman" w:hAnsi="Times New Roman" w:cs="Times New Roman"/>
                <w:b w:val="0"/>
                <w:sz w:val="19"/>
              </w:rPr>
              <w:t>0.06 ± 0.00</w:t>
            </w:r>
          </w:p>
        </w:tc>
        <w:tc>
          <w:tcPr>
            <w:tcW w:type="dxa" w:w="1290"/>
          </w:tcPr>
          <w:p>
            <w:pPr>
              <w:spacing w:after="20" w:before="20"/>
              <w:jc w:val="center"/>
            </w:pPr>
            <w:r/>
            <w:r>
              <w:rPr>
                <w:rFonts w:ascii="Times New Roman" w:hAnsi="Times New Roman" w:cs="Times New Roman"/>
                <w:b w:val="0"/>
                <w:sz w:val="19"/>
              </w:rPr>
              <w:t>99.8</w:t>
            </w:r>
          </w:p>
        </w:tc>
      </w:tr>
      <w:tr>
        <w:tc>
          <w:tcPr>
            <w:tcW w:type="dxa" w:w="1290"/>
          </w:tcPr>
          <w:p>
            <w:pPr>
              <w:spacing w:after="20" w:before="20"/>
              <w:jc w:val="center"/>
            </w:pPr>
            <w:r/>
            <w:r>
              <w:rPr>
                <w:rFonts w:ascii="Times New Roman" w:hAnsi="Times New Roman" w:cs="Times New Roman"/>
                <w:b w:val="0"/>
                <w:sz w:val="19"/>
              </w:rPr>
              <w:t>off</w:t>
            </w:r>
          </w:p>
        </w:tc>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3.0</w:t>
            </w:r>
          </w:p>
        </w:tc>
        <w:tc>
          <w:tcPr>
            <w:tcW w:type="dxa" w:w="1290"/>
          </w:tcPr>
          <w:p>
            <w:pPr>
              <w:spacing w:after="20" w:before="20"/>
              <w:jc w:val="center"/>
            </w:pPr>
            <w:r/>
            <w:r>
              <w:rPr>
                <w:rFonts w:ascii="Times New Roman" w:hAnsi="Times New Roman" w:cs="Times New Roman"/>
                <w:b w:val="0"/>
                <w:sz w:val="19"/>
              </w:rPr>
              <w:t>3.29 ± 0.02</w:t>
            </w:r>
          </w:p>
        </w:tc>
        <w:tc>
          <w:tcPr>
            <w:tcW w:type="dxa" w:w="1290"/>
          </w:tcPr>
          <w:p>
            <w:pPr>
              <w:spacing w:after="20" w:before="20"/>
              <w:jc w:val="center"/>
            </w:pPr>
            <w:r/>
            <w:r>
              <w:rPr>
                <w:rFonts w:ascii="Times New Roman" w:hAnsi="Times New Roman" w:cs="Times New Roman"/>
                <w:b w:val="0"/>
                <w:sz w:val="19"/>
              </w:rPr>
              <w:t>0.010 ± 0.000</w:t>
            </w:r>
          </w:p>
        </w:tc>
        <w:tc>
          <w:tcPr>
            <w:tcW w:type="dxa" w:w="1290"/>
          </w:tcPr>
          <w:p>
            <w:pPr>
              <w:spacing w:after="20" w:before="20"/>
              <w:jc w:val="center"/>
            </w:pPr>
            <w:r/>
            <w:r>
              <w:rPr>
                <w:rFonts w:ascii="Times New Roman" w:hAnsi="Times New Roman" w:cs="Times New Roman"/>
                <w:b w:val="0"/>
                <w:sz w:val="19"/>
              </w:rPr>
              <w:t>0.05 ± 0.00</w:t>
            </w:r>
          </w:p>
        </w:tc>
        <w:tc>
          <w:tcPr>
            <w:tcW w:type="dxa" w:w="1290"/>
          </w:tcPr>
          <w:p>
            <w:pPr>
              <w:spacing w:after="20" w:before="20"/>
              <w:jc w:val="center"/>
            </w:pPr>
            <w:r/>
            <w:r>
              <w:rPr>
                <w:rFonts w:ascii="Times New Roman" w:hAnsi="Times New Roman" w:cs="Times New Roman"/>
                <w:b w:val="0"/>
                <w:sz w:val="19"/>
              </w:rPr>
              <w:t>99.9</w:t>
            </w:r>
          </w:p>
        </w:tc>
      </w:tr>
      <w:tr>
        <w:tc>
          <w:tcPr>
            <w:tcW w:type="dxa" w:w="1290"/>
          </w:tcPr>
          <w:p>
            <w:pPr>
              <w:spacing w:after="20" w:before="20"/>
              <w:jc w:val="center"/>
            </w:pPr>
            <w:r/>
            <w:r>
              <w:rPr>
                <w:rFonts w:ascii="Times New Roman" w:hAnsi="Times New Roman" w:cs="Times New Roman"/>
                <w:b w:val="0"/>
                <w:sz w:val="19"/>
              </w:rPr>
              <w:t>on</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1.0</w:t>
            </w:r>
          </w:p>
        </w:tc>
        <w:tc>
          <w:tcPr>
            <w:tcW w:type="dxa" w:w="1290"/>
          </w:tcPr>
          <w:p>
            <w:pPr>
              <w:spacing w:after="20" w:before="20"/>
              <w:jc w:val="center"/>
            </w:pPr>
            <w:r/>
            <w:r>
              <w:rPr>
                <w:rFonts w:ascii="Times New Roman" w:hAnsi="Times New Roman" w:cs="Times New Roman"/>
                <w:b w:val="0"/>
                <w:sz w:val="19"/>
              </w:rPr>
              <w:t>8.58 ± 1.08</w:t>
            </w:r>
          </w:p>
        </w:tc>
        <w:tc>
          <w:tcPr>
            <w:tcW w:type="dxa" w:w="1290"/>
          </w:tcPr>
          <w:p>
            <w:pPr>
              <w:spacing w:after="20" w:before="20"/>
              <w:jc w:val="center"/>
            </w:pPr>
            <w:r/>
            <w:r>
              <w:rPr>
                <w:rFonts w:ascii="Times New Roman" w:hAnsi="Times New Roman" w:cs="Times New Roman"/>
                <w:b w:val="0"/>
                <w:sz w:val="19"/>
              </w:rPr>
              <w:t>4.922 ± 0.997</w:t>
            </w:r>
          </w:p>
        </w:tc>
        <w:tc>
          <w:tcPr>
            <w:tcW w:type="dxa" w:w="1290"/>
          </w:tcPr>
          <w:p>
            <w:pPr>
              <w:spacing w:after="20" w:before="20"/>
              <w:jc w:val="center"/>
            </w:pPr>
            <w:r/>
            <w:r>
              <w:rPr>
                <w:rFonts w:ascii="Times New Roman" w:hAnsi="Times New Roman" w:cs="Times New Roman"/>
                <w:b w:val="0"/>
                <w:sz w:val="19"/>
              </w:rPr>
              <w:t>62.40 ± 7.79</w:t>
            </w:r>
          </w:p>
        </w:tc>
        <w:tc>
          <w:tcPr>
            <w:tcW w:type="dxa" w:w="1290"/>
          </w:tcPr>
          <w:p>
            <w:pPr>
              <w:spacing w:after="20" w:before="20"/>
              <w:jc w:val="center"/>
            </w:pPr>
            <w:r/>
            <w:r>
              <w:rPr>
                <w:rFonts w:ascii="Times New Roman" w:hAnsi="Times New Roman" w:cs="Times New Roman"/>
                <w:b w:val="0"/>
                <w:sz w:val="19"/>
              </w:rPr>
              <w:t>99.5</w:t>
            </w:r>
          </w:p>
        </w:tc>
      </w:tr>
      <w:tr>
        <w:tc>
          <w:tcPr>
            <w:tcW w:type="dxa" w:w="1290"/>
          </w:tcPr>
          <w:p>
            <w:pPr>
              <w:spacing w:after="20" w:before="20"/>
              <w:jc w:val="center"/>
            </w:pPr>
            <w:r/>
            <w:r>
              <w:rPr>
                <w:rFonts w:ascii="Times New Roman" w:hAnsi="Times New Roman" w:cs="Times New Roman"/>
                <w:b w:val="0"/>
                <w:sz w:val="19"/>
              </w:rPr>
              <w:t>on</w:t>
            </w:r>
          </w:p>
        </w:tc>
        <w:tc>
          <w:tcPr>
            <w:tcW w:type="dxa" w:w="1290"/>
          </w:tcPr>
          <w:p>
            <w:pPr>
              <w:spacing w:after="20" w:before="20"/>
              <w:jc w:val="center"/>
            </w:pPr>
            <w:r/>
            <w:r>
              <w:rPr>
                <w:rFonts w:ascii="Times New Roman" w:hAnsi="Times New Roman" w:cs="Times New Roman"/>
                <w:b w:val="0"/>
                <w:sz w:val="19"/>
              </w:rPr>
              <w:t>2</w:t>
            </w:r>
          </w:p>
        </w:tc>
        <w:tc>
          <w:tcPr>
            <w:tcW w:type="dxa" w:w="1290"/>
          </w:tcPr>
          <w:p>
            <w:pPr>
              <w:spacing w:after="20" w:before="20"/>
              <w:jc w:val="center"/>
            </w:pPr>
            <w:r/>
            <w:r>
              <w:rPr>
                <w:rFonts w:ascii="Times New Roman" w:hAnsi="Times New Roman" w:cs="Times New Roman"/>
                <w:b w:val="0"/>
                <w:sz w:val="19"/>
              </w:rPr>
              <w:t>2.0</w:t>
            </w:r>
          </w:p>
        </w:tc>
        <w:tc>
          <w:tcPr>
            <w:tcW w:type="dxa" w:w="1290"/>
          </w:tcPr>
          <w:p>
            <w:pPr>
              <w:spacing w:after="20" w:before="20"/>
              <w:jc w:val="center"/>
            </w:pPr>
            <w:r/>
            <w:r>
              <w:rPr>
                <w:rFonts w:ascii="Times New Roman" w:hAnsi="Times New Roman" w:cs="Times New Roman"/>
                <w:b w:val="0"/>
                <w:sz w:val="19"/>
              </w:rPr>
              <w:t>3.83 ± 0.31</w:t>
            </w:r>
          </w:p>
        </w:tc>
        <w:tc>
          <w:tcPr>
            <w:tcW w:type="dxa" w:w="1290"/>
          </w:tcPr>
          <w:p>
            <w:pPr>
              <w:spacing w:after="20" w:before="20"/>
              <w:jc w:val="center"/>
            </w:pPr>
            <w:r/>
            <w:r>
              <w:rPr>
                <w:rFonts w:ascii="Times New Roman" w:hAnsi="Times New Roman" w:cs="Times New Roman"/>
                <w:b w:val="0"/>
                <w:sz w:val="19"/>
              </w:rPr>
              <w:t>0.502 ± 0.281</w:t>
            </w:r>
          </w:p>
        </w:tc>
        <w:tc>
          <w:tcPr>
            <w:tcW w:type="dxa" w:w="1290"/>
          </w:tcPr>
          <w:p>
            <w:pPr>
              <w:spacing w:after="20" w:before="20"/>
              <w:jc w:val="center"/>
            </w:pPr>
            <w:r/>
            <w:r>
              <w:rPr>
                <w:rFonts w:ascii="Times New Roman" w:hAnsi="Times New Roman" w:cs="Times New Roman"/>
                <w:b w:val="0"/>
                <w:sz w:val="19"/>
              </w:rPr>
              <w:t>13.25 ± 6.59</w:t>
            </w:r>
          </w:p>
        </w:tc>
        <w:tc>
          <w:tcPr>
            <w:tcW w:type="dxa" w:w="1290"/>
          </w:tcPr>
          <w:p>
            <w:pPr>
              <w:spacing w:after="20" w:before="20"/>
              <w:jc w:val="center"/>
            </w:pPr>
            <w:r/>
            <w:r>
              <w:rPr>
                <w:rFonts w:ascii="Times New Roman" w:hAnsi="Times New Roman" w:cs="Times New Roman"/>
                <w:b w:val="0"/>
                <w:sz w:val="19"/>
              </w:rPr>
              <w:t>99.9</w:t>
            </w:r>
          </w:p>
        </w:tc>
      </w:tr>
      <w:tr>
        <w:tc>
          <w:tcPr>
            <w:tcW w:type="dxa" w:w="1290"/>
          </w:tcPr>
          <w:p>
            <w:pPr>
              <w:spacing w:after="20" w:before="20"/>
              <w:jc w:val="center"/>
            </w:pPr>
            <w:r/>
            <w:r>
              <w:rPr>
                <w:rFonts w:ascii="Times New Roman" w:hAnsi="Times New Roman" w:cs="Times New Roman"/>
                <w:b w:val="0"/>
                <w:sz w:val="19"/>
              </w:rPr>
              <w:t>on</w:t>
            </w:r>
          </w:p>
        </w:tc>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3.0</w:t>
            </w:r>
          </w:p>
        </w:tc>
        <w:tc>
          <w:tcPr>
            <w:tcW w:type="dxa" w:w="1290"/>
          </w:tcPr>
          <w:p>
            <w:pPr>
              <w:spacing w:after="20" w:before="20"/>
              <w:jc w:val="center"/>
            </w:pPr>
            <w:r/>
            <w:r>
              <w:rPr>
                <w:rFonts w:ascii="Times New Roman" w:hAnsi="Times New Roman" w:cs="Times New Roman"/>
                <w:b w:val="0"/>
                <w:sz w:val="19"/>
              </w:rPr>
              <w:t>3.93 ± 0.75</w:t>
            </w:r>
          </w:p>
        </w:tc>
        <w:tc>
          <w:tcPr>
            <w:tcW w:type="dxa" w:w="1290"/>
          </w:tcPr>
          <w:p>
            <w:pPr>
              <w:spacing w:after="20" w:before="20"/>
              <w:jc w:val="center"/>
            </w:pPr>
            <w:r/>
            <w:r>
              <w:rPr>
                <w:rFonts w:ascii="Times New Roman" w:hAnsi="Times New Roman" w:cs="Times New Roman"/>
                <w:b w:val="0"/>
                <w:sz w:val="19"/>
              </w:rPr>
              <w:t>0.597 ± 0.704</w:t>
            </w:r>
          </w:p>
        </w:tc>
        <w:tc>
          <w:tcPr>
            <w:tcW w:type="dxa" w:w="1290"/>
          </w:tcPr>
          <w:p>
            <w:pPr>
              <w:spacing w:after="20" w:before="20"/>
              <w:jc w:val="center"/>
            </w:pPr>
            <w:r/>
            <w:r>
              <w:rPr>
                <w:rFonts w:ascii="Times New Roman" w:hAnsi="Times New Roman" w:cs="Times New Roman"/>
                <w:b w:val="0"/>
                <w:sz w:val="19"/>
              </w:rPr>
              <w:t>8.28 ± 6.86</w:t>
            </w:r>
          </w:p>
        </w:tc>
        <w:tc>
          <w:tcPr>
            <w:tcW w:type="dxa" w:w="1290"/>
          </w:tcPr>
          <w:p>
            <w:pPr>
              <w:spacing w:after="20" w:before="20"/>
              <w:jc w:val="center"/>
            </w:pPr>
            <w:r/>
            <w:r>
              <w:rPr>
                <w:rFonts w:ascii="Times New Roman" w:hAnsi="Times New Roman" w:cs="Times New Roman"/>
                <w:b w:val="0"/>
                <w:sz w:val="19"/>
              </w:rPr>
              <w:t>99.8</w:t>
            </w:r>
          </w:p>
        </w:tc>
      </w:tr>
    </w:tbl>
    <w:p>
      <w:pPr>
        <w:spacing w:after="80" w:before="0"/>
      </w:pPr>
    </w:p>
    <w:p>
      <w:pPr>
        <w:spacing w:after="40" w:before="80"/>
        <w:jc w:val="center"/>
      </w:pPr>
      <w:r>
        <w:drawing>
          <wp:inline xmlns:a="http://schemas.openxmlformats.org/drawingml/2006/main" xmlns:pic="http://schemas.openxmlformats.org/drawingml/2006/picture">
            <wp:extent cx="5669280" cy="2180492"/>
            <wp:docPr id="2" name="Picture 2"/>
            <wp:cNvGraphicFramePr>
              <a:graphicFrameLocks noChangeAspect="1"/>
            </wp:cNvGraphicFramePr>
            <a:graphic>
              <a:graphicData uri="http://schemas.openxmlformats.org/drawingml/2006/picture">
                <pic:pic>
                  <pic:nvPicPr>
                    <pic:cNvPr id="0" name="fig2_replication.png"/>
                    <pic:cNvPicPr/>
                  </pic:nvPicPr>
                  <pic:blipFill>
                    <a:blip r:embed="rId10"/>
                    <a:stretch>
                      <a:fillRect/>
                    </a:stretch>
                  </pic:blipFill>
                  <pic:spPr>
                    <a:xfrm>
                      <a:off x="0" y="0"/>
                      <a:ext cx="5669280" cy="2180492"/>
                    </a:xfrm>
                    <a:prstGeom prst="rect"/>
                  </pic:spPr>
                </pic:pic>
              </a:graphicData>
            </a:graphic>
          </wp:inline>
        </w:drawing>
      </w:r>
    </w:p>
    <w:p>
      <w:pPr>
        <w:spacing w:after="80" w:before="40"/>
        <w:jc w:val="center"/>
      </w:pPr>
      <w:r>
        <w:rPr>
          <w:rFonts w:ascii="Times New Roman" w:hAnsi="Times New Roman" w:cs="Times New Roman"/>
          <w:b/>
          <w:sz w:val="19"/>
        </w:rPr>
        <w:t>Figure 2:</w:t>
      </w:r>
      <w:r>
        <w:rPr>
          <w:rFonts w:ascii="Times New Roman" w:hAnsi="Times New Roman" w:cs="Times New Roman"/>
          <w:sz w:val="19"/>
        </w:rPr>
        <w:t xml:space="preserve"> Time from publication to first delivery versus replication factor, with and without node outages (log scale, 95% CIs).</w:t>
      </w:r>
    </w:p>
    <w:p>
      <w:pPr>
        <w:spacing w:after="120" w:before="0"/>
        <w:jc w:val="both"/>
      </w:pPr>
      <w:r>
        <w:rPr>
          <w:rFonts w:ascii="Times New Roman" w:hAnsi="Times New Roman" w:cs="Times New Roman"/>
          <w:sz w:val="22"/>
        </w:rPr>
        <w:t>Without outages, the replication factor has no material effect on latency or throughput (mean latency 3.29–3.31 s) while storage grows 3-fold. With outages a single copy is unreadable whenever its node is down, so the mean time to first delivery rises to 4.92 ± 1.00 s and its P99 to 62.4 s. A second replica reduces these to 0.50 ± 0.28 s and 13.3 s, and mean end-to-end latency from 8.58 s to 3.83 s. A third replica gives no further improvement that is distinguishable at 30 replications (0.60 ± 0.70 s); resolving the difference between R = 2 and R = 3 would require more replications. Throughput stays at the offered load in every case. In this model the benefit of replication is availability during outages, and the second copy captures nearly all of it.</w:t>
      </w:r>
    </w:p>
    <w:p>
      <w:pPr>
        <w:spacing w:after="60" w:before="120"/>
      </w:pPr>
      <w:r>
        <w:rPr>
          <w:rFonts w:ascii="Times New Roman" w:hAnsi="Times New Roman" w:cs="Times New Roman"/>
          <w:b/>
          <w:sz w:val="24"/>
        </w:rPr>
        <w:t>3.3   Message Ordering</w:t>
      </w:r>
    </w:p>
    <w:p>
      <w:pPr>
        <w:spacing w:after="120" w:before="0"/>
        <w:jc w:val="both"/>
      </w:pPr>
      <w:r>
        <w:rPr>
          <w:rFonts w:ascii="Times New Roman" w:hAnsi="Times New Roman" w:cs="Times New Roman"/>
          <w:sz w:val="22"/>
        </w:rPr>
        <w:t>In out-of-order mode a consumer may take any visible message; in in-order mode it may take only the message whose producer sequence number is next, so a delayed message blocks those behind it (head-of-line blocking), following Li et al. [1]. We used one storage node, five consumers that poll every 1 ms, Pareto(α = 1.5) processing times with minimum 10 ms (mean 30 ms, consumer capacity ≈ 167 msg/s), and a uniform 10–100 ms network delay between producer and broker that reorders messages. Latency is measured from production to completion and includes the network delay; λ was swept from 40 to 150 msg/s (500 s runs, 50 s warm-up, 10 replications).</w:t>
      </w:r>
    </w:p>
    <w:p>
      <w:pPr>
        <w:spacing w:after="80" w:before="40"/>
        <w:jc w:val="center"/>
      </w:pPr>
      <w:r>
        <w:rPr>
          <w:rFonts w:ascii="Times New Roman" w:hAnsi="Times New Roman" w:cs="Times New Roman"/>
          <w:b/>
          <w:sz w:val="19"/>
        </w:rPr>
        <w:t>Table 4:</w:t>
      </w:r>
      <w:r>
        <w:rPr>
          <w:rFonts w:ascii="Times New Roman" w:hAnsi="Times New Roman" w:cs="Times New Roman"/>
          <w:sz w:val="19"/>
        </w:rPr>
        <w:t xml:space="preserve"> In-order versus out-of-order delivery (mean ± 95% CI, 10 replications).</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20" w:before="20"/>
              <w:jc w:val="center"/>
            </w:pPr>
            <w:r/>
            <w:r>
              <w:rPr>
                <w:rFonts w:ascii="Times New Roman" w:hAnsi="Times New Roman" w:cs="Times New Roman"/>
                <w:b/>
                <w:sz w:val="19"/>
              </w:rPr>
              <w:t>λ (msg/s)</w:t>
            </w:r>
          </w:p>
        </w:tc>
        <w:tc>
          <w:tcPr>
            <w:tcW w:type="dxa" w:w="1806"/>
          </w:tcPr>
          <w:p>
            <w:pPr>
              <w:spacing w:after="20" w:before="20"/>
              <w:jc w:val="center"/>
            </w:pPr>
            <w:r/>
            <w:r>
              <w:rPr>
                <w:rFonts w:ascii="Times New Roman" w:hAnsi="Times New Roman" w:cs="Times New Roman"/>
                <w:b/>
                <w:sz w:val="19"/>
              </w:rPr>
              <w:t>Out-of-order mean (ms)</w:t>
            </w:r>
          </w:p>
        </w:tc>
        <w:tc>
          <w:tcPr>
            <w:tcW w:type="dxa" w:w="1806"/>
          </w:tcPr>
          <w:p>
            <w:pPr>
              <w:spacing w:after="20" w:before="20"/>
              <w:jc w:val="center"/>
            </w:pPr>
            <w:r/>
            <w:r>
              <w:rPr>
                <w:rFonts w:ascii="Times New Roman" w:hAnsi="Times New Roman" w:cs="Times New Roman"/>
                <w:b/>
                <w:sz w:val="19"/>
              </w:rPr>
              <w:t>In-order mean (ms)</w:t>
            </w:r>
          </w:p>
        </w:tc>
        <w:tc>
          <w:tcPr>
            <w:tcW w:type="dxa" w:w="1806"/>
          </w:tcPr>
          <w:p>
            <w:pPr>
              <w:spacing w:after="20" w:before="20"/>
              <w:jc w:val="center"/>
            </w:pPr>
            <w:r/>
            <w:r>
              <w:rPr>
                <w:rFonts w:ascii="Times New Roman" w:hAnsi="Times New Roman" w:cs="Times New Roman"/>
                <w:b/>
                <w:sz w:val="19"/>
              </w:rPr>
              <w:t>Out-of-order P99 (ms)</w:t>
            </w:r>
          </w:p>
        </w:tc>
        <w:tc>
          <w:tcPr>
            <w:tcW w:type="dxa" w:w="1806"/>
          </w:tcPr>
          <w:p>
            <w:pPr>
              <w:spacing w:after="20" w:before="20"/>
              <w:jc w:val="center"/>
            </w:pPr>
            <w:r/>
            <w:r>
              <w:rPr>
                <w:rFonts w:ascii="Times New Roman" w:hAnsi="Times New Roman" w:cs="Times New Roman"/>
                <w:b/>
                <w:sz w:val="19"/>
              </w:rPr>
              <w:t>In-order P99 (ms)</w:t>
            </w:r>
          </w:p>
        </w:tc>
      </w:tr>
      <w:tr>
        <w:tc>
          <w:tcPr>
            <w:tcW w:type="dxa" w:w="1806"/>
          </w:tcPr>
          <w:p>
            <w:pPr>
              <w:spacing w:after="20" w:before="20"/>
              <w:jc w:val="center"/>
            </w:pPr>
            <w:r/>
            <w:r>
              <w:rPr>
                <w:rFonts w:ascii="Times New Roman" w:hAnsi="Times New Roman" w:cs="Times New Roman"/>
                <w:b w:val="0"/>
                <w:sz w:val="19"/>
              </w:rPr>
              <w:t>40</w:t>
            </w:r>
          </w:p>
        </w:tc>
        <w:tc>
          <w:tcPr>
            <w:tcW w:type="dxa" w:w="1806"/>
          </w:tcPr>
          <w:p>
            <w:pPr>
              <w:spacing w:after="20" w:before="20"/>
              <w:jc w:val="center"/>
            </w:pPr>
            <w:r/>
            <w:r>
              <w:rPr>
                <w:rFonts w:ascii="Times New Roman" w:hAnsi="Times New Roman" w:cs="Times New Roman"/>
                <w:b w:val="0"/>
                <w:sz w:val="19"/>
              </w:rPr>
              <w:t>85.1 ± 0.7</w:t>
            </w:r>
          </w:p>
        </w:tc>
        <w:tc>
          <w:tcPr>
            <w:tcW w:type="dxa" w:w="1806"/>
          </w:tcPr>
          <w:p>
            <w:pPr>
              <w:spacing w:after="20" w:before="20"/>
              <w:jc w:val="center"/>
            </w:pPr>
            <w:r/>
            <w:r>
              <w:rPr>
                <w:rFonts w:ascii="Times New Roman" w:hAnsi="Times New Roman" w:cs="Times New Roman"/>
                <w:b w:val="0"/>
                <w:sz w:val="19"/>
              </w:rPr>
              <w:t>94.4 ± 0.4</w:t>
            </w:r>
          </w:p>
        </w:tc>
        <w:tc>
          <w:tcPr>
            <w:tcW w:type="dxa" w:w="1806"/>
          </w:tcPr>
          <w:p>
            <w:pPr>
              <w:spacing w:after="20" w:before="20"/>
              <w:jc w:val="center"/>
            </w:pPr>
            <w:r/>
            <w:r>
              <w:rPr>
                <w:rFonts w:ascii="Times New Roman" w:hAnsi="Times New Roman" w:cs="Times New Roman"/>
                <w:b w:val="0"/>
                <w:sz w:val="19"/>
              </w:rPr>
              <w:t>279 ± 7</w:t>
            </w:r>
          </w:p>
        </w:tc>
        <w:tc>
          <w:tcPr>
            <w:tcW w:type="dxa" w:w="1806"/>
          </w:tcPr>
          <w:p>
            <w:pPr>
              <w:spacing w:after="20" w:before="20"/>
              <w:jc w:val="center"/>
            </w:pPr>
            <w:r/>
            <w:r>
              <w:rPr>
                <w:rFonts w:ascii="Times New Roman" w:hAnsi="Times New Roman" w:cs="Times New Roman"/>
                <w:b w:val="0"/>
                <w:sz w:val="19"/>
              </w:rPr>
              <w:t>283 ± 8</w:t>
            </w:r>
          </w:p>
        </w:tc>
      </w:tr>
      <w:tr>
        <w:tc>
          <w:tcPr>
            <w:tcW w:type="dxa" w:w="1806"/>
          </w:tcPr>
          <w:p>
            <w:pPr>
              <w:spacing w:after="20" w:before="20"/>
              <w:jc w:val="center"/>
            </w:pPr>
            <w:r/>
            <w:r>
              <w:rPr>
                <w:rFonts w:ascii="Times New Roman" w:hAnsi="Times New Roman" w:cs="Times New Roman"/>
                <w:b w:val="0"/>
                <w:sz w:val="19"/>
              </w:rPr>
              <w:t>80</w:t>
            </w:r>
          </w:p>
        </w:tc>
        <w:tc>
          <w:tcPr>
            <w:tcW w:type="dxa" w:w="1806"/>
          </w:tcPr>
          <w:p>
            <w:pPr>
              <w:spacing w:after="20" w:before="20"/>
              <w:jc w:val="center"/>
            </w:pPr>
            <w:r/>
            <w:r>
              <w:rPr>
                <w:rFonts w:ascii="Times New Roman" w:hAnsi="Times New Roman" w:cs="Times New Roman"/>
                <w:b w:val="0"/>
                <w:sz w:val="19"/>
              </w:rPr>
              <w:t>87.5 ± 1.3</w:t>
            </w:r>
          </w:p>
        </w:tc>
        <w:tc>
          <w:tcPr>
            <w:tcW w:type="dxa" w:w="1806"/>
          </w:tcPr>
          <w:p>
            <w:pPr>
              <w:spacing w:after="20" w:before="20"/>
              <w:jc w:val="center"/>
            </w:pPr>
            <w:r/>
            <w:r>
              <w:rPr>
                <w:rFonts w:ascii="Times New Roman" w:hAnsi="Times New Roman" w:cs="Times New Roman"/>
                <w:b w:val="0"/>
                <w:sz w:val="19"/>
              </w:rPr>
              <w:t>104.4 ± 1.7</w:t>
            </w:r>
          </w:p>
        </w:tc>
        <w:tc>
          <w:tcPr>
            <w:tcW w:type="dxa" w:w="1806"/>
          </w:tcPr>
          <w:p>
            <w:pPr>
              <w:spacing w:after="20" w:before="20"/>
              <w:jc w:val="center"/>
            </w:pPr>
            <w:r/>
            <w:r>
              <w:rPr>
                <w:rFonts w:ascii="Times New Roman" w:hAnsi="Times New Roman" w:cs="Times New Roman"/>
                <w:b w:val="0"/>
                <w:sz w:val="19"/>
              </w:rPr>
              <w:t>293 ± 10</w:t>
            </w:r>
          </w:p>
        </w:tc>
        <w:tc>
          <w:tcPr>
            <w:tcW w:type="dxa" w:w="1806"/>
          </w:tcPr>
          <w:p>
            <w:pPr>
              <w:spacing w:after="20" w:before="20"/>
              <w:jc w:val="center"/>
            </w:pPr>
            <w:r/>
            <w:r>
              <w:rPr>
                <w:rFonts w:ascii="Times New Roman" w:hAnsi="Times New Roman" w:cs="Times New Roman"/>
                <w:b w:val="0"/>
                <w:sz w:val="19"/>
              </w:rPr>
              <w:t>308 ± 29</w:t>
            </w:r>
          </w:p>
        </w:tc>
      </w:tr>
      <w:tr>
        <w:tc>
          <w:tcPr>
            <w:tcW w:type="dxa" w:w="1806"/>
          </w:tcPr>
          <w:p>
            <w:pPr>
              <w:spacing w:after="20" w:before="20"/>
              <w:jc w:val="center"/>
            </w:pPr>
            <w:r/>
            <w:r>
              <w:rPr>
                <w:rFonts w:ascii="Times New Roman" w:hAnsi="Times New Roman" w:cs="Times New Roman"/>
                <w:b w:val="0"/>
                <w:sz w:val="19"/>
              </w:rPr>
              <w:t>120</w:t>
            </w:r>
          </w:p>
        </w:tc>
        <w:tc>
          <w:tcPr>
            <w:tcW w:type="dxa" w:w="1806"/>
          </w:tcPr>
          <w:p>
            <w:pPr>
              <w:spacing w:after="20" w:before="20"/>
              <w:jc w:val="center"/>
            </w:pPr>
            <w:r/>
            <w:r>
              <w:rPr>
                <w:rFonts w:ascii="Times New Roman" w:hAnsi="Times New Roman" w:cs="Times New Roman"/>
                <w:b w:val="0"/>
                <w:sz w:val="19"/>
              </w:rPr>
              <w:t>122.2 ± 17.8</w:t>
            </w:r>
          </w:p>
        </w:tc>
        <w:tc>
          <w:tcPr>
            <w:tcW w:type="dxa" w:w="1806"/>
          </w:tcPr>
          <w:p>
            <w:pPr>
              <w:spacing w:after="20" w:before="20"/>
              <w:jc w:val="center"/>
            </w:pPr>
            <w:r/>
            <w:r>
              <w:rPr>
                <w:rFonts w:ascii="Times New Roman" w:hAnsi="Times New Roman" w:cs="Times New Roman"/>
                <w:b w:val="0"/>
                <w:sz w:val="19"/>
              </w:rPr>
              <w:t>138.3 ± 23.6</w:t>
            </w:r>
          </w:p>
        </w:tc>
        <w:tc>
          <w:tcPr>
            <w:tcW w:type="dxa" w:w="1806"/>
          </w:tcPr>
          <w:p>
            <w:pPr>
              <w:spacing w:after="20" w:before="20"/>
              <w:jc w:val="center"/>
            </w:pPr>
            <w:r/>
            <w:r>
              <w:rPr>
                <w:rFonts w:ascii="Times New Roman" w:hAnsi="Times New Roman" w:cs="Times New Roman"/>
                <w:b w:val="0"/>
                <w:sz w:val="19"/>
              </w:rPr>
              <w:t>891 ± 331</w:t>
            </w:r>
          </w:p>
        </w:tc>
        <w:tc>
          <w:tcPr>
            <w:tcW w:type="dxa" w:w="1806"/>
          </w:tcPr>
          <w:p>
            <w:pPr>
              <w:spacing w:after="20" w:before="20"/>
              <w:jc w:val="center"/>
            </w:pPr>
            <w:r/>
            <w:r>
              <w:rPr>
                <w:rFonts w:ascii="Times New Roman" w:hAnsi="Times New Roman" w:cs="Times New Roman"/>
                <w:b w:val="0"/>
                <w:sz w:val="19"/>
              </w:rPr>
              <w:t>823 ± 665</w:t>
            </w:r>
          </w:p>
        </w:tc>
      </w:tr>
      <w:tr>
        <w:tc>
          <w:tcPr>
            <w:tcW w:type="dxa" w:w="1806"/>
          </w:tcPr>
          <w:p>
            <w:pPr>
              <w:spacing w:after="20" w:before="20"/>
              <w:jc w:val="center"/>
            </w:pPr>
            <w:r/>
            <w:r>
              <w:rPr>
                <w:rFonts w:ascii="Times New Roman" w:hAnsi="Times New Roman" w:cs="Times New Roman"/>
                <w:b w:val="0"/>
                <w:sz w:val="19"/>
              </w:rPr>
              <w:t>150</w:t>
            </w:r>
          </w:p>
        </w:tc>
        <w:tc>
          <w:tcPr>
            <w:tcW w:type="dxa" w:w="1806"/>
          </w:tcPr>
          <w:p>
            <w:pPr>
              <w:spacing w:after="20" w:before="20"/>
              <w:jc w:val="center"/>
            </w:pPr>
            <w:r/>
            <w:r>
              <w:rPr>
                <w:rFonts w:ascii="Times New Roman" w:hAnsi="Times New Roman" w:cs="Times New Roman"/>
                <w:b w:val="0"/>
                <w:sz w:val="19"/>
              </w:rPr>
              <w:t>814.0 ± 798.2</w:t>
            </w:r>
          </w:p>
        </w:tc>
        <w:tc>
          <w:tcPr>
            <w:tcW w:type="dxa" w:w="1806"/>
          </w:tcPr>
          <w:p>
            <w:pPr>
              <w:spacing w:after="20" w:before="20"/>
              <w:jc w:val="center"/>
            </w:pPr>
            <w:r/>
            <w:r>
              <w:rPr>
                <w:rFonts w:ascii="Times New Roman" w:hAnsi="Times New Roman" w:cs="Times New Roman"/>
                <w:b w:val="0"/>
                <w:sz w:val="19"/>
              </w:rPr>
              <w:t>443.9 ± 206.8</w:t>
            </w:r>
          </w:p>
        </w:tc>
        <w:tc>
          <w:tcPr>
            <w:tcW w:type="dxa" w:w="1806"/>
          </w:tcPr>
          <w:p>
            <w:pPr>
              <w:spacing w:after="20" w:before="20"/>
              <w:jc w:val="center"/>
            </w:pPr>
            <w:r/>
            <w:r>
              <w:rPr>
                <w:rFonts w:ascii="Times New Roman" w:hAnsi="Times New Roman" w:cs="Times New Roman"/>
                <w:b w:val="0"/>
                <w:sz w:val="19"/>
              </w:rPr>
              <w:t>9146 ± 9516</w:t>
            </w:r>
          </w:p>
        </w:tc>
        <w:tc>
          <w:tcPr>
            <w:tcW w:type="dxa" w:w="1806"/>
          </w:tcPr>
          <w:p>
            <w:pPr>
              <w:spacing w:after="20" w:before="20"/>
              <w:jc w:val="center"/>
            </w:pPr>
            <w:r/>
            <w:r>
              <w:rPr>
                <w:rFonts w:ascii="Times New Roman" w:hAnsi="Times New Roman" w:cs="Times New Roman"/>
                <w:b w:val="0"/>
                <w:sz w:val="19"/>
              </w:rPr>
              <w:t>2495 ± 1089</w:t>
            </w:r>
          </w:p>
        </w:tc>
      </w:tr>
    </w:tbl>
    <w:p>
      <w:pPr>
        <w:spacing w:after="80" w:before="0"/>
      </w:pPr>
    </w:p>
    <w:p>
      <w:pPr>
        <w:spacing w:after="40" w:before="80"/>
        <w:jc w:val="center"/>
      </w:pPr>
      <w:r>
        <w:drawing>
          <wp:inline xmlns:a="http://schemas.openxmlformats.org/drawingml/2006/main" xmlns:pic="http://schemas.openxmlformats.org/drawingml/2006/picture">
            <wp:extent cx="5669280" cy="2180492"/>
            <wp:docPr id="3" name="Picture 3"/>
            <wp:cNvGraphicFramePr>
              <a:graphicFrameLocks noChangeAspect="1"/>
            </wp:cNvGraphicFramePr>
            <a:graphic>
              <a:graphicData uri="http://schemas.openxmlformats.org/drawingml/2006/picture">
                <pic:pic>
                  <pic:nvPicPr>
                    <pic:cNvPr id="0" name="fig3_ordering.png"/>
                    <pic:cNvPicPr/>
                  </pic:nvPicPr>
                  <pic:blipFill>
                    <a:blip r:embed="rId11"/>
                    <a:stretch>
                      <a:fillRect/>
                    </a:stretch>
                  </pic:blipFill>
                  <pic:spPr>
                    <a:xfrm>
                      <a:off x="0" y="0"/>
                      <a:ext cx="5669280" cy="2180492"/>
                    </a:xfrm>
                    <a:prstGeom prst="rect"/>
                  </pic:spPr>
                </pic:pic>
              </a:graphicData>
            </a:graphic>
          </wp:inline>
        </w:drawing>
      </w:r>
    </w:p>
    <w:p>
      <w:pPr>
        <w:spacing w:after="80" w:before="40"/>
        <w:jc w:val="center"/>
      </w:pPr>
      <w:r>
        <w:rPr>
          <w:rFonts w:ascii="Times New Roman" w:hAnsi="Times New Roman" w:cs="Times New Roman"/>
          <w:b/>
          <w:sz w:val="19"/>
        </w:rPr>
        <w:t>Figure 3:</w:t>
      </w:r>
      <w:r>
        <w:rPr>
          <w:rFonts w:ascii="Times New Roman" w:hAnsi="Times New Roman" w:cs="Times New Roman"/>
          <w:sz w:val="19"/>
        </w:rPr>
        <w:t xml:space="preserve"> Mean (A) and P99 (B) latency of in-order and out-of-order delivery versus arrival rate (log scale, 95% CIs).</w:t>
      </w:r>
    </w:p>
    <w:p>
      <w:pPr>
        <w:spacing w:after="120" w:before="0"/>
        <w:jc w:val="both"/>
      </w:pPr>
      <w:r>
        <w:rPr>
          <w:rFonts w:ascii="Times New Roman" w:hAnsi="Times New Roman" w:cs="Times New Roman"/>
          <w:sz w:val="22"/>
        </w:rPr>
        <w:t>At light and moderate load, in-order delivery adds 9.4 ms (+11%) to the mean at λ = 40 and 16.9 ms (+19%) at λ = 80; both differences are far outside their confidence intervals. The penalty is the time a message waits for predecessors still in flight on the reordering network path. The P99 difference at these loads is within the confidence intervals, plausibly because the tail is dominated by the infinite-variance Pareto processing time rather than by reordering. At λ = 150 (ρ ≈ 0.9) the infinite-variance service makes 10 replications insufficient: the confidence intervals (±798 ms and ±207 ms) overlap completely, and we draw no conclusion at that load.</w:t>
      </w:r>
    </w:p>
    <w:p>
      <w:pPr>
        <w:spacing w:after="80" w:before="200"/>
      </w:pPr>
      <w:r>
        <w:rPr>
          <w:rFonts w:ascii="Times New Roman" w:hAnsi="Times New Roman" w:cs="Times New Roman"/>
          <w:b/>
          <w:sz w:val="28"/>
        </w:rPr>
        <w:t>4   Consistency and Consensus</w:t>
      </w:r>
    </w:p>
    <w:p>
      <w:pPr>
        <w:spacing w:after="60" w:before="120"/>
      </w:pPr>
      <w:r>
        <w:rPr>
          <w:rFonts w:ascii="Times New Roman" w:hAnsi="Times New Roman" w:cs="Times New Roman"/>
          <w:b/>
          <w:sz w:val="24"/>
        </w:rPr>
        <w:t>4.1   Two-Phase Commit</w:t>
      </w:r>
    </w:p>
    <w:p>
      <w:pPr>
        <w:spacing w:after="120" w:before="0"/>
        <w:jc w:val="both"/>
      </w:pPr>
      <w:r>
        <w:rPr>
          <w:rFonts w:ascii="Times New Roman" w:hAnsi="Times New Roman" w:cs="Times New Roman"/>
          <w:sz w:val="22"/>
        </w:rPr>
        <w:t>Two-Phase Commit (2PC) [7] makes a transaction atomic across participants. In our protocol model a participant votes YES with probability equal to its availability and the coordinator commits only if every vote is YES. Over 200 transactions and 10 seeds the measured commit rate tracks the analytical (1 − f)ⁿ for participant failure probability f (Table 5), and every participant records the same commit/abort decisions in every replication, confirming atomicity.</w:t>
      </w:r>
    </w:p>
    <w:p>
      <w:pPr>
        <w:spacing w:after="80" w:before="40"/>
        <w:jc w:val="center"/>
      </w:pPr>
      <w:r>
        <w:rPr>
          <w:rFonts w:ascii="Times New Roman" w:hAnsi="Times New Roman" w:cs="Times New Roman"/>
          <w:b/>
          <w:sz w:val="19"/>
        </w:rPr>
        <w:t>Table 5:</w:t>
      </w:r>
      <w:r>
        <w:rPr>
          <w:rFonts w:ascii="Times New Roman" w:hAnsi="Times New Roman" w:cs="Times New Roman"/>
          <w:sz w:val="19"/>
        </w:rPr>
        <w:t xml:space="preserve"> 2PC commit rate versus participant failure probability (10 replications).</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20" w:before="20"/>
              <w:jc w:val="center"/>
            </w:pPr>
            <w:r/>
            <w:r>
              <w:rPr>
                <w:rFonts w:ascii="Times New Roman" w:hAnsi="Times New Roman" w:cs="Times New Roman"/>
                <w:b/>
                <w:sz w:val="19"/>
              </w:rPr>
              <w:t>Participants n</w:t>
            </w:r>
          </w:p>
        </w:tc>
        <w:tc>
          <w:tcPr>
            <w:tcW w:type="dxa" w:w="1806"/>
          </w:tcPr>
          <w:p>
            <w:pPr>
              <w:spacing w:after="20" w:before="20"/>
              <w:jc w:val="center"/>
            </w:pPr>
            <w:r/>
            <w:r>
              <w:rPr>
                <w:rFonts w:ascii="Times New Roman" w:hAnsi="Times New Roman" w:cs="Times New Roman"/>
                <w:b/>
                <w:sz w:val="19"/>
              </w:rPr>
              <w:t>Failure prob. f</w:t>
            </w:r>
          </w:p>
        </w:tc>
        <w:tc>
          <w:tcPr>
            <w:tcW w:type="dxa" w:w="1806"/>
          </w:tcPr>
          <w:p>
            <w:pPr>
              <w:spacing w:after="20" w:before="20"/>
              <w:jc w:val="center"/>
            </w:pPr>
            <w:r/>
            <w:r>
              <w:rPr>
                <w:rFonts w:ascii="Times New Roman" w:hAnsi="Times New Roman" w:cs="Times New Roman"/>
                <w:b/>
                <w:sz w:val="19"/>
              </w:rPr>
              <w:t>Measured commit rate</w:t>
            </w:r>
          </w:p>
        </w:tc>
        <w:tc>
          <w:tcPr>
            <w:tcW w:type="dxa" w:w="1806"/>
          </w:tcPr>
          <w:p>
            <w:pPr>
              <w:spacing w:after="20" w:before="20"/>
              <w:jc w:val="center"/>
            </w:pPr>
            <w:r/>
            <w:r>
              <w:rPr>
                <w:rFonts w:ascii="Times New Roman" w:hAnsi="Times New Roman" w:cs="Times New Roman"/>
                <w:b/>
                <w:sz w:val="19"/>
              </w:rPr>
              <w:t>(1 − f)ⁿ</w:t>
            </w:r>
          </w:p>
        </w:tc>
        <w:tc>
          <w:tcPr>
            <w:tcW w:type="dxa" w:w="1806"/>
          </w:tcPr>
          <w:p>
            <w:pPr>
              <w:spacing w:after="20" w:before="20"/>
              <w:jc w:val="center"/>
            </w:pPr>
            <w:r/>
            <w:r>
              <w:rPr>
                <w:rFonts w:ascii="Times New Roman" w:hAnsi="Times New Roman" w:cs="Times New Roman"/>
                <w:b/>
                <w:sz w:val="19"/>
              </w:rPr>
              <w:t>Atomicity</w:t>
            </w:r>
          </w:p>
        </w:tc>
      </w:tr>
      <w:tr>
        <w:tc>
          <w:tcPr>
            <w:tcW w:type="dxa" w:w="1806"/>
          </w:tcPr>
          <w:p>
            <w:pPr>
              <w:spacing w:after="20" w:before="20"/>
              <w:jc w:val="center"/>
            </w:pPr>
            <w:r/>
            <w:r>
              <w:rPr>
                <w:rFonts w:ascii="Times New Roman" w:hAnsi="Times New Roman" w:cs="Times New Roman"/>
                <w:b w:val="0"/>
                <w:sz w:val="19"/>
              </w:rPr>
              <w:t>3</w:t>
            </w:r>
          </w:p>
        </w:tc>
        <w:tc>
          <w:tcPr>
            <w:tcW w:type="dxa" w:w="1806"/>
          </w:tcPr>
          <w:p>
            <w:pPr>
              <w:spacing w:after="20" w:before="20"/>
              <w:jc w:val="center"/>
            </w:pPr>
            <w:r/>
            <w:r>
              <w:rPr>
                <w:rFonts w:ascii="Times New Roman" w:hAnsi="Times New Roman" w:cs="Times New Roman"/>
                <w:b w:val="0"/>
                <w:sz w:val="19"/>
              </w:rPr>
              <w:t>0</w:t>
            </w:r>
          </w:p>
        </w:tc>
        <w:tc>
          <w:tcPr>
            <w:tcW w:type="dxa" w:w="1806"/>
          </w:tcPr>
          <w:p>
            <w:pPr>
              <w:spacing w:after="20" w:before="20"/>
              <w:jc w:val="center"/>
            </w:pPr>
            <w:r/>
            <w:r>
              <w:rPr>
                <w:rFonts w:ascii="Times New Roman" w:hAnsi="Times New Roman" w:cs="Times New Roman"/>
                <w:b w:val="0"/>
                <w:sz w:val="19"/>
              </w:rPr>
              <w:t>1.000 ± 0.000</w:t>
            </w:r>
          </w:p>
        </w:tc>
        <w:tc>
          <w:tcPr>
            <w:tcW w:type="dxa" w:w="1806"/>
          </w:tcPr>
          <w:p>
            <w:pPr>
              <w:spacing w:after="20" w:before="20"/>
              <w:jc w:val="center"/>
            </w:pPr>
            <w:r/>
            <w:r>
              <w:rPr>
                <w:rFonts w:ascii="Times New Roman" w:hAnsi="Times New Roman" w:cs="Times New Roman"/>
                <w:b w:val="0"/>
                <w:sz w:val="19"/>
              </w:rPr>
              <w:t>1.000</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3</w:t>
            </w:r>
          </w:p>
        </w:tc>
        <w:tc>
          <w:tcPr>
            <w:tcW w:type="dxa" w:w="1806"/>
          </w:tcPr>
          <w:p>
            <w:pPr>
              <w:spacing w:after="20" w:before="20"/>
              <w:jc w:val="center"/>
            </w:pPr>
            <w:r/>
            <w:r>
              <w:rPr>
                <w:rFonts w:ascii="Times New Roman" w:hAnsi="Times New Roman" w:cs="Times New Roman"/>
                <w:b w:val="0"/>
                <w:sz w:val="19"/>
              </w:rPr>
              <w:t>0.05</w:t>
            </w:r>
          </w:p>
        </w:tc>
        <w:tc>
          <w:tcPr>
            <w:tcW w:type="dxa" w:w="1806"/>
          </w:tcPr>
          <w:p>
            <w:pPr>
              <w:spacing w:after="20" w:before="20"/>
              <w:jc w:val="center"/>
            </w:pPr>
            <w:r/>
            <w:r>
              <w:rPr>
                <w:rFonts w:ascii="Times New Roman" w:hAnsi="Times New Roman" w:cs="Times New Roman"/>
                <w:b w:val="0"/>
                <w:sz w:val="19"/>
              </w:rPr>
              <w:t>0.855 ± 0.014</w:t>
            </w:r>
          </w:p>
        </w:tc>
        <w:tc>
          <w:tcPr>
            <w:tcW w:type="dxa" w:w="1806"/>
          </w:tcPr>
          <w:p>
            <w:pPr>
              <w:spacing w:after="20" w:before="20"/>
              <w:jc w:val="center"/>
            </w:pPr>
            <w:r/>
            <w:r>
              <w:rPr>
                <w:rFonts w:ascii="Times New Roman" w:hAnsi="Times New Roman" w:cs="Times New Roman"/>
                <w:b w:val="0"/>
                <w:sz w:val="19"/>
              </w:rPr>
              <w:t>0.857</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3</w:t>
            </w:r>
          </w:p>
        </w:tc>
        <w:tc>
          <w:tcPr>
            <w:tcW w:type="dxa" w:w="1806"/>
          </w:tcPr>
          <w:p>
            <w:pPr>
              <w:spacing w:after="20" w:before="20"/>
              <w:jc w:val="center"/>
            </w:pPr>
            <w:r/>
            <w:r>
              <w:rPr>
                <w:rFonts w:ascii="Times New Roman" w:hAnsi="Times New Roman" w:cs="Times New Roman"/>
                <w:b w:val="0"/>
                <w:sz w:val="19"/>
              </w:rPr>
              <w:t>0.1</w:t>
            </w:r>
          </w:p>
        </w:tc>
        <w:tc>
          <w:tcPr>
            <w:tcW w:type="dxa" w:w="1806"/>
          </w:tcPr>
          <w:p>
            <w:pPr>
              <w:spacing w:after="20" w:before="20"/>
              <w:jc w:val="center"/>
            </w:pPr>
            <w:r/>
            <w:r>
              <w:rPr>
                <w:rFonts w:ascii="Times New Roman" w:hAnsi="Times New Roman" w:cs="Times New Roman"/>
                <w:b w:val="0"/>
                <w:sz w:val="19"/>
              </w:rPr>
              <w:t>0.733 ± 0.015</w:t>
            </w:r>
          </w:p>
        </w:tc>
        <w:tc>
          <w:tcPr>
            <w:tcW w:type="dxa" w:w="1806"/>
          </w:tcPr>
          <w:p>
            <w:pPr>
              <w:spacing w:after="20" w:before="20"/>
              <w:jc w:val="center"/>
            </w:pPr>
            <w:r/>
            <w:r>
              <w:rPr>
                <w:rFonts w:ascii="Times New Roman" w:hAnsi="Times New Roman" w:cs="Times New Roman"/>
                <w:b w:val="0"/>
                <w:sz w:val="19"/>
              </w:rPr>
              <w:t>0.729</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3</w:t>
            </w:r>
          </w:p>
        </w:tc>
        <w:tc>
          <w:tcPr>
            <w:tcW w:type="dxa" w:w="1806"/>
          </w:tcPr>
          <w:p>
            <w:pPr>
              <w:spacing w:after="20" w:before="20"/>
              <w:jc w:val="center"/>
            </w:pPr>
            <w:r/>
            <w:r>
              <w:rPr>
                <w:rFonts w:ascii="Times New Roman" w:hAnsi="Times New Roman" w:cs="Times New Roman"/>
                <w:b w:val="0"/>
                <w:sz w:val="19"/>
              </w:rPr>
              <w:t>0.3</w:t>
            </w:r>
          </w:p>
        </w:tc>
        <w:tc>
          <w:tcPr>
            <w:tcW w:type="dxa" w:w="1806"/>
          </w:tcPr>
          <w:p>
            <w:pPr>
              <w:spacing w:after="20" w:before="20"/>
              <w:jc w:val="center"/>
            </w:pPr>
            <w:r/>
            <w:r>
              <w:rPr>
                <w:rFonts w:ascii="Times New Roman" w:hAnsi="Times New Roman" w:cs="Times New Roman"/>
                <w:b w:val="0"/>
                <w:sz w:val="19"/>
              </w:rPr>
              <w:t>0.369 ± 0.021</w:t>
            </w:r>
          </w:p>
        </w:tc>
        <w:tc>
          <w:tcPr>
            <w:tcW w:type="dxa" w:w="1806"/>
          </w:tcPr>
          <w:p>
            <w:pPr>
              <w:spacing w:after="20" w:before="20"/>
              <w:jc w:val="center"/>
            </w:pPr>
            <w:r/>
            <w:r>
              <w:rPr>
                <w:rFonts w:ascii="Times New Roman" w:hAnsi="Times New Roman" w:cs="Times New Roman"/>
                <w:b w:val="0"/>
                <w:sz w:val="19"/>
              </w:rPr>
              <w:t>0.343</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5</w:t>
            </w:r>
          </w:p>
        </w:tc>
        <w:tc>
          <w:tcPr>
            <w:tcW w:type="dxa" w:w="1806"/>
          </w:tcPr>
          <w:p>
            <w:pPr>
              <w:spacing w:after="20" w:before="20"/>
              <w:jc w:val="center"/>
            </w:pPr>
            <w:r/>
            <w:r>
              <w:rPr>
                <w:rFonts w:ascii="Times New Roman" w:hAnsi="Times New Roman" w:cs="Times New Roman"/>
                <w:b w:val="0"/>
                <w:sz w:val="19"/>
              </w:rPr>
              <w:t>0</w:t>
            </w:r>
          </w:p>
        </w:tc>
        <w:tc>
          <w:tcPr>
            <w:tcW w:type="dxa" w:w="1806"/>
          </w:tcPr>
          <w:p>
            <w:pPr>
              <w:spacing w:after="20" w:before="20"/>
              <w:jc w:val="center"/>
            </w:pPr>
            <w:r/>
            <w:r>
              <w:rPr>
                <w:rFonts w:ascii="Times New Roman" w:hAnsi="Times New Roman" w:cs="Times New Roman"/>
                <w:b w:val="0"/>
                <w:sz w:val="19"/>
              </w:rPr>
              <w:t>1.000 ± 0.000</w:t>
            </w:r>
          </w:p>
        </w:tc>
        <w:tc>
          <w:tcPr>
            <w:tcW w:type="dxa" w:w="1806"/>
          </w:tcPr>
          <w:p>
            <w:pPr>
              <w:spacing w:after="20" w:before="20"/>
              <w:jc w:val="center"/>
            </w:pPr>
            <w:r/>
            <w:r>
              <w:rPr>
                <w:rFonts w:ascii="Times New Roman" w:hAnsi="Times New Roman" w:cs="Times New Roman"/>
                <w:b w:val="0"/>
                <w:sz w:val="19"/>
              </w:rPr>
              <w:t>1.000</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5</w:t>
            </w:r>
          </w:p>
        </w:tc>
        <w:tc>
          <w:tcPr>
            <w:tcW w:type="dxa" w:w="1806"/>
          </w:tcPr>
          <w:p>
            <w:pPr>
              <w:spacing w:after="20" w:before="20"/>
              <w:jc w:val="center"/>
            </w:pPr>
            <w:r/>
            <w:r>
              <w:rPr>
                <w:rFonts w:ascii="Times New Roman" w:hAnsi="Times New Roman" w:cs="Times New Roman"/>
                <w:b w:val="0"/>
                <w:sz w:val="19"/>
              </w:rPr>
              <w:t>0.05</w:t>
            </w:r>
          </w:p>
        </w:tc>
        <w:tc>
          <w:tcPr>
            <w:tcW w:type="dxa" w:w="1806"/>
          </w:tcPr>
          <w:p>
            <w:pPr>
              <w:spacing w:after="20" w:before="20"/>
              <w:jc w:val="center"/>
            </w:pPr>
            <w:r/>
            <w:r>
              <w:rPr>
                <w:rFonts w:ascii="Times New Roman" w:hAnsi="Times New Roman" w:cs="Times New Roman"/>
                <w:b w:val="0"/>
                <w:sz w:val="19"/>
              </w:rPr>
              <w:t>0.777 ± 0.016</w:t>
            </w:r>
          </w:p>
        </w:tc>
        <w:tc>
          <w:tcPr>
            <w:tcW w:type="dxa" w:w="1806"/>
          </w:tcPr>
          <w:p>
            <w:pPr>
              <w:spacing w:after="20" w:before="20"/>
              <w:jc w:val="center"/>
            </w:pPr>
            <w:r/>
            <w:r>
              <w:rPr>
                <w:rFonts w:ascii="Times New Roman" w:hAnsi="Times New Roman" w:cs="Times New Roman"/>
                <w:b w:val="0"/>
                <w:sz w:val="19"/>
              </w:rPr>
              <w:t>0.774</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5</w:t>
            </w:r>
          </w:p>
        </w:tc>
        <w:tc>
          <w:tcPr>
            <w:tcW w:type="dxa" w:w="1806"/>
          </w:tcPr>
          <w:p>
            <w:pPr>
              <w:spacing w:after="20" w:before="20"/>
              <w:jc w:val="center"/>
            </w:pPr>
            <w:r/>
            <w:r>
              <w:rPr>
                <w:rFonts w:ascii="Times New Roman" w:hAnsi="Times New Roman" w:cs="Times New Roman"/>
                <w:b w:val="0"/>
                <w:sz w:val="19"/>
              </w:rPr>
              <w:t>0.1</w:t>
            </w:r>
          </w:p>
        </w:tc>
        <w:tc>
          <w:tcPr>
            <w:tcW w:type="dxa" w:w="1806"/>
          </w:tcPr>
          <w:p>
            <w:pPr>
              <w:spacing w:after="20" w:before="20"/>
              <w:jc w:val="center"/>
            </w:pPr>
            <w:r/>
            <w:r>
              <w:rPr>
                <w:rFonts w:ascii="Times New Roman" w:hAnsi="Times New Roman" w:cs="Times New Roman"/>
                <w:b w:val="0"/>
                <w:sz w:val="19"/>
              </w:rPr>
              <w:t>0.599 ± 0.018</w:t>
            </w:r>
          </w:p>
        </w:tc>
        <w:tc>
          <w:tcPr>
            <w:tcW w:type="dxa" w:w="1806"/>
          </w:tcPr>
          <w:p>
            <w:pPr>
              <w:spacing w:after="20" w:before="20"/>
              <w:jc w:val="center"/>
            </w:pPr>
            <w:r/>
            <w:r>
              <w:rPr>
                <w:rFonts w:ascii="Times New Roman" w:hAnsi="Times New Roman" w:cs="Times New Roman"/>
                <w:b w:val="0"/>
                <w:sz w:val="19"/>
              </w:rPr>
              <w:t>0.590</w:t>
            </w:r>
          </w:p>
        </w:tc>
        <w:tc>
          <w:tcPr>
            <w:tcW w:type="dxa" w:w="1806"/>
          </w:tcPr>
          <w:p>
            <w:pPr>
              <w:spacing w:after="20" w:before="20"/>
              <w:jc w:val="center"/>
            </w:pPr>
            <w:r/>
            <w:r>
              <w:rPr>
                <w:rFonts w:ascii="Times New Roman" w:hAnsi="Times New Roman" w:cs="Times New Roman"/>
                <w:b w:val="0"/>
                <w:sz w:val="19"/>
              </w:rPr>
              <w:t>holds</w:t>
            </w:r>
          </w:p>
        </w:tc>
      </w:tr>
      <w:tr>
        <w:tc>
          <w:tcPr>
            <w:tcW w:type="dxa" w:w="1806"/>
          </w:tcPr>
          <w:p>
            <w:pPr>
              <w:spacing w:after="20" w:before="20"/>
              <w:jc w:val="center"/>
            </w:pPr>
            <w:r/>
            <w:r>
              <w:rPr>
                <w:rFonts w:ascii="Times New Roman" w:hAnsi="Times New Roman" w:cs="Times New Roman"/>
                <w:b w:val="0"/>
                <w:sz w:val="19"/>
              </w:rPr>
              <w:t>5</w:t>
            </w:r>
          </w:p>
        </w:tc>
        <w:tc>
          <w:tcPr>
            <w:tcW w:type="dxa" w:w="1806"/>
          </w:tcPr>
          <w:p>
            <w:pPr>
              <w:spacing w:after="20" w:before="20"/>
              <w:jc w:val="center"/>
            </w:pPr>
            <w:r/>
            <w:r>
              <w:rPr>
                <w:rFonts w:ascii="Times New Roman" w:hAnsi="Times New Roman" w:cs="Times New Roman"/>
                <w:b w:val="0"/>
                <w:sz w:val="19"/>
              </w:rPr>
              <w:t>0.3</w:t>
            </w:r>
          </w:p>
        </w:tc>
        <w:tc>
          <w:tcPr>
            <w:tcW w:type="dxa" w:w="1806"/>
          </w:tcPr>
          <w:p>
            <w:pPr>
              <w:spacing w:after="20" w:before="20"/>
              <w:jc w:val="center"/>
            </w:pPr>
            <w:r/>
            <w:r>
              <w:rPr>
                <w:rFonts w:ascii="Times New Roman" w:hAnsi="Times New Roman" w:cs="Times New Roman"/>
                <w:b w:val="0"/>
                <w:sz w:val="19"/>
              </w:rPr>
              <w:t>0.187 ± 0.013</w:t>
            </w:r>
          </w:p>
        </w:tc>
        <w:tc>
          <w:tcPr>
            <w:tcW w:type="dxa" w:w="1806"/>
          </w:tcPr>
          <w:p>
            <w:pPr>
              <w:spacing w:after="20" w:before="20"/>
              <w:jc w:val="center"/>
            </w:pPr>
            <w:r/>
            <w:r>
              <w:rPr>
                <w:rFonts w:ascii="Times New Roman" w:hAnsi="Times New Roman" w:cs="Times New Roman"/>
                <w:b w:val="0"/>
                <w:sz w:val="19"/>
              </w:rPr>
              <w:t>0.168</w:t>
            </w:r>
          </w:p>
        </w:tc>
        <w:tc>
          <w:tcPr>
            <w:tcW w:type="dxa" w:w="1806"/>
          </w:tcPr>
          <w:p>
            <w:pPr>
              <w:spacing w:after="20" w:before="20"/>
              <w:jc w:val="center"/>
            </w:pPr>
            <w:r/>
            <w:r>
              <w:rPr>
                <w:rFonts w:ascii="Times New Roman" w:hAnsi="Times New Roman" w:cs="Times New Roman"/>
                <w:b w:val="0"/>
                <w:sz w:val="19"/>
              </w:rPr>
              <w:t>holds</w:t>
            </w:r>
          </w:p>
        </w:tc>
      </w:tr>
    </w:tbl>
    <w:p>
      <w:pPr>
        <w:spacing w:after="80" w:before="0"/>
      </w:pPr>
    </w:p>
    <w:p>
      <w:pPr>
        <w:spacing w:after="120" w:before="0"/>
        <w:jc w:val="both"/>
      </w:pPr>
      <w:r>
        <w:rPr>
          <w:rFonts w:ascii="Times New Roman" w:hAnsi="Times New Roman" w:cs="Times New Roman"/>
          <w:sz w:val="22"/>
        </w:rPr>
        <w:t>Its performance cost comes from the critical path. Each message's service time becomes S = S_base + T_2PC, where the prepare and commit phases each cost one round trip and the vote phase waits for the slowest of n replicas, or for the full vote timeout T if any replica is unavailable:</w:t>
      </w:r>
    </w:p>
    <w:p>
      <w:pPr>
        <w:spacing w:after="120" w:before="40"/>
        <w:jc w:val="center"/>
      </w:pPr>
      <w:r>
        <w:rPr>
          <w:rFonts w:ascii="Times New Roman" w:hAnsi="Times New Roman" w:cs="Times New Roman"/>
          <w:sz w:val="22"/>
        </w:rPr>
        <w:t>T_2PC = RTT_prepare + V + RTT_commit                                  (1)</w:t>
      </w:r>
    </w:p>
    <w:p>
      <w:pPr>
        <w:spacing w:after="120" w:before="40"/>
        <w:jc w:val="center"/>
      </w:pPr>
      <w:r>
        <w:rPr>
          <w:rFonts w:ascii="Times New Roman" w:hAnsi="Times New Roman" w:cs="Times New Roman"/>
          <w:sz w:val="22"/>
        </w:rPr>
        <w:t>E[V] = aⁿ·E[max(RTT₁,…,RTTₙ)] + (1 − aⁿ)·T                        (2)</w:t>
      </w:r>
    </w:p>
    <w:p>
      <w:pPr>
        <w:spacing w:after="120" w:before="40"/>
        <w:jc w:val="center"/>
      </w:pPr>
      <w:r>
        <w:rPr>
          <w:rFonts w:ascii="Times New Roman" w:hAnsi="Times New Roman" w:cs="Times New Roman"/>
          <w:sz w:val="22"/>
        </w:rPr>
        <w:t>λ* = N / E[S]     (saturation arrival rate)                       (3)</w:t>
      </w:r>
    </w:p>
    <w:p>
      <w:pPr>
        <w:spacing w:after="120" w:before="0"/>
        <w:jc w:val="both"/>
      </w:pPr>
      <w:r>
        <w:rPr>
          <w:rFonts w:ascii="Times New Roman" w:hAnsi="Times New Roman" w:cs="Times New Roman"/>
          <w:sz w:val="22"/>
        </w:rPr>
        <w:t>With the defaults (n = 3, a = 0.99, T = 1 s) a vote times out with probability 1 − a³ = 0.0297, and that rare 1 s timeout contributes about 29.7 ms to the mean—about as much as the three round trips together. Equation (2) gives E[T_2PC] = 61.0 ms, and 2×10⁵ sampled overheads give 60.5 ms (Table 6); the overhead variance is likewise dominated by the timeout term (0.0282 s² analytical, 0.0277 s² sampled, against 0.000010 s² with a = 1). Adding E[T_2PC] to the 83.3 ms base service time lowers the saturation rate of a 10-thread pool from 120 to 69.3 msg/s, a 42.3% capacity loss.</w:t>
      </w:r>
    </w:p>
    <w:p>
      <w:pPr>
        <w:spacing w:after="80" w:before="40"/>
        <w:jc w:val="center"/>
      </w:pPr>
      <w:r>
        <w:rPr>
          <w:rFonts w:ascii="Times New Roman" w:hAnsi="Times New Roman" w:cs="Times New Roman"/>
          <w:b/>
          <w:sz w:val="19"/>
        </w:rPr>
        <w:t>Table 6:</w:t>
      </w:r>
      <w:r>
        <w:rPr>
          <w:rFonts w:ascii="Times New Roman" w:hAnsi="Times New Roman" w:cs="Times New Roman"/>
          <w:sz w:val="19"/>
        </w:rPr>
        <w:t xml:space="preserve"> 2PC overhead per message, sampled (2×10⁵ draws) versus analytical, and the resulting saturation rate for N = 10, μ = 12.</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after="20" w:before="20"/>
              <w:jc w:val="center"/>
            </w:pPr>
            <w:r/>
            <w:r>
              <w:rPr>
                <w:rFonts w:ascii="Times New Roman" w:hAnsi="Times New Roman" w:cs="Times New Roman"/>
                <w:b/>
                <w:sz w:val="19"/>
              </w:rPr>
              <w:t>n</w:t>
            </w:r>
          </w:p>
        </w:tc>
        <w:tc>
          <w:tcPr>
            <w:tcW w:type="dxa" w:w="1290"/>
          </w:tcPr>
          <w:p>
            <w:pPr>
              <w:spacing w:after="20" w:before="20"/>
              <w:jc w:val="center"/>
            </w:pPr>
            <w:r/>
            <w:r>
              <w:rPr>
                <w:rFonts w:ascii="Times New Roman" w:hAnsi="Times New Roman" w:cs="Times New Roman"/>
                <w:b/>
                <w:sz w:val="19"/>
              </w:rPr>
              <w:t>a</w:t>
            </w:r>
          </w:p>
        </w:tc>
        <w:tc>
          <w:tcPr>
            <w:tcW w:type="dxa" w:w="1290"/>
          </w:tcPr>
          <w:p>
            <w:pPr>
              <w:spacing w:after="20" w:before="20"/>
              <w:jc w:val="center"/>
            </w:pPr>
            <w:r/>
            <w:r>
              <w:rPr>
                <w:rFonts w:ascii="Times New Roman" w:hAnsi="Times New Roman" w:cs="Times New Roman"/>
                <w:b/>
                <w:sz w:val="19"/>
              </w:rPr>
              <w:t>T (s)</w:t>
            </w:r>
          </w:p>
        </w:tc>
        <w:tc>
          <w:tcPr>
            <w:tcW w:type="dxa" w:w="1290"/>
          </w:tcPr>
          <w:p>
            <w:pPr>
              <w:spacing w:after="20" w:before="20"/>
              <w:jc w:val="center"/>
            </w:pPr>
            <w:r/>
            <w:r>
              <w:rPr>
                <w:rFonts w:ascii="Times New Roman" w:hAnsi="Times New Roman" w:cs="Times New Roman"/>
                <w:b/>
                <w:sz w:val="19"/>
              </w:rPr>
              <w:t>Sampled E[T_2PC] (ms)</w:t>
            </w:r>
          </w:p>
        </w:tc>
        <w:tc>
          <w:tcPr>
            <w:tcW w:type="dxa" w:w="1290"/>
          </w:tcPr>
          <w:p>
            <w:pPr>
              <w:spacing w:after="20" w:before="20"/>
              <w:jc w:val="center"/>
            </w:pPr>
            <w:r/>
            <w:r>
              <w:rPr>
                <w:rFonts w:ascii="Times New Roman" w:hAnsi="Times New Roman" w:cs="Times New Roman"/>
                <w:b/>
                <w:sz w:val="19"/>
              </w:rPr>
              <w:t>Analytical (ms)</w:t>
            </w:r>
          </w:p>
        </w:tc>
        <w:tc>
          <w:tcPr>
            <w:tcW w:type="dxa" w:w="1290"/>
          </w:tcPr>
          <w:p>
            <w:pPr>
              <w:spacing w:after="20" w:before="20"/>
              <w:jc w:val="center"/>
            </w:pPr>
            <w:r/>
            <w:r>
              <w:rPr>
                <w:rFonts w:ascii="Times New Roman" w:hAnsi="Times New Roman" w:cs="Times New Roman"/>
                <w:b/>
                <w:sz w:val="19"/>
              </w:rPr>
              <w:t>λ* (msg/s)</w:t>
            </w:r>
          </w:p>
        </w:tc>
        <w:tc>
          <w:tcPr>
            <w:tcW w:type="dxa" w:w="1290"/>
          </w:tcPr>
          <w:p>
            <w:pPr>
              <w:spacing w:after="20" w:before="20"/>
              <w:jc w:val="center"/>
            </w:pPr>
            <w:r/>
            <w:r>
              <w:rPr>
                <w:rFonts w:ascii="Times New Roman" w:hAnsi="Times New Roman" w:cs="Times New Roman"/>
                <w:b/>
                <w:sz w:val="19"/>
              </w:rPr>
              <w:t>Capacity loss</w:t>
            </w:r>
          </w:p>
        </w:tc>
      </w:tr>
      <w:tr>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0.99</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60.5</w:t>
            </w:r>
          </w:p>
        </w:tc>
        <w:tc>
          <w:tcPr>
            <w:tcW w:type="dxa" w:w="1290"/>
          </w:tcPr>
          <w:p>
            <w:pPr>
              <w:spacing w:after="20" w:before="20"/>
              <w:jc w:val="center"/>
            </w:pPr>
            <w:r/>
            <w:r>
              <w:rPr>
                <w:rFonts w:ascii="Times New Roman" w:hAnsi="Times New Roman" w:cs="Times New Roman"/>
                <w:b w:val="0"/>
                <w:sz w:val="19"/>
              </w:rPr>
              <w:t>61.0</w:t>
            </w:r>
          </w:p>
        </w:tc>
        <w:tc>
          <w:tcPr>
            <w:tcW w:type="dxa" w:w="1290"/>
          </w:tcPr>
          <w:p>
            <w:pPr>
              <w:spacing w:after="20" w:before="20"/>
              <w:jc w:val="center"/>
            </w:pPr>
            <w:r/>
            <w:r>
              <w:rPr>
                <w:rFonts w:ascii="Times New Roman" w:hAnsi="Times New Roman" w:cs="Times New Roman"/>
                <w:b w:val="0"/>
                <w:sz w:val="19"/>
              </w:rPr>
              <w:t>69.3</w:t>
            </w:r>
          </w:p>
        </w:tc>
        <w:tc>
          <w:tcPr>
            <w:tcW w:type="dxa" w:w="1290"/>
          </w:tcPr>
          <w:p>
            <w:pPr>
              <w:spacing w:after="20" w:before="20"/>
              <w:jc w:val="center"/>
            </w:pPr>
            <w:r/>
            <w:r>
              <w:rPr>
                <w:rFonts w:ascii="Times New Roman" w:hAnsi="Times New Roman" w:cs="Times New Roman"/>
                <w:b w:val="0"/>
                <w:sz w:val="19"/>
              </w:rPr>
              <w:t>42.3%</w:t>
            </w:r>
          </w:p>
        </w:tc>
      </w:tr>
      <w:tr>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31.7</w:t>
            </w:r>
          </w:p>
        </w:tc>
        <w:tc>
          <w:tcPr>
            <w:tcW w:type="dxa" w:w="1290"/>
          </w:tcPr>
          <w:p>
            <w:pPr>
              <w:spacing w:after="20" w:before="20"/>
              <w:jc w:val="center"/>
            </w:pPr>
            <w:r/>
            <w:r>
              <w:rPr>
                <w:rFonts w:ascii="Times New Roman" w:hAnsi="Times New Roman" w:cs="Times New Roman"/>
                <w:b w:val="0"/>
                <w:sz w:val="19"/>
              </w:rPr>
              <w:t>31.7</w:t>
            </w:r>
          </w:p>
        </w:tc>
        <w:tc>
          <w:tcPr>
            <w:tcW w:type="dxa" w:w="1290"/>
          </w:tcPr>
          <w:p>
            <w:pPr>
              <w:spacing w:after="20" w:before="20"/>
              <w:jc w:val="center"/>
            </w:pPr>
            <w:r/>
            <w:r>
              <w:rPr>
                <w:rFonts w:ascii="Times New Roman" w:hAnsi="Times New Roman" w:cs="Times New Roman"/>
                <w:b w:val="0"/>
                <w:sz w:val="19"/>
              </w:rPr>
              <w:t>86.9</w:t>
            </w:r>
          </w:p>
        </w:tc>
        <w:tc>
          <w:tcPr>
            <w:tcW w:type="dxa" w:w="1290"/>
          </w:tcPr>
          <w:p>
            <w:pPr>
              <w:spacing w:after="20" w:before="20"/>
              <w:jc w:val="center"/>
            </w:pPr>
            <w:r/>
            <w:r>
              <w:rPr>
                <w:rFonts w:ascii="Times New Roman" w:hAnsi="Times New Roman" w:cs="Times New Roman"/>
                <w:b w:val="0"/>
                <w:sz w:val="19"/>
              </w:rPr>
              <w:t>27.6%</w:t>
            </w:r>
          </w:p>
        </w:tc>
      </w:tr>
      <w:tr>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0.999</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34.8</w:t>
            </w:r>
          </w:p>
        </w:tc>
        <w:tc>
          <w:tcPr>
            <w:tcW w:type="dxa" w:w="1290"/>
          </w:tcPr>
          <w:p>
            <w:pPr>
              <w:spacing w:after="20" w:before="20"/>
              <w:jc w:val="center"/>
            </w:pPr>
            <w:r/>
            <w:r>
              <w:rPr>
                <w:rFonts w:ascii="Times New Roman" w:hAnsi="Times New Roman" w:cs="Times New Roman"/>
                <w:b w:val="0"/>
                <w:sz w:val="19"/>
              </w:rPr>
              <w:t>34.7</w:t>
            </w:r>
          </w:p>
        </w:tc>
        <w:tc>
          <w:tcPr>
            <w:tcW w:type="dxa" w:w="1290"/>
          </w:tcPr>
          <w:p>
            <w:pPr>
              <w:spacing w:after="20" w:before="20"/>
              <w:jc w:val="center"/>
            </w:pPr>
            <w:r/>
            <w:r>
              <w:rPr>
                <w:rFonts w:ascii="Times New Roman" w:hAnsi="Times New Roman" w:cs="Times New Roman"/>
                <w:b w:val="0"/>
                <w:sz w:val="19"/>
              </w:rPr>
              <w:t>84.8</w:t>
            </w:r>
          </w:p>
        </w:tc>
        <w:tc>
          <w:tcPr>
            <w:tcW w:type="dxa" w:w="1290"/>
          </w:tcPr>
          <w:p>
            <w:pPr>
              <w:spacing w:after="20" w:before="20"/>
              <w:jc w:val="center"/>
            </w:pPr>
            <w:r/>
            <w:r>
              <w:rPr>
                <w:rFonts w:ascii="Times New Roman" w:hAnsi="Times New Roman" w:cs="Times New Roman"/>
                <w:b w:val="0"/>
                <w:sz w:val="19"/>
              </w:rPr>
              <w:t>29.4%</w:t>
            </w:r>
          </w:p>
        </w:tc>
      </w:tr>
      <w:tr>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0.95</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171.7</w:t>
            </w:r>
          </w:p>
        </w:tc>
        <w:tc>
          <w:tcPr>
            <w:tcW w:type="dxa" w:w="1290"/>
          </w:tcPr>
          <w:p>
            <w:pPr>
              <w:spacing w:after="20" w:before="20"/>
              <w:jc w:val="center"/>
            </w:pPr>
            <w:r/>
            <w:r>
              <w:rPr>
                <w:rFonts w:ascii="Times New Roman" w:hAnsi="Times New Roman" w:cs="Times New Roman"/>
                <w:b w:val="0"/>
                <w:sz w:val="19"/>
              </w:rPr>
              <w:t>172.6</w:t>
            </w:r>
          </w:p>
        </w:tc>
        <w:tc>
          <w:tcPr>
            <w:tcW w:type="dxa" w:w="1290"/>
          </w:tcPr>
          <w:p>
            <w:pPr>
              <w:spacing w:after="20" w:before="20"/>
              <w:jc w:val="center"/>
            </w:pPr>
            <w:r/>
            <w:r>
              <w:rPr>
                <w:rFonts w:ascii="Times New Roman" w:hAnsi="Times New Roman" w:cs="Times New Roman"/>
                <w:b w:val="0"/>
                <w:sz w:val="19"/>
              </w:rPr>
              <w:t>39.1</w:t>
            </w:r>
          </w:p>
        </w:tc>
        <w:tc>
          <w:tcPr>
            <w:tcW w:type="dxa" w:w="1290"/>
          </w:tcPr>
          <w:p>
            <w:pPr>
              <w:spacing w:after="20" w:before="20"/>
              <w:jc w:val="center"/>
            </w:pPr>
            <w:r/>
            <w:r>
              <w:rPr>
                <w:rFonts w:ascii="Times New Roman" w:hAnsi="Times New Roman" w:cs="Times New Roman"/>
                <w:b w:val="0"/>
                <w:sz w:val="19"/>
              </w:rPr>
              <w:t>67.4%</w:t>
            </w:r>
          </w:p>
        </w:tc>
      </w:tr>
      <w:tr>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0.99</w:t>
            </w:r>
          </w:p>
        </w:tc>
        <w:tc>
          <w:tcPr>
            <w:tcW w:type="dxa" w:w="1290"/>
          </w:tcPr>
          <w:p>
            <w:pPr>
              <w:spacing w:after="20" w:before="20"/>
              <w:jc w:val="center"/>
            </w:pPr>
            <w:r/>
            <w:r>
              <w:rPr>
                <w:rFonts w:ascii="Times New Roman" w:hAnsi="Times New Roman" w:cs="Times New Roman"/>
                <w:b w:val="0"/>
                <w:sz w:val="19"/>
              </w:rPr>
              <w:t>0.1</w:t>
            </w:r>
          </w:p>
        </w:tc>
        <w:tc>
          <w:tcPr>
            <w:tcW w:type="dxa" w:w="1290"/>
          </w:tcPr>
          <w:p>
            <w:pPr>
              <w:spacing w:after="20" w:before="20"/>
              <w:jc w:val="center"/>
            </w:pPr>
            <w:r/>
            <w:r>
              <w:rPr>
                <w:rFonts w:ascii="Times New Roman" w:hAnsi="Times New Roman" w:cs="Times New Roman"/>
                <w:b w:val="0"/>
                <w:sz w:val="19"/>
              </w:rPr>
              <w:t>34.3</w:t>
            </w:r>
          </w:p>
        </w:tc>
        <w:tc>
          <w:tcPr>
            <w:tcW w:type="dxa" w:w="1290"/>
          </w:tcPr>
          <w:p>
            <w:pPr>
              <w:spacing w:after="20" w:before="20"/>
              <w:jc w:val="center"/>
            </w:pPr>
            <w:r/>
            <w:r>
              <w:rPr>
                <w:rFonts w:ascii="Times New Roman" w:hAnsi="Times New Roman" w:cs="Times New Roman"/>
                <w:b w:val="0"/>
                <w:sz w:val="19"/>
              </w:rPr>
              <w:t>34.3</w:t>
            </w:r>
          </w:p>
        </w:tc>
        <w:tc>
          <w:tcPr>
            <w:tcW w:type="dxa" w:w="1290"/>
          </w:tcPr>
          <w:p>
            <w:pPr>
              <w:spacing w:after="20" w:before="20"/>
              <w:jc w:val="center"/>
            </w:pPr>
            <w:r/>
            <w:r>
              <w:rPr>
                <w:rFonts w:ascii="Times New Roman" w:hAnsi="Times New Roman" w:cs="Times New Roman"/>
                <w:b w:val="0"/>
                <w:sz w:val="19"/>
              </w:rPr>
              <w:t>85.0</w:t>
            </w:r>
          </w:p>
        </w:tc>
        <w:tc>
          <w:tcPr>
            <w:tcW w:type="dxa" w:w="1290"/>
          </w:tcPr>
          <w:p>
            <w:pPr>
              <w:spacing w:after="20" w:before="20"/>
              <w:jc w:val="center"/>
            </w:pPr>
            <w:r/>
            <w:r>
              <w:rPr>
                <w:rFonts w:ascii="Times New Roman" w:hAnsi="Times New Roman" w:cs="Times New Roman"/>
                <w:b w:val="0"/>
                <w:sz w:val="19"/>
              </w:rPr>
              <w:t>29.2%</w:t>
            </w:r>
          </w:p>
        </w:tc>
      </w:tr>
      <w:tr>
        <w:tc>
          <w:tcPr>
            <w:tcW w:type="dxa" w:w="1290"/>
          </w:tcPr>
          <w:p>
            <w:pPr>
              <w:spacing w:after="20" w:before="20"/>
              <w:jc w:val="center"/>
            </w:pPr>
            <w:r/>
            <w:r>
              <w:rPr>
                <w:rFonts w:ascii="Times New Roman" w:hAnsi="Times New Roman" w:cs="Times New Roman"/>
                <w:b w:val="0"/>
                <w:sz w:val="19"/>
              </w:rPr>
              <w:t>3</w:t>
            </w:r>
          </w:p>
        </w:tc>
        <w:tc>
          <w:tcPr>
            <w:tcW w:type="dxa" w:w="1290"/>
          </w:tcPr>
          <w:p>
            <w:pPr>
              <w:spacing w:after="20" w:before="20"/>
              <w:jc w:val="center"/>
            </w:pPr>
            <w:r/>
            <w:r>
              <w:rPr>
                <w:rFonts w:ascii="Times New Roman" w:hAnsi="Times New Roman" w:cs="Times New Roman"/>
                <w:b w:val="0"/>
                <w:sz w:val="19"/>
              </w:rPr>
              <w:t>0.99</w:t>
            </w:r>
          </w:p>
        </w:tc>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45.9</w:t>
            </w:r>
          </w:p>
        </w:tc>
        <w:tc>
          <w:tcPr>
            <w:tcW w:type="dxa" w:w="1290"/>
          </w:tcPr>
          <w:p>
            <w:pPr>
              <w:spacing w:after="20" w:before="20"/>
              <w:jc w:val="center"/>
            </w:pPr>
            <w:r/>
            <w:r>
              <w:rPr>
                <w:rFonts w:ascii="Times New Roman" w:hAnsi="Times New Roman" w:cs="Times New Roman"/>
                <w:b w:val="0"/>
                <w:sz w:val="19"/>
              </w:rPr>
              <w:t>46.2</w:t>
            </w:r>
          </w:p>
        </w:tc>
        <w:tc>
          <w:tcPr>
            <w:tcW w:type="dxa" w:w="1290"/>
          </w:tcPr>
          <w:p>
            <w:pPr>
              <w:spacing w:after="20" w:before="20"/>
              <w:jc w:val="center"/>
            </w:pPr>
            <w:r/>
            <w:r>
              <w:rPr>
                <w:rFonts w:ascii="Times New Roman" w:hAnsi="Times New Roman" w:cs="Times New Roman"/>
                <w:b w:val="0"/>
                <w:sz w:val="19"/>
              </w:rPr>
              <w:t>77.2</w:t>
            </w:r>
          </w:p>
        </w:tc>
        <w:tc>
          <w:tcPr>
            <w:tcW w:type="dxa" w:w="1290"/>
          </w:tcPr>
          <w:p>
            <w:pPr>
              <w:spacing w:after="20" w:before="20"/>
              <w:jc w:val="center"/>
            </w:pPr>
            <w:r/>
            <w:r>
              <w:rPr>
                <w:rFonts w:ascii="Times New Roman" w:hAnsi="Times New Roman" w:cs="Times New Roman"/>
                <w:b w:val="0"/>
                <w:sz w:val="19"/>
              </w:rPr>
              <w:t>35.7%</w:t>
            </w:r>
          </w:p>
        </w:tc>
      </w:tr>
      <w:tr>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0.99</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39.7</w:t>
            </w:r>
          </w:p>
        </w:tc>
        <w:tc>
          <w:tcPr>
            <w:tcW w:type="dxa" w:w="1290"/>
          </w:tcPr>
          <w:p>
            <w:pPr>
              <w:spacing w:after="20" w:before="20"/>
              <w:jc w:val="center"/>
            </w:pPr>
            <w:r/>
            <w:r>
              <w:rPr>
                <w:rFonts w:ascii="Times New Roman" w:hAnsi="Times New Roman" w:cs="Times New Roman"/>
                <w:b w:val="0"/>
                <w:sz w:val="19"/>
              </w:rPr>
              <w:t>39.9</w:t>
            </w:r>
          </w:p>
        </w:tc>
        <w:tc>
          <w:tcPr>
            <w:tcW w:type="dxa" w:w="1290"/>
          </w:tcPr>
          <w:p>
            <w:pPr>
              <w:spacing w:after="20" w:before="20"/>
              <w:jc w:val="center"/>
            </w:pPr>
            <w:r/>
            <w:r>
              <w:rPr>
                <w:rFonts w:ascii="Times New Roman" w:hAnsi="Times New Roman" w:cs="Times New Roman"/>
                <w:b w:val="0"/>
                <w:sz w:val="19"/>
              </w:rPr>
              <w:t>81.1</w:t>
            </w:r>
          </w:p>
        </w:tc>
        <w:tc>
          <w:tcPr>
            <w:tcW w:type="dxa" w:w="1290"/>
          </w:tcPr>
          <w:p>
            <w:pPr>
              <w:spacing w:after="20" w:before="20"/>
              <w:jc w:val="center"/>
            </w:pPr>
            <w:r/>
            <w:r>
              <w:rPr>
                <w:rFonts w:ascii="Times New Roman" w:hAnsi="Times New Roman" w:cs="Times New Roman"/>
                <w:b w:val="0"/>
                <w:sz w:val="19"/>
              </w:rPr>
              <w:t>32.4%</w:t>
            </w:r>
          </w:p>
        </w:tc>
      </w:tr>
      <w:tr>
        <w:tc>
          <w:tcPr>
            <w:tcW w:type="dxa" w:w="1290"/>
          </w:tcPr>
          <w:p>
            <w:pPr>
              <w:spacing w:after="20" w:before="20"/>
              <w:jc w:val="center"/>
            </w:pPr>
            <w:r/>
            <w:r>
              <w:rPr>
                <w:rFonts w:ascii="Times New Roman" w:hAnsi="Times New Roman" w:cs="Times New Roman"/>
                <w:b w:val="0"/>
                <w:sz w:val="19"/>
              </w:rPr>
              <w:t>5</w:t>
            </w:r>
          </w:p>
        </w:tc>
        <w:tc>
          <w:tcPr>
            <w:tcW w:type="dxa" w:w="1290"/>
          </w:tcPr>
          <w:p>
            <w:pPr>
              <w:spacing w:after="20" w:before="20"/>
              <w:jc w:val="center"/>
            </w:pPr>
            <w:r/>
            <w:r>
              <w:rPr>
                <w:rFonts w:ascii="Times New Roman" w:hAnsi="Times New Roman" w:cs="Times New Roman"/>
                <w:b w:val="0"/>
                <w:sz w:val="19"/>
              </w:rPr>
              <w:t>0.99</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81.0</w:t>
            </w:r>
          </w:p>
        </w:tc>
        <w:tc>
          <w:tcPr>
            <w:tcW w:type="dxa" w:w="1290"/>
          </w:tcPr>
          <w:p>
            <w:pPr>
              <w:spacing w:after="20" w:before="20"/>
              <w:jc w:val="center"/>
            </w:pPr>
            <w:r/>
            <w:r>
              <w:rPr>
                <w:rFonts w:ascii="Times New Roman" w:hAnsi="Times New Roman" w:cs="Times New Roman"/>
                <w:b w:val="0"/>
                <w:sz w:val="19"/>
              </w:rPr>
              <w:t>80.7</w:t>
            </w:r>
          </w:p>
        </w:tc>
        <w:tc>
          <w:tcPr>
            <w:tcW w:type="dxa" w:w="1290"/>
          </w:tcPr>
          <w:p>
            <w:pPr>
              <w:spacing w:after="20" w:before="20"/>
              <w:jc w:val="center"/>
            </w:pPr>
            <w:r/>
            <w:r>
              <w:rPr>
                <w:rFonts w:ascii="Times New Roman" w:hAnsi="Times New Roman" w:cs="Times New Roman"/>
                <w:b w:val="0"/>
                <w:sz w:val="19"/>
              </w:rPr>
              <w:t>61.0</w:t>
            </w:r>
          </w:p>
        </w:tc>
        <w:tc>
          <w:tcPr>
            <w:tcW w:type="dxa" w:w="1290"/>
          </w:tcPr>
          <w:p>
            <w:pPr>
              <w:spacing w:after="20" w:before="20"/>
              <w:jc w:val="center"/>
            </w:pPr>
            <w:r/>
            <w:r>
              <w:rPr>
                <w:rFonts w:ascii="Times New Roman" w:hAnsi="Times New Roman" w:cs="Times New Roman"/>
                <w:b w:val="0"/>
                <w:sz w:val="19"/>
              </w:rPr>
              <w:t>49.2%</w:t>
            </w:r>
          </w:p>
        </w:tc>
      </w:tr>
      <w:tr>
        <w:tc>
          <w:tcPr>
            <w:tcW w:type="dxa" w:w="1290"/>
          </w:tcPr>
          <w:p>
            <w:pPr>
              <w:spacing w:after="20" w:before="20"/>
              <w:jc w:val="center"/>
            </w:pPr>
            <w:r/>
            <w:r>
              <w:rPr>
                <w:rFonts w:ascii="Times New Roman" w:hAnsi="Times New Roman" w:cs="Times New Roman"/>
                <w:b w:val="0"/>
                <w:sz w:val="19"/>
              </w:rPr>
              <w:t>7</w:t>
            </w:r>
          </w:p>
        </w:tc>
        <w:tc>
          <w:tcPr>
            <w:tcW w:type="dxa" w:w="1290"/>
          </w:tcPr>
          <w:p>
            <w:pPr>
              <w:spacing w:after="20" w:before="20"/>
              <w:jc w:val="center"/>
            </w:pPr>
            <w:r/>
            <w:r>
              <w:rPr>
                <w:rFonts w:ascii="Times New Roman" w:hAnsi="Times New Roman" w:cs="Times New Roman"/>
                <w:b w:val="0"/>
                <w:sz w:val="19"/>
              </w:rPr>
              <w:t>0.99</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98.6</w:t>
            </w:r>
          </w:p>
        </w:tc>
        <w:tc>
          <w:tcPr>
            <w:tcW w:type="dxa" w:w="1290"/>
          </w:tcPr>
          <w:p>
            <w:pPr>
              <w:spacing w:after="20" w:before="20"/>
              <w:jc w:val="center"/>
            </w:pPr>
            <w:r/>
            <w:r>
              <w:rPr>
                <w:rFonts w:ascii="Times New Roman" w:hAnsi="Times New Roman" w:cs="Times New Roman"/>
                <w:b w:val="0"/>
                <w:sz w:val="19"/>
              </w:rPr>
              <w:t>99.8</w:t>
            </w:r>
          </w:p>
        </w:tc>
        <w:tc>
          <w:tcPr>
            <w:tcW w:type="dxa" w:w="1290"/>
          </w:tcPr>
          <w:p>
            <w:pPr>
              <w:spacing w:after="20" w:before="20"/>
              <w:jc w:val="center"/>
            </w:pPr>
            <w:r/>
            <w:r>
              <w:rPr>
                <w:rFonts w:ascii="Times New Roman" w:hAnsi="Times New Roman" w:cs="Times New Roman"/>
                <w:b w:val="0"/>
                <w:sz w:val="19"/>
              </w:rPr>
              <w:t>54.6</w:t>
            </w:r>
          </w:p>
        </w:tc>
        <w:tc>
          <w:tcPr>
            <w:tcW w:type="dxa" w:w="1290"/>
          </w:tcPr>
          <w:p>
            <w:pPr>
              <w:spacing w:after="20" w:before="20"/>
              <w:jc w:val="center"/>
            </w:pPr>
            <w:r/>
            <w:r>
              <w:rPr>
                <w:rFonts w:ascii="Times New Roman" w:hAnsi="Times New Roman" w:cs="Times New Roman"/>
                <w:b w:val="0"/>
                <w:sz w:val="19"/>
              </w:rPr>
              <w:t>54.5%</w:t>
            </w:r>
          </w:p>
        </w:tc>
      </w:tr>
    </w:tbl>
    <w:p>
      <w:pPr>
        <w:spacing w:after="80" w:before="0"/>
      </w:pPr>
    </w:p>
    <w:p>
      <w:pPr>
        <w:spacing w:after="120" w:before="0"/>
        <w:jc w:val="both"/>
      </w:pPr>
      <w:r>
        <w:rPr>
          <w:rFonts w:ascii="Times New Roman" w:hAnsi="Times New Roman" w:cs="Times New Roman"/>
          <w:sz w:val="22"/>
        </w:rPr>
        <w:t>We then simulated an M/M/10 queue (μ = 12) whose service time includes the sampled 2PC overhead, at arrival rates for which the effective utilization stays below 0.9 (1000 s runs, 100 s warm-up, 10 replications), and a closed-loop saturated pool to measure capacity directly (Table 7).</w:t>
      </w:r>
    </w:p>
    <w:p>
      <w:pPr>
        <w:spacing w:after="80" w:before="40"/>
        <w:jc w:val="center"/>
      </w:pPr>
      <w:r>
        <w:rPr>
          <w:rFonts w:ascii="Times New Roman" w:hAnsi="Times New Roman" w:cs="Times New Roman"/>
          <w:b/>
          <w:sz w:val="19"/>
        </w:rPr>
        <w:t>Table 7:</w:t>
      </w:r>
      <w:r>
        <w:rPr>
          <w:rFonts w:ascii="Times New Roman" w:hAnsi="Times New Roman" w:cs="Times New Roman"/>
          <w:sz w:val="19"/>
        </w:rPr>
        <w:t xml:space="preserve"> End-to-end effect of 2PC on an M/M/10 queue (μ = 12) at λ = 60 msg/s, and measured saturation throughput (10 replications).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20" w:before="20"/>
              <w:jc w:val="center"/>
            </w:pPr>
            <w:r/>
            <w:r>
              <w:rPr>
                <w:rFonts w:ascii="Times New Roman" w:hAnsi="Times New Roman" w:cs="Times New Roman"/>
                <w:b/>
                <w:sz w:val="19"/>
              </w:rPr>
              <w:t>Configuration</w:t>
            </w:r>
          </w:p>
        </w:tc>
        <w:tc>
          <w:tcPr>
            <w:tcW w:type="dxa" w:w="2257"/>
          </w:tcPr>
          <w:p>
            <w:pPr>
              <w:spacing w:after="20" w:before="20"/>
              <w:jc w:val="center"/>
            </w:pPr>
            <w:r/>
            <w:r>
              <w:rPr>
                <w:rFonts w:ascii="Times New Roman" w:hAnsi="Times New Roman" w:cs="Times New Roman"/>
                <w:b/>
                <w:sz w:val="19"/>
              </w:rPr>
              <w:t>Mean response (s)</w:t>
            </w:r>
          </w:p>
        </w:tc>
        <w:tc>
          <w:tcPr>
            <w:tcW w:type="dxa" w:w="2257"/>
          </w:tcPr>
          <w:p>
            <w:pPr>
              <w:spacing w:after="20" w:before="20"/>
              <w:jc w:val="center"/>
            </w:pPr>
            <w:r/>
            <w:r>
              <w:rPr>
                <w:rFonts w:ascii="Times New Roman" w:hAnsi="Times New Roman" w:cs="Times New Roman"/>
                <w:b/>
                <w:sz w:val="19"/>
              </w:rPr>
              <w:t>P99 response (s)</w:t>
            </w:r>
          </w:p>
        </w:tc>
        <w:tc>
          <w:tcPr>
            <w:tcW w:type="dxa" w:w="2257"/>
          </w:tcPr>
          <w:p>
            <w:pPr>
              <w:spacing w:after="20" w:before="20"/>
              <w:jc w:val="center"/>
            </w:pPr>
            <w:r/>
            <w:r>
              <w:rPr>
                <w:rFonts w:ascii="Times New Roman" w:hAnsi="Times New Roman" w:cs="Times New Roman"/>
                <w:b/>
                <w:sz w:val="19"/>
              </w:rPr>
              <w:t>Saturation throughput (msg/s)</w:t>
            </w:r>
          </w:p>
        </w:tc>
      </w:tr>
      <w:tr>
        <w:tc>
          <w:tcPr>
            <w:tcW w:type="dxa" w:w="2257"/>
          </w:tcPr>
          <w:p>
            <w:pPr>
              <w:spacing w:after="20" w:before="20"/>
              <w:jc w:val="center"/>
            </w:pPr>
            <w:r/>
            <w:r>
              <w:rPr>
                <w:rFonts w:ascii="Times New Roman" w:hAnsi="Times New Roman" w:cs="Times New Roman"/>
                <w:b w:val="0"/>
                <w:sz w:val="19"/>
              </w:rPr>
              <w:t>No 2PC</w:t>
            </w:r>
          </w:p>
        </w:tc>
        <w:tc>
          <w:tcPr>
            <w:tcW w:type="dxa" w:w="2257"/>
          </w:tcPr>
          <w:p>
            <w:pPr>
              <w:spacing w:after="20" w:before="20"/>
              <w:jc w:val="center"/>
            </w:pPr>
            <w:r/>
            <w:r>
              <w:rPr>
                <w:rFonts w:ascii="Times New Roman" w:hAnsi="Times New Roman" w:cs="Times New Roman"/>
                <w:b w:val="0"/>
                <w:sz w:val="19"/>
              </w:rPr>
              <w:t>0.0841 ± 0.0003</w:t>
            </w:r>
          </w:p>
        </w:tc>
        <w:tc>
          <w:tcPr>
            <w:tcW w:type="dxa" w:w="2257"/>
          </w:tcPr>
          <w:p>
            <w:pPr>
              <w:spacing w:after="20" w:before="20"/>
              <w:jc w:val="center"/>
            </w:pPr>
            <w:r/>
            <w:r>
              <w:rPr>
                <w:rFonts w:ascii="Times New Roman" w:hAnsi="Times New Roman" w:cs="Times New Roman"/>
                <w:b w:val="0"/>
                <w:sz w:val="19"/>
              </w:rPr>
              <w:t>0.386</w:t>
            </w:r>
          </w:p>
        </w:tc>
        <w:tc>
          <w:tcPr>
            <w:tcW w:type="dxa" w:w="2257"/>
          </w:tcPr>
          <w:p>
            <w:pPr>
              <w:spacing w:after="20" w:before="20"/>
              <w:jc w:val="center"/>
            </w:pPr>
            <w:r/>
            <w:r>
              <w:rPr>
                <w:rFonts w:ascii="Times New Roman" w:hAnsi="Times New Roman" w:cs="Times New Roman"/>
                <w:b w:val="0"/>
                <w:sz w:val="19"/>
              </w:rPr>
              <w:t>119.7 ± 0.5</w:t>
            </w:r>
          </w:p>
        </w:tc>
      </w:tr>
      <w:tr>
        <w:tc>
          <w:tcPr>
            <w:tcW w:type="dxa" w:w="2257"/>
          </w:tcPr>
          <w:p>
            <w:pPr>
              <w:spacing w:after="20" w:before="20"/>
              <w:jc w:val="center"/>
            </w:pPr>
            <w:r/>
            <w:r>
              <w:rPr>
                <w:rFonts w:ascii="Times New Roman" w:hAnsi="Times New Roman" w:cs="Times New Roman"/>
                <w:b w:val="0"/>
                <w:sz w:val="19"/>
              </w:rPr>
              <w:t>2PC, a = 1, T = 1 s</w:t>
            </w:r>
          </w:p>
        </w:tc>
        <w:tc>
          <w:tcPr>
            <w:tcW w:type="dxa" w:w="2257"/>
          </w:tcPr>
          <w:p>
            <w:pPr>
              <w:spacing w:after="20" w:before="20"/>
              <w:jc w:val="center"/>
            </w:pPr>
            <w:r/>
            <w:r>
              <w:rPr>
                <w:rFonts w:ascii="Times New Roman" w:hAnsi="Times New Roman" w:cs="Times New Roman"/>
                <w:b w:val="0"/>
                <w:sz w:val="19"/>
              </w:rPr>
              <w:t>0.1211 ± 0.0005</w:t>
            </w:r>
          </w:p>
        </w:tc>
        <w:tc>
          <w:tcPr>
            <w:tcW w:type="dxa" w:w="2257"/>
          </w:tcPr>
          <w:p>
            <w:pPr>
              <w:spacing w:after="20" w:before="20"/>
              <w:jc w:val="center"/>
            </w:pPr>
            <w:r/>
            <w:r>
              <w:rPr>
                <w:rFonts w:ascii="Times New Roman" w:hAnsi="Times New Roman" w:cs="Times New Roman"/>
                <w:b w:val="0"/>
                <w:sz w:val="19"/>
              </w:rPr>
              <w:t>0.425</w:t>
            </w:r>
          </w:p>
        </w:tc>
        <w:tc>
          <w:tcPr>
            <w:tcW w:type="dxa" w:w="2257"/>
          </w:tcPr>
          <w:p>
            <w:pPr>
              <w:spacing w:after="20" w:before="20"/>
              <w:jc w:val="center"/>
            </w:pPr>
            <w:r/>
            <w:r>
              <w:rPr>
                <w:rFonts w:ascii="Times New Roman" w:hAnsi="Times New Roman" w:cs="Times New Roman"/>
                <w:b w:val="0"/>
                <w:sz w:val="19"/>
              </w:rPr>
              <w:t>86.6 ± 0.2</w:t>
            </w:r>
          </w:p>
        </w:tc>
      </w:tr>
      <w:tr>
        <w:tc>
          <w:tcPr>
            <w:tcW w:type="dxa" w:w="2257"/>
          </w:tcPr>
          <w:p>
            <w:pPr>
              <w:spacing w:after="20" w:before="20"/>
              <w:jc w:val="center"/>
            </w:pPr>
            <w:r/>
            <w:r>
              <w:rPr>
                <w:rFonts w:ascii="Times New Roman" w:hAnsi="Times New Roman" w:cs="Times New Roman"/>
                <w:b w:val="0"/>
                <w:sz w:val="19"/>
              </w:rPr>
              <w:t>2PC, a = 0.999, T = 1 s</w:t>
            </w:r>
          </w:p>
        </w:tc>
        <w:tc>
          <w:tcPr>
            <w:tcW w:type="dxa" w:w="2257"/>
          </w:tcPr>
          <w:p>
            <w:pPr>
              <w:spacing w:after="20" w:before="20"/>
              <w:jc w:val="center"/>
            </w:pPr>
            <w:r/>
            <w:r>
              <w:rPr>
                <w:rFonts w:ascii="Times New Roman" w:hAnsi="Times New Roman" w:cs="Times New Roman"/>
                <w:b w:val="0"/>
                <w:sz w:val="19"/>
              </w:rPr>
              <w:t>0.1255 ± 0.0007</w:t>
            </w:r>
          </w:p>
        </w:tc>
        <w:tc>
          <w:tcPr>
            <w:tcW w:type="dxa" w:w="2257"/>
          </w:tcPr>
          <w:p>
            <w:pPr>
              <w:spacing w:after="20" w:before="20"/>
              <w:jc w:val="center"/>
            </w:pPr>
            <w:r/>
            <w:r>
              <w:rPr>
                <w:rFonts w:ascii="Times New Roman" w:hAnsi="Times New Roman" w:cs="Times New Roman"/>
                <w:b w:val="0"/>
                <w:sz w:val="19"/>
              </w:rPr>
              <w:t>0.455</w:t>
            </w:r>
          </w:p>
        </w:tc>
        <w:tc>
          <w:tcPr>
            <w:tcW w:type="dxa" w:w="2257"/>
          </w:tcPr>
          <w:p>
            <w:pPr>
              <w:spacing w:after="20" w:before="20"/>
              <w:jc w:val="center"/>
            </w:pPr>
            <w:r/>
            <w:r>
              <w:rPr>
                <w:rFonts w:ascii="Times New Roman" w:hAnsi="Times New Roman" w:cs="Times New Roman"/>
                <w:b w:val="0"/>
                <w:sz w:val="19"/>
              </w:rPr>
              <w:t>84.6 ± 0.3</w:t>
            </w:r>
          </w:p>
        </w:tc>
      </w:tr>
      <w:tr>
        <w:tc>
          <w:tcPr>
            <w:tcW w:type="dxa" w:w="2257"/>
          </w:tcPr>
          <w:p>
            <w:pPr>
              <w:spacing w:after="20" w:before="20"/>
              <w:jc w:val="center"/>
            </w:pPr>
            <w:r/>
            <w:r>
              <w:rPr>
                <w:rFonts w:ascii="Times New Roman" w:hAnsi="Times New Roman" w:cs="Times New Roman"/>
                <w:b w:val="0"/>
                <w:sz w:val="19"/>
              </w:rPr>
              <w:t>2PC, a = 0.99, T = 0.1 s</w:t>
            </w:r>
          </w:p>
        </w:tc>
        <w:tc>
          <w:tcPr>
            <w:tcW w:type="dxa" w:w="2257"/>
          </w:tcPr>
          <w:p>
            <w:pPr>
              <w:spacing w:after="20" w:before="20"/>
              <w:jc w:val="center"/>
            </w:pPr>
            <w:r/>
            <w:r>
              <w:rPr>
                <w:rFonts w:ascii="Times New Roman" w:hAnsi="Times New Roman" w:cs="Times New Roman"/>
                <w:b w:val="0"/>
                <w:sz w:val="19"/>
              </w:rPr>
              <w:t>0.1253 ± 0.0005</w:t>
            </w:r>
          </w:p>
        </w:tc>
        <w:tc>
          <w:tcPr>
            <w:tcW w:type="dxa" w:w="2257"/>
          </w:tcPr>
          <w:p>
            <w:pPr>
              <w:spacing w:after="20" w:before="20"/>
              <w:jc w:val="center"/>
            </w:pPr>
            <w:r/>
            <w:r>
              <w:rPr>
                <w:rFonts w:ascii="Times New Roman" w:hAnsi="Times New Roman" w:cs="Times New Roman"/>
                <w:b w:val="0"/>
                <w:sz w:val="19"/>
              </w:rPr>
              <w:t>0.431</w:t>
            </w:r>
          </w:p>
        </w:tc>
        <w:tc>
          <w:tcPr>
            <w:tcW w:type="dxa" w:w="2257"/>
          </w:tcPr>
          <w:p>
            <w:pPr>
              <w:spacing w:after="20" w:before="20"/>
              <w:jc w:val="center"/>
            </w:pPr>
            <w:r/>
            <w:r>
              <w:rPr>
                <w:rFonts w:ascii="Times New Roman" w:hAnsi="Times New Roman" w:cs="Times New Roman"/>
                <w:b w:val="0"/>
                <w:sz w:val="19"/>
              </w:rPr>
              <w:t>84.6 ± 0.3</w:t>
            </w:r>
          </w:p>
        </w:tc>
      </w:tr>
      <w:tr>
        <w:tc>
          <w:tcPr>
            <w:tcW w:type="dxa" w:w="2257"/>
          </w:tcPr>
          <w:p>
            <w:pPr>
              <w:spacing w:after="20" w:before="20"/>
              <w:jc w:val="center"/>
            </w:pPr>
            <w:r/>
            <w:r>
              <w:rPr>
                <w:rFonts w:ascii="Times New Roman" w:hAnsi="Times New Roman" w:cs="Times New Roman"/>
                <w:b w:val="0"/>
                <w:sz w:val="19"/>
              </w:rPr>
              <w:t>2PC, a = 0.99, T = 1 s</w:t>
            </w:r>
          </w:p>
        </w:tc>
        <w:tc>
          <w:tcPr>
            <w:tcW w:type="dxa" w:w="2257"/>
          </w:tcPr>
          <w:p>
            <w:pPr>
              <w:spacing w:after="20" w:before="20"/>
              <w:jc w:val="center"/>
            </w:pPr>
            <w:r/>
            <w:r>
              <w:rPr>
                <w:rFonts w:ascii="Times New Roman" w:hAnsi="Times New Roman" w:cs="Times New Roman"/>
                <w:b w:val="0"/>
                <w:sz w:val="19"/>
              </w:rPr>
              <w:t>0.2184 ± 0.0055</w:t>
            </w:r>
          </w:p>
        </w:tc>
        <w:tc>
          <w:tcPr>
            <w:tcW w:type="dxa" w:w="2257"/>
          </w:tcPr>
          <w:p>
            <w:pPr>
              <w:spacing w:after="20" w:before="20"/>
              <w:jc w:val="center"/>
            </w:pPr>
            <w:r/>
            <w:r>
              <w:rPr>
                <w:rFonts w:ascii="Times New Roman" w:hAnsi="Times New Roman" w:cs="Times New Roman"/>
                <w:b w:val="0"/>
                <w:sz w:val="19"/>
              </w:rPr>
              <w:t>1.192</w:t>
            </w:r>
          </w:p>
        </w:tc>
        <w:tc>
          <w:tcPr>
            <w:tcW w:type="dxa" w:w="2257"/>
          </w:tcPr>
          <w:p>
            <w:pPr>
              <w:spacing w:after="20" w:before="20"/>
              <w:jc w:val="center"/>
            </w:pPr>
            <w:r/>
            <w:r>
              <w:rPr>
                <w:rFonts w:ascii="Times New Roman" w:hAnsi="Times New Roman" w:cs="Times New Roman"/>
                <w:b w:val="0"/>
                <w:sz w:val="19"/>
              </w:rPr>
              <w:t>69.0 ± 0.4</w:t>
            </w:r>
          </w:p>
        </w:tc>
      </w:tr>
    </w:tbl>
    <w:p>
      <w:pPr>
        <w:spacing w:after="80" w:before="0"/>
      </w:pPr>
    </w:p>
    <w:p>
      <w:pPr>
        <w:spacing w:after="40" w:before="80"/>
        <w:jc w:val="center"/>
      </w:pPr>
      <w:r>
        <w:drawing>
          <wp:inline xmlns:a="http://schemas.openxmlformats.org/drawingml/2006/main" xmlns:pic="http://schemas.openxmlformats.org/drawingml/2006/picture">
            <wp:extent cx="5760720" cy="2183010"/>
            <wp:docPr id="4" name="Picture 4"/>
            <wp:cNvGraphicFramePr>
              <a:graphicFrameLocks noChangeAspect="1"/>
            </wp:cNvGraphicFramePr>
            <a:graphic>
              <a:graphicData uri="http://schemas.openxmlformats.org/drawingml/2006/picture">
                <pic:pic>
                  <pic:nvPicPr>
                    <pic:cNvPr id="0" name="fig9_2pc_overhead.png"/>
                    <pic:cNvPicPr/>
                  </pic:nvPicPr>
                  <pic:blipFill>
                    <a:blip r:embed="rId12"/>
                    <a:stretch>
                      <a:fillRect/>
                    </a:stretch>
                  </pic:blipFill>
                  <pic:spPr>
                    <a:xfrm>
                      <a:off x="0" y="0"/>
                      <a:ext cx="5760720" cy="2183010"/>
                    </a:xfrm>
                    <a:prstGeom prst="rect"/>
                  </pic:spPr>
                </pic:pic>
              </a:graphicData>
            </a:graphic>
          </wp:inline>
        </w:drawing>
      </w:r>
    </w:p>
    <w:p>
      <w:pPr>
        <w:spacing w:after="80" w:before="40"/>
        <w:jc w:val="center"/>
      </w:pPr>
      <w:r>
        <w:rPr>
          <w:rFonts w:ascii="Times New Roman" w:hAnsi="Times New Roman" w:cs="Times New Roman"/>
          <w:b/>
          <w:sz w:val="19"/>
        </w:rPr>
        <w:t>Figure 4:</w:t>
      </w:r>
      <w:r>
        <w:rPr>
          <w:rFonts w:ascii="Times New Roman" w:hAnsi="Times New Roman" w:cs="Times New Roman"/>
          <w:sz w:val="19"/>
        </w:rPr>
        <w:t xml:space="preserve"> (A) Mean 2PC overhead, sampled versus Eq. (2), across replica counts, availabilities, and vote timeouts. (B) Mean response time of an M/M/10 queue with and without 2PC (95% CIs).</w:t>
      </w:r>
    </w:p>
    <w:p>
      <w:pPr>
        <w:spacing w:after="120" w:before="0"/>
        <w:jc w:val="both"/>
      </w:pPr>
      <w:r>
        <w:rPr>
          <w:rFonts w:ascii="Times New Roman" w:hAnsi="Times New Roman" w:cs="Times New Roman"/>
          <w:sz w:val="22"/>
        </w:rPr>
        <w:t>At λ = 60 msg/s the default 2PC configuration raises mean response time from 0.0841 s to 0.2184 s (2.60×) and P99 from 0.386 s to 1.192 s; the P99 sits just above T + 1/μ because the ~3% of transactions that hit a vote timeout form the tail. With perfectly available replicas (a = 1) the mean is 0.1211 s (1.44×). Measured saturation throughput agrees with N/E[S] to within 1% in every configuration. Shortening the vote timeout to 0.1 s recovers most of the lost capacity (84.6 versus 69.0 msg/s). In this model the timeout fires only for unavailable replicas, so the shorter timeout aborts no additional transactions; in a deployment where vote round trips can approach the timeout, it would also abort transactions whose votes are merely slow.</w:t>
      </w:r>
    </w:p>
    <w:p>
      <w:pPr>
        <w:spacing w:after="40" w:before="80"/>
        <w:jc w:val="center"/>
      </w:pPr>
      <w:r>
        <w:drawing>
          <wp:inline xmlns:a="http://schemas.openxmlformats.org/drawingml/2006/main" xmlns:pic="http://schemas.openxmlformats.org/drawingml/2006/picture">
            <wp:extent cx="4389120" cy="2714920"/>
            <wp:docPr id="5" name="Picture 5"/>
            <wp:cNvGraphicFramePr>
              <a:graphicFrameLocks noChangeAspect="1"/>
            </wp:cNvGraphicFramePr>
            <a:graphic>
              <a:graphicData uri="http://schemas.openxmlformats.org/drawingml/2006/picture">
                <pic:pic>
                  <pic:nvPicPr>
                    <pic:cNvPr id="0" name="fig12_2pc_instability.png"/>
                    <pic:cNvPicPr/>
                  </pic:nvPicPr>
                  <pic:blipFill>
                    <a:blip r:embed="rId13"/>
                    <a:stretch>
                      <a:fillRect/>
                    </a:stretch>
                  </pic:blipFill>
                  <pic:spPr>
                    <a:xfrm>
                      <a:off x="0" y="0"/>
                      <a:ext cx="4389120" cy="2714920"/>
                    </a:xfrm>
                    <a:prstGeom prst="rect"/>
                  </pic:spPr>
                </pic:pic>
              </a:graphicData>
            </a:graphic>
          </wp:inline>
        </w:drawing>
      </w:r>
    </w:p>
    <w:p>
      <w:pPr>
        <w:spacing w:after="80" w:before="40"/>
        <w:jc w:val="center"/>
      </w:pPr>
      <w:r>
        <w:rPr>
          <w:rFonts w:ascii="Times New Roman" w:hAnsi="Times New Roman" w:cs="Times New Roman"/>
          <w:b/>
          <w:sz w:val="19"/>
        </w:rPr>
        <w:t>Figure 5:</w:t>
      </w:r>
      <w:r>
        <w:rPr>
          <w:rFonts w:ascii="Times New Roman" w:hAnsi="Times New Roman" w:cs="Times New Roman"/>
          <w:sz w:val="19"/>
        </w:rPr>
        <w:t xml:space="preserve"> Backlog growth rate of the default 2PC queue versus arrival rate. Above λ* the backlog grows at λ − λ*.</w:t>
      </w:r>
    </w:p>
    <w:p>
      <w:pPr>
        <w:spacing w:after="120" w:before="0"/>
        <w:jc w:val="both"/>
      </w:pPr>
      <w:r>
        <w:rPr>
          <w:rFonts w:ascii="Times New Roman" w:hAnsi="Times New Roman" w:cs="Times New Roman"/>
          <w:sz w:val="22"/>
        </w:rPr>
        <w:t>A practical consequence is that a pool that is comfortably stable without 2PC can be unstable with it. Above λ* the measured backlog grows at λ − λ* (Figure 5): at λ = 100 msg/s—ρ = 0.83 without 2PC—the backlog grows at 30.4 ± 0.3 msg/s (predicted 30.7) and throughput saturates at 69.5 msg/s, while the same queue without 2PC serves 100.1 msg/s with no backlog growth.</w:t>
      </w:r>
    </w:p>
    <w:p>
      <w:pPr>
        <w:spacing w:after="60" w:before="120"/>
      </w:pPr>
      <w:r>
        <w:rPr>
          <w:rFonts w:ascii="Times New Roman" w:hAnsi="Times New Roman" w:cs="Times New Roman"/>
          <w:b/>
          <w:sz w:val="24"/>
        </w:rPr>
        <w:t>4.2   Raft Consensus</w:t>
      </w:r>
    </w:p>
    <w:p>
      <w:pPr>
        <w:spacing w:after="120" w:before="0"/>
        <w:jc w:val="both"/>
      </w:pPr>
      <w:r>
        <w:rPr>
          <w:rFonts w:ascii="Times New Roman" w:hAnsi="Times New Roman" w:cs="Times New Roman"/>
          <w:sz w:val="22"/>
        </w:rPr>
        <w:t>Raft [5] elects a leader by randomized election timeouts and commits a log entry once it is stored on a majority. Our Raft model exchanges RequestVote and AppendEntries messages over a network with a configurable one-way delay and jitter, and we run it with realistic LAN and WAN parameters (Table 1) for clusters of 3, 5, and 7 nodes. Table 8 reports time to elect the first leader and time to elect a new one after crashing the leader (30 replications each), and the latency from appending an entry at the leader to its majority commit, at 100 appends/s (20 replications).</w:t>
      </w:r>
    </w:p>
    <w:p>
      <w:pPr>
        <w:spacing w:after="80" w:before="40"/>
        <w:jc w:val="center"/>
      </w:pPr>
      <w:r>
        <w:rPr>
          <w:rFonts w:ascii="Times New Roman" w:hAnsi="Times New Roman" w:cs="Times New Roman"/>
          <w:b/>
          <w:sz w:val="19"/>
        </w:rPr>
        <w:t>Table 8:</w:t>
      </w:r>
      <w:r>
        <w:rPr>
          <w:rFonts w:ascii="Times New Roman" w:hAnsi="Times New Roman" w:cs="Times New Roman"/>
          <w:sz w:val="19"/>
        </w:rPr>
        <w:t xml:space="preserve"> Raft election and commit latency (mean ± 95% CI).</w:t>
      </w:r>
    </w:p>
    <w:tbl>
      <w:tblPr>
        <w:tblStyle w:val="TableGrid"/>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Pr>
          <w:p>
            <w:pPr>
              <w:spacing w:after="20" w:before="20"/>
              <w:jc w:val="center"/>
            </w:pPr>
            <w:r/>
            <w:r>
              <w:rPr>
                <w:rFonts w:ascii="Times New Roman" w:hAnsi="Times New Roman" w:cs="Times New Roman"/>
                <w:b/>
                <w:sz w:val="19"/>
              </w:rPr>
              <w:t>Network</w:t>
            </w:r>
          </w:p>
        </w:tc>
        <w:tc>
          <w:tcPr>
            <w:tcW w:type="dxa" w:w="1505"/>
          </w:tcPr>
          <w:p>
            <w:pPr>
              <w:spacing w:after="20" w:before="20"/>
              <w:jc w:val="center"/>
            </w:pPr>
            <w:r/>
            <w:r>
              <w:rPr>
                <w:rFonts w:ascii="Times New Roman" w:hAnsi="Times New Roman" w:cs="Times New Roman"/>
                <w:b/>
                <w:sz w:val="19"/>
              </w:rPr>
              <w:t>n</w:t>
            </w:r>
          </w:p>
        </w:tc>
        <w:tc>
          <w:tcPr>
            <w:tcW w:type="dxa" w:w="1505"/>
          </w:tcPr>
          <w:p>
            <w:pPr>
              <w:spacing w:after="20" w:before="20"/>
              <w:jc w:val="center"/>
            </w:pPr>
            <w:r/>
            <w:r>
              <w:rPr>
                <w:rFonts w:ascii="Times New Roman" w:hAnsi="Times New Roman" w:cs="Times New Roman"/>
                <w:b/>
                <w:sz w:val="19"/>
              </w:rPr>
              <w:t>First leader (ms)</w:t>
            </w:r>
          </w:p>
        </w:tc>
        <w:tc>
          <w:tcPr>
            <w:tcW w:type="dxa" w:w="1505"/>
          </w:tcPr>
          <w:p>
            <w:pPr>
              <w:spacing w:after="20" w:before="20"/>
              <w:jc w:val="center"/>
            </w:pPr>
            <w:r/>
            <w:r>
              <w:rPr>
                <w:rFonts w:ascii="Times New Roman" w:hAnsi="Times New Roman" w:cs="Times New Roman"/>
                <w:b/>
                <w:sz w:val="19"/>
              </w:rPr>
              <w:t>Re-election after crash (ms)</w:t>
            </w:r>
          </w:p>
        </w:tc>
        <w:tc>
          <w:tcPr>
            <w:tcW w:type="dxa" w:w="1505"/>
          </w:tcPr>
          <w:p>
            <w:pPr>
              <w:spacing w:after="20" w:before="20"/>
              <w:jc w:val="center"/>
            </w:pPr>
            <w:r/>
            <w:r>
              <w:rPr>
                <w:rFonts w:ascii="Times New Roman" w:hAnsi="Times New Roman" w:cs="Times New Roman"/>
                <w:b/>
                <w:sz w:val="19"/>
              </w:rPr>
              <w:t>Commit latency mean (ms)</w:t>
            </w:r>
          </w:p>
        </w:tc>
        <w:tc>
          <w:tcPr>
            <w:tcW w:type="dxa" w:w="1505"/>
          </w:tcPr>
          <w:p>
            <w:pPr>
              <w:spacing w:after="20" w:before="20"/>
              <w:jc w:val="center"/>
            </w:pPr>
            <w:r/>
            <w:r>
              <w:rPr>
                <w:rFonts w:ascii="Times New Roman" w:hAnsi="Times New Roman" w:cs="Times New Roman"/>
                <w:b/>
                <w:sz w:val="19"/>
              </w:rPr>
              <w:t>Commit latency P99 (ms)</w:t>
            </w:r>
          </w:p>
        </w:tc>
      </w:tr>
      <w:tr>
        <w:tc>
          <w:tcPr>
            <w:tcW w:type="dxa" w:w="1505"/>
          </w:tcPr>
          <w:p>
            <w:pPr>
              <w:spacing w:after="20" w:before="20"/>
              <w:jc w:val="center"/>
            </w:pPr>
            <w:r/>
            <w:r>
              <w:rPr>
                <w:rFonts w:ascii="Times New Roman" w:hAnsi="Times New Roman" w:cs="Times New Roman"/>
                <w:b w:val="0"/>
                <w:sz w:val="19"/>
              </w:rPr>
              <w:t>LAN</w:t>
            </w:r>
          </w:p>
        </w:tc>
        <w:tc>
          <w:tcPr>
            <w:tcW w:type="dxa" w:w="1505"/>
          </w:tcPr>
          <w:p>
            <w:pPr>
              <w:spacing w:after="20" w:before="20"/>
              <w:jc w:val="center"/>
            </w:pPr>
            <w:r/>
            <w:r>
              <w:rPr>
                <w:rFonts w:ascii="Times New Roman" w:hAnsi="Times New Roman" w:cs="Times New Roman"/>
                <w:b w:val="0"/>
                <w:sz w:val="19"/>
              </w:rPr>
              <w:t>3</w:t>
            </w:r>
          </w:p>
        </w:tc>
        <w:tc>
          <w:tcPr>
            <w:tcW w:type="dxa" w:w="1505"/>
          </w:tcPr>
          <w:p>
            <w:pPr>
              <w:spacing w:after="20" w:before="20"/>
              <w:jc w:val="center"/>
            </w:pPr>
            <w:r/>
            <w:r>
              <w:rPr>
                <w:rFonts w:ascii="Times New Roman" w:hAnsi="Times New Roman" w:cs="Times New Roman"/>
                <w:b w:val="0"/>
                <w:sz w:val="19"/>
              </w:rPr>
              <w:t>203 ± 12</w:t>
            </w:r>
          </w:p>
        </w:tc>
        <w:tc>
          <w:tcPr>
            <w:tcW w:type="dxa" w:w="1505"/>
          </w:tcPr>
          <w:p>
            <w:pPr>
              <w:spacing w:after="20" w:before="20"/>
              <w:jc w:val="center"/>
            </w:pPr>
            <w:r/>
            <w:r>
              <w:rPr>
                <w:rFonts w:ascii="Times New Roman" w:hAnsi="Times New Roman" w:cs="Times New Roman"/>
                <w:b w:val="0"/>
                <w:sz w:val="19"/>
              </w:rPr>
              <w:t>169 ± 22</w:t>
            </w:r>
          </w:p>
        </w:tc>
        <w:tc>
          <w:tcPr>
            <w:tcW w:type="dxa" w:w="1505"/>
          </w:tcPr>
          <w:p>
            <w:pPr>
              <w:spacing w:after="20" w:before="20"/>
              <w:jc w:val="center"/>
            </w:pPr>
            <w:r/>
            <w:r>
              <w:rPr>
                <w:rFonts w:ascii="Times New Roman" w:hAnsi="Times New Roman" w:cs="Times New Roman"/>
                <w:b w:val="0"/>
                <w:sz w:val="19"/>
              </w:rPr>
              <w:t>6.25 ± 0.02</w:t>
            </w:r>
          </w:p>
        </w:tc>
        <w:tc>
          <w:tcPr>
            <w:tcW w:type="dxa" w:w="1505"/>
          </w:tcPr>
          <w:p>
            <w:pPr>
              <w:spacing w:after="20" w:before="20"/>
              <w:jc w:val="center"/>
            </w:pPr>
            <w:r/>
            <w:r>
              <w:rPr>
                <w:rFonts w:ascii="Times New Roman" w:hAnsi="Times New Roman" w:cs="Times New Roman"/>
                <w:b w:val="0"/>
                <w:sz w:val="19"/>
              </w:rPr>
              <w:t>8.5</w:t>
            </w:r>
          </w:p>
        </w:tc>
      </w:tr>
      <w:tr>
        <w:tc>
          <w:tcPr>
            <w:tcW w:type="dxa" w:w="1505"/>
          </w:tcPr>
          <w:p>
            <w:pPr>
              <w:spacing w:after="20" w:before="20"/>
              <w:jc w:val="center"/>
            </w:pPr>
            <w:r/>
            <w:r>
              <w:rPr>
                <w:rFonts w:ascii="Times New Roman" w:hAnsi="Times New Roman" w:cs="Times New Roman"/>
                <w:b w:val="0"/>
                <w:sz w:val="19"/>
              </w:rPr>
              <w:t>LAN</w:t>
            </w:r>
          </w:p>
        </w:tc>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183 ± 8</w:t>
            </w:r>
          </w:p>
        </w:tc>
        <w:tc>
          <w:tcPr>
            <w:tcW w:type="dxa" w:w="1505"/>
          </w:tcPr>
          <w:p>
            <w:pPr>
              <w:spacing w:after="20" w:before="20"/>
              <w:jc w:val="center"/>
            </w:pPr>
            <w:r/>
            <w:r>
              <w:rPr>
                <w:rFonts w:ascii="Times New Roman" w:hAnsi="Times New Roman" w:cs="Times New Roman"/>
                <w:b w:val="0"/>
                <w:sz w:val="19"/>
              </w:rPr>
              <w:t>133 ± 8</w:t>
            </w:r>
          </w:p>
        </w:tc>
        <w:tc>
          <w:tcPr>
            <w:tcW w:type="dxa" w:w="1505"/>
          </w:tcPr>
          <w:p>
            <w:pPr>
              <w:spacing w:after="20" w:before="20"/>
              <w:jc w:val="center"/>
            </w:pPr>
            <w:r/>
            <w:r>
              <w:rPr>
                <w:rFonts w:ascii="Times New Roman" w:hAnsi="Times New Roman" w:cs="Times New Roman"/>
                <w:b w:val="0"/>
                <w:sz w:val="19"/>
              </w:rPr>
              <w:t>6.54 ± 0.01</w:t>
            </w:r>
          </w:p>
        </w:tc>
        <w:tc>
          <w:tcPr>
            <w:tcW w:type="dxa" w:w="1505"/>
          </w:tcPr>
          <w:p>
            <w:pPr>
              <w:spacing w:after="20" w:before="20"/>
              <w:jc w:val="center"/>
            </w:pPr>
            <w:r/>
            <w:r>
              <w:rPr>
                <w:rFonts w:ascii="Times New Roman" w:hAnsi="Times New Roman" w:cs="Times New Roman"/>
                <w:b w:val="0"/>
                <w:sz w:val="19"/>
              </w:rPr>
              <w:t>8.3</w:t>
            </w:r>
          </w:p>
        </w:tc>
      </w:tr>
      <w:tr>
        <w:tc>
          <w:tcPr>
            <w:tcW w:type="dxa" w:w="1505"/>
          </w:tcPr>
          <w:p>
            <w:pPr>
              <w:spacing w:after="20" w:before="20"/>
              <w:jc w:val="center"/>
            </w:pPr>
            <w:r/>
            <w:r>
              <w:rPr>
                <w:rFonts w:ascii="Times New Roman" w:hAnsi="Times New Roman" w:cs="Times New Roman"/>
                <w:b w:val="0"/>
                <w:sz w:val="19"/>
              </w:rPr>
              <w:t>LAN</w:t>
            </w:r>
          </w:p>
        </w:tc>
        <w:tc>
          <w:tcPr>
            <w:tcW w:type="dxa" w:w="1505"/>
          </w:tcPr>
          <w:p>
            <w:pPr>
              <w:spacing w:after="20" w:before="20"/>
              <w:jc w:val="center"/>
            </w:pPr>
            <w:r/>
            <w:r>
              <w:rPr>
                <w:rFonts w:ascii="Times New Roman" w:hAnsi="Times New Roman" w:cs="Times New Roman"/>
                <w:b w:val="0"/>
                <w:sz w:val="19"/>
              </w:rPr>
              <w:t>7</w:t>
            </w:r>
          </w:p>
        </w:tc>
        <w:tc>
          <w:tcPr>
            <w:tcW w:type="dxa" w:w="1505"/>
          </w:tcPr>
          <w:p>
            <w:pPr>
              <w:spacing w:after="20" w:before="20"/>
              <w:jc w:val="center"/>
            </w:pPr>
            <w:r/>
            <w:r>
              <w:rPr>
                <w:rFonts w:ascii="Times New Roman" w:hAnsi="Times New Roman" w:cs="Times New Roman"/>
                <w:b w:val="0"/>
                <w:sz w:val="19"/>
              </w:rPr>
              <w:t>175 ± 5</w:t>
            </w:r>
          </w:p>
        </w:tc>
        <w:tc>
          <w:tcPr>
            <w:tcW w:type="dxa" w:w="1505"/>
          </w:tcPr>
          <w:p>
            <w:pPr>
              <w:spacing w:after="20" w:before="20"/>
              <w:jc w:val="center"/>
            </w:pPr>
            <w:r/>
            <w:r>
              <w:rPr>
                <w:rFonts w:ascii="Times New Roman" w:hAnsi="Times New Roman" w:cs="Times New Roman"/>
                <w:b w:val="0"/>
                <w:sz w:val="19"/>
              </w:rPr>
              <w:t>134 ± 14</w:t>
            </w:r>
          </w:p>
        </w:tc>
        <w:tc>
          <w:tcPr>
            <w:tcW w:type="dxa" w:w="1505"/>
          </w:tcPr>
          <w:p>
            <w:pPr>
              <w:spacing w:after="20" w:before="20"/>
              <w:jc w:val="center"/>
            </w:pPr>
            <w:r/>
            <w:r>
              <w:rPr>
                <w:rFonts w:ascii="Times New Roman" w:hAnsi="Times New Roman" w:cs="Times New Roman"/>
                <w:b w:val="0"/>
                <w:sz w:val="19"/>
              </w:rPr>
              <w:t>6.66 ± 0.01</w:t>
            </w:r>
          </w:p>
        </w:tc>
        <w:tc>
          <w:tcPr>
            <w:tcW w:type="dxa" w:w="1505"/>
          </w:tcPr>
          <w:p>
            <w:pPr>
              <w:spacing w:after="20" w:before="20"/>
              <w:jc w:val="center"/>
            </w:pPr>
            <w:r/>
            <w:r>
              <w:rPr>
                <w:rFonts w:ascii="Times New Roman" w:hAnsi="Times New Roman" w:cs="Times New Roman"/>
                <w:b w:val="0"/>
                <w:sz w:val="19"/>
              </w:rPr>
              <w:t>8.2</w:t>
            </w:r>
          </w:p>
        </w:tc>
      </w:tr>
      <w:tr>
        <w:tc>
          <w:tcPr>
            <w:tcW w:type="dxa" w:w="1505"/>
          </w:tcPr>
          <w:p>
            <w:pPr>
              <w:spacing w:after="20" w:before="20"/>
              <w:jc w:val="center"/>
            </w:pPr>
            <w:r/>
            <w:r>
              <w:rPr>
                <w:rFonts w:ascii="Times New Roman" w:hAnsi="Times New Roman" w:cs="Times New Roman"/>
                <w:b w:val="0"/>
                <w:sz w:val="19"/>
              </w:rPr>
              <w:t>WAN</w:t>
            </w:r>
          </w:p>
        </w:tc>
        <w:tc>
          <w:tcPr>
            <w:tcW w:type="dxa" w:w="1505"/>
          </w:tcPr>
          <w:p>
            <w:pPr>
              <w:spacing w:after="20" w:before="20"/>
              <w:jc w:val="center"/>
            </w:pPr>
            <w:r/>
            <w:r>
              <w:rPr>
                <w:rFonts w:ascii="Times New Roman" w:hAnsi="Times New Roman" w:cs="Times New Roman"/>
                <w:b w:val="0"/>
                <w:sz w:val="19"/>
              </w:rPr>
              <w:t>3</w:t>
            </w:r>
          </w:p>
        </w:tc>
        <w:tc>
          <w:tcPr>
            <w:tcW w:type="dxa" w:w="1505"/>
          </w:tcPr>
          <w:p>
            <w:pPr>
              <w:spacing w:after="20" w:before="20"/>
              <w:jc w:val="center"/>
            </w:pPr>
            <w:r/>
            <w:r>
              <w:rPr>
                <w:rFonts w:ascii="Times New Roman" w:hAnsi="Times New Roman" w:cs="Times New Roman"/>
                <w:b w:val="0"/>
                <w:sz w:val="19"/>
              </w:rPr>
              <w:t>270 ± 33</w:t>
            </w:r>
          </w:p>
        </w:tc>
        <w:tc>
          <w:tcPr>
            <w:tcW w:type="dxa" w:w="1505"/>
          </w:tcPr>
          <w:p>
            <w:pPr>
              <w:spacing w:after="20" w:before="20"/>
              <w:jc w:val="center"/>
            </w:pPr>
            <w:r/>
            <w:r>
              <w:rPr>
                <w:rFonts w:ascii="Times New Roman" w:hAnsi="Times New Roman" w:cs="Times New Roman"/>
                <w:b w:val="0"/>
                <w:sz w:val="19"/>
              </w:rPr>
              <w:t>285 ± 48</w:t>
            </w:r>
          </w:p>
        </w:tc>
        <w:tc>
          <w:tcPr>
            <w:tcW w:type="dxa" w:w="1505"/>
          </w:tcPr>
          <w:p>
            <w:pPr>
              <w:spacing w:after="20" w:before="20"/>
              <w:jc w:val="center"/>
            </w:pPr>
            <w:r/>
            <w:r>
              <w:rPr>
                <w:rFonts w:ascii="Times New Roman" w:hAnsi="Times New Roman" w:cs="Times New Roman"/>
                <w:b w:val="0"/>
                <w:sz w:val="19"/>
              </w:rPr>
              <w:t>47.12 ± 0.06</w:t>
            </w:r>
          </w:p>
        </w:tc>
        <w:tc>
          <w:tcPr>
            <w:tcW w:type="dxa" w:w="1505"/>
          </w:tcPr>
          <w:p>
            <w:pPr>
              <w:spacing w:after="20" w:before="20"/>
              <w:jc w:val="center"/>
            </w:pPr>
            <w:r/>
            <w:r>
              <w:rPr>
                <w:rFonts w:ascii="Times New Roman" w:hAnsi="Times New Roman" w:cs="Times New Roman"/>
                <w:b w:val="0"/>
                <w:sz w:val="19"/>
              </w:rPr>
              <w:t>54.3</w:t>
            </w:r>
          </w:p>
        </w:tc>
      </w:tr>
      <w:tr>
        <w:tc>
          <w:tcPr>
            <w:tcW w:type="dxa" w:w="1505"/>
          </w:tcPr>
          <w:p>
            <w:pPr>
              <w:spacing w:after="20" w:before="20"/>
              <w:jc w:val="center"/>
            </w:pPr>
            <w:r/>
            <w:r>
              <w:rPr>
                <w:rFonts w:ascii="Times New Roman" w:hAnsi="Times New Roman" w:cs="Times New Roman"/>
                <w:b w:val="0"/>
                <w:sz w:val="19"/>
              </w:rPr>
              <w:t>WAN</w:t>
            </w:r>
          </w:p>
        </w:tc>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244 ± 24</w:t>
            </w:r>
          </w:p>
        </w:tc>
        <w:tc>
          <w:tcPr>
            <w:tcW w:type="dxa" w:w="1505"/>
          </w:tcPr>
          <w:p>
            <w:pPr>
              <w:spacing w:after="20" w:before="20"/>
              <w:jc w:val="center"/>
            </w:pPr>
            <w:r/>
            <w:r>
              <w:rPr>
                <w:rFonts w:ascii="Times New Roman" w:hAnsi="Times New Roman" w:cs="Times New Roman"/>
                <w:b w:val="0"/>
                <w:sz w:val="19"/>
              </w:rPr>
              <w:t>251 ± 33</w:t>
            </w:r>
          </w:p>
        </w:tc>
        <w:tc>
          <w:tcPr>
            <w:tcW w:type="dxa" w:w="1505"/>
          </w:tcPr>
          <w:p>
            <w:pPr>
              <w:spacing w:after="20" w:before="20"/>
              <w:jc w:val="center"/>
            </w:pPr>
            <w:r/>
            <w:r>
              <w:rPr>
                <w:rFonts w:ascii="Times New Roman" w:hAnsi="Times New Roman" w:cs="Times New Roman"/>
                <w:b w:val="0"/>
                <w:sz w:val="19"/>
              </w:rPr>
              <w:t>48.03 ± 0.06</w:t>
            </w:r>
          </w:p>
        </w:tc>
        <w:tc>
          <w:tcPr>
            <w:tcW w:type="dxa" w:w="1505"/>
          </w:tcPr>
          <w:p>
            <w:pPr>
              <w:spacing w:after="20" w:before="20"/>
              <w:jc w:val="center"/>
            </w:pPr>
            <w:r/>
            <w:r>
              <w:rPr>
                <w:rFonts w:ascii="Times New Roman" w:hAnsi="Times New Roman" w:cs="Times New Roman"/>
                <w:b w:val="0"/>
                <w:sz w:val="19"/>
              </w:rPr>
              <w:t>53.6</w:t>
            </w:r>
          </w:p>
        </w:tc>
      </w:tr>
      <w:tr>
        <w:tc>
          <w:tcPr>
            <w:tcW w:type="dxa" w:w="1505"/>
          </w:tcPr>
          <w:p>
            <w:pPr>
              <w:spacing w:after="20" w:before="20"/>
              <w:jc w:val="center"/>
            </w:pPr>
            <w:r/>
            <w:r>
              <w:rPr>
                <w:rFonts w:ascii="Times New Roman" w:hAnsi="Times New Roman" w:cs="Times New Roman"/>
                <w:b w:val="0"/>
                <w:sz w:val="19"/>
              </w:rPr>
              <w:t>WAN</w:t>
            </w:r>
          </w:p>
        </w:tc>
        <w:tc>
          <w:tcPr>
            <w:tcW w:type="dxa" w:w="1505"/>
          </w:tcPr>
          <w:p>
            <w:pPr>
              <w:spacing w:after="20" w:before="20"/>
              <w:jc w:val="center"/>
            </w:pPr>
            <w:r/>
            <w:r>
              <w:rPr>
                <w:rFonts w:ascii="Times New Roman" w:hAnsi="Times New Roman" w:cs="Times New Roman"/>
                <w:b w:val="0"/>
                <w:sz w:val="19"/>
              </w:rPr>
              <w:t>7</w:t>
            </w:r>
          </w:p>
        </w:tc>
        <w:tc>
          <w:tcPr>
            <w:tcW w:type="dxa" w:w="1505"/>
          </w:tcPr>
          <w:p>
            <w:pPr>
              <w:spacing w:after="20" w:before="20"/>
              <w:jc w:val="center"/>
            </w:pPr>
            <w:r/>
            <w:r>
              <w:rPr>
                <w:rFonts w:ascii="Times New Roman" w:hAnsi="Times New Roman" w:cs="Times New Roman"/>
                <w:b w:val="0"/>
                <w:sz w:val="19"/>
              </w:rPr>
              <w:t>224 ± 13</w:t>
            </w:r>
          </w:p>
        </w:tc>
        <w:tc>
          <w:tcPr>
            <w:tcW w:type="dxa" w:w="1505"/>
          </w:tcPr>
          <w:p>
            <w:pPr>
              <w:spacing w:after="20" w:before="20"/>
              <w:jc w:val="center"/>
            </w:pPr>
            <w:r/>
            <w:r>
              <w:rPr>
                <w:rFonts w:ascii="Times New Roman" w:hAnsi="Times New Roman" w:cs="Times New Roman"/>
                <w:b w:val="0"/>
                <w:sz w:val="19"/>
              </w:rPr>
              <w:t>225 ± 28</w:t>
            </w:r>
          </w:p>
        </w:tc>
        <w:tc>
          <w:tcPr>
            <w:tcW w:type="dxa" w:w="1505"/>
          </w:tcPr>
          <w:p>
            <w:pPr>
              <w:spacing w:after="20" w:before="20"/>
              <w:jc w:val="center"/>
            </w:pPr>
            <w:r/>
            <w:r>
              <w:rPr>
                <w:rFonts w:ascii="Times New Roman" w:hAnsi="Times New Roman" w:cs="Times New Roman"/>
                <w:b w:val="0"/>
                <w:sz w:val="19"/>
              </w:rPr>
              <w:t>48.40 ± 0.04</w:t>
            </w:r>
          </w:p>
        </w:tc>
        <w:tc>
          <w:tcPr>
            <w:tcW w:type="dxa" w:w="1505"/>
          </w:tcPr>
          <w:p>
            <w:pPr>
              <w:spacing w:after="20" w:before="20"/>
              <w:jc w:val="center"/>
            </w:pPr>
            <w:r/>
            <w:r>
              <w:rPr>
                <w:rFonts w:ascii="Times New Roman" w:hAnsi="Times New Roman" w:cs="Times New Roman"/>
                <w:b w:val="0"/>
                <w:sz w:val="19"/>
              </w:rPr>
              <w:t>53.2</w:t>
            </w:r>
          </w:p>
        </w:tc>
      </w:tr>
    </w:tbl>
    <w:p>
      <w:pPr>
        <w:spacing w:after="80" w:before="0"/>
      </w:pPr>
    </w:p>
    <w:p>
      <w:pPr>
        <w:spacing w:after="40" w:before="80"/>
        <w:jc w:val="center"/>
      </w:pPr>
      <w:r>
        <w:drawing>
          <wp:inline xmlns:a="http://schemas.openxmlformats.org/drawingml/2006/main" xmlns:pic="http://schemas.openxmlformats.org/drawingml/2006/picture">
            <wp:extent cx="5760720" cy="2168790"/>
            <wp:docPr id="6" name="Picture 6"/>
            <wp:cNvGraphicFramePr>
              <a:graphicFrameLocks noChangeAspect="1"/>
            </wp:cNvGraphicFramePr>
            <a:graphic>
              <a:graphicData uri="http://schemas.openxmlformats.org/drawingml/2006/picture">
                <pic:pic>
                  <pic:nvPicPr>
                    <pic:cNvPr id="0" name="fig14_raft.png"/>
                    <pic:cNvPicPr/>
                  </pic:nvPicPr>
                  <pic:blipFill>
                    <a:blip r:embed="rId14"/>
                    <a:stretch>
                      <a:fillRect/>
                    </a:stretch>
                  </pic:blipFill>
                  <pic:spPr>
                    <a:xfrm>
                      <a:off x="0" y="0"/>
                      <a:ext cx="5760720" cy="2168790"/>
                    </a:xfrm>
                    <a:prstGeom prst="rect"/>
                  </pic:spPr>
                </pic:pic>
              </a:graphicData>
            </a:graphic>
          </wp:inline>
        </w:drawing>
      </w:r>
    </w:p>
    <w:p>
      <w:pPr>
        <w:spacing w:after="80" w:before="40"/>
        <w:jc w:val="center"/>
      </w:pPr>
      <w:r>
        <w:rPr>
          <w:rFonts w:ascii="Times New Roman" w:hAnsi="Times New Roman" w:cs="Times New Roman"/>
          <w:b/>
          <w:sz w:val="19"/>
        </w:rPr>
        <w:t>Figure 6:</w:t>
      </w:r>
      <w:r>
        <w:rPr>
          <w:rFonts w:ascii="Times New Roman" w:hAnsi="Times New Roman" w:cs="Times New Roman"/>
          <w:sz w:val="19"/>
        </w:rPr>
        <w:t xml:space="preserve"> (A) Raft re-election time after a leader crash. (B) Append-to-majority-commit latency (log scale).</w:t>
      </w:r>
    </w:p>
    <w:p>
      <w:pPr>
        <w:spacing w:after="120" w:before="0"/>
        <w:jc w:val="both"/>
      </w:pPr>
      <w:r>
        <w:rPr>
          <w:rFonts w:ascii="Times New Roman" w:hAnsi="Times New Roman" w:cs="Times New Roman"/>
          <w:sz w:val="22"/>
        </w:rPr>
        <w:t>Every run elected exactly one leader per term and completed fail-over, with zero election-safety violations. Leader election completes within one to two election-timeout intervals; on the WAN, split votes occurred before the first leader in 4, 3, and 1 of 30 runs for n = 3, 5, 7; no split votes occurred on the LAN. Commit latency is essentially one round trip to the fastest majority: 6.25 ms on the LAN and 47.1 ms on the WAN for n = 3, rising only slightly with cluster size because a larger majority must be waited for.</w:t>
      </w:r>
    </w:p>
    <w:p>
      <w:pPr>
        <w:spacing w:after="120" w:before="0"/>
        <w:jc w:val="both"/>
      </w:pPr>
      <w:r>
        <w:rPr>
          <w:rFonts w:ascii="Times New Roman" w:hAnsi="Times New Roman" w:cs="Times New Roman"/>
          <w:sz w:val="22"/>
        </w:rPr>
        <w:t>To measure the cost on the request path, each worker thread of an M/M/10 queue (μ = 12) blocks until its request's log entry commits. At λ = 100 msg/s a 3-node LAN cluster raises mean response time from 0.1076 s to 0.1425 s (1.32×) with unchanged throughput. On the WAN the same cluster costs 1.75× at λ = 60 and makes the queue unstable at λ = 100: measured effective utilization is 1.31 and throughput saturates at 76.6 msg/s. Saturated-pool measurements (Figure 7) give the capacity cost directly: 7.0% (n = 3) and 7.4% (n = 5) on the LAN, 36.2% and 36.7% on the WAN. The cost of consensus is therefore set by network round-trip time relative to service time, not by the protocol itself. This model commits each request synchronously with no batching or pipelining, so these figures are an upper bound for implementations that batch entries.</w:t>
      </w:r>
    </w:p>
    <w:p>
      <w:pPr>
        <w:spacing w:after="40" w:before="80"/>
        <w:jc w:val="center"/>
      </w:pPr>
      <w:r>
        <w:drawing>
          <wp:inline xmlns:a="http://schemas.openxmlformats.org/drawingml/2006/main" xmlns:pic="http://schemas.openxmlformats.org/drawingml/2006/picture">
            <wp:extent cx="5120640" cy="2389632"/>
            <wp:docPr id="7" name="Picture 7"/>
            <wp:cNvGraphicFramePr>
              <a:graphicFrameLocks noChangeAspect="1"/>
            </wp:cNvGraphicFramePr>
            <a:graphic>
              <a:graphicData uri="http://schemas.openxmlformats.org/drawingml/2006/picture">
                <pic:pic>
                  <pic:nvPicPr>
                    <pic:cNvPr id="0" name="fig13_protocol_capacity.png"/>
                    <pic:cNvPicPr/>
                  </pic:nvPicPr>
                  <pic:blipFill>
                    <a:blip r:embed="rId15"/>
                    <a:stretch>
                      <a:fillRect/>
                    </a:stretch>
                  </pic:blipFill>
                  <pic:spPr>
                    <a:xfrm>
                      <a:off x="0" y="0"/>
                      <a:ext cx="5120640" cy="2389632"/>
                    </a:xfrm>
                    <a:prstGeom prst="rect"/>
                  </pic:spPr>
                </pic:pic>
              </a:graphicData>
            </a:graphic>
          </wp:inline>
        </w:drawing>
      </w:r>
    </w:p>
    <w:p>
      <w:pPr>
        <w:spacing w:after="80" w:before="40"/>
        <w:jc w:val="center"/>
      </w:pPr>
      <w:r>
        <w:rPr>
          <w:rFonts w:ascii="Times New Roman" w:hAnsi="Times New Roman" w:cs="Times New Roman"/>
          <w:b/>
          <w:sz w:val="19"/>
        </w:rPr>
        <w:t>Figure 7:</w:t>
      </w:r>
      <w:r>
        <w:rPr>
          <w:rFonts w:ascii="Times New Roman" w:hAnsi="Times New Roman" w:cs="Times New Roman"/>
          <w:sz w:val="19"/>
        </w:rPr>
        <w:t xml:space="preserve"> Measured saturation throughput of a 10-thread pool (μ = 12) with no protocol, 2PC, and Raft on the critical path (10 replications); black marks show N/E[S] for 2PC.</w:t>
      </w:r>
    </w:p>
    <w:p>
      <w:pPr>
        <w:spacing w:after="60" w:before="120"/>
      </w:pPr>
      <w:r>
        <w:rPr>
          <w:rFonts w:ascii="Times New Roman" w:hAnsi="Times New Roman" w:cs="Times New Roman"/>
          <w:b/>
          <w:sz w:val="24"/>
        </w:rPr>
        <w:t>4.3   Vector Clocks and Causal Delivery</w:t>
      </w:r>
    </w:p>
    <w:p>
      <w:pPr>
        <w:spacing w:after="120" w:before="0"/>
        <w:jc w:val="both"/>
      </w:pPr>
      <w:r>
        <w:rPr>
          <w:rFonts w:ascii="Times New Roman" w:hAnsi="Times New Roman" w:cs="Times New Roman"/>
          <w:sz w:val="22"/>
        </w:rPr>
        <w:t>Vector clocks [3,4] let a broker deliver messages in causal rather than merely FIFO order. We implement the causal broadcast of Birman, Schiper, and Stephenson [22]: process i delivers a message m from j only when m.VC[j] = VC_i[j] + 1 and m.VC[k] ≤ VC_i[k] for all k ≠ j, holding it back otherwise. P processes each broadcast 10 messages/s for 30 s over links with 10 ms mean lognormal delay whose coefficient of variation (CV) we vary (10 replications). As a control, the same workload is delivered without ordering, and we count deliveries that violate causality against the ground-truth happened-before relation.</w:t>
      </w:r>
    </w:p>
    <w:p>
      <w:pPr>
        <w:spacing w:after="80" w:before="40"/>
        <w:jc w:val="center"/>
      </w:pPr>
      <w:r>
        <w:rPr>
          <w:rFonts w:ascii="Times New Roman" w:hAnsi="Times New Roman" w:cs="Times New Roman"/>
          <w:b/>
          <w:sz w:val="19"/>
        </w:rPr>
        <w:t>Table 9:</w:t>
      </w:r>
      <w:r>
        <w:rPr>
          <w:rFonts w:ascii="Times New Roman" w:hAnsi="Times New Roman" w:cs="Times New Roman"/>
          <w:sz w:val="19"/>
        </w:rPr>
        <w:t xml:space="preserve"> Causal delivery cost: fraction of messages held back and mean hold-back of held messages, versus delay variability (10 broadcasts/s).</w:t>
      </w:r>
    </w:p>
    <w:tbl>
      <w:tblPr>
        <w:tblStyle w:val="TableGrid"/>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Pr>
          <w:p>
            <w:pPr>
              <w:spacing w:after="20" w:before="20"/>
              <w:jc w:val="center"/>
            </w:pPr>
            <w:r/>
            <w:r>
              <w:rPr>
                <w:rFonts w:ascii="Times New Roman" w:hAnsi="Times New Roman" w:cs="Times New Roman"/>
                <w:b/>
                <w:sz w:val="19"/>
              </w:rPr>
              <w:t>P</w:t>
            </w:r>
          </w:p>
        </w:tc>
        <w:tc>
          <w:tcPr>
            <w:tcW w:type="dxa" w:w="1505"/>
          </w:tcPr>
          <w:p>
            <w:pPr>
              <w:spacing w:after="20" w:before="20"/>
              <w:jc w:val="center"/>
            </w:pPr>
            <w:r/>
            <w:r>
              <w:rPr>
                <w:rFonts w:ascii="Times New Roman" w:hAnsi="Times New Roman" w:cs="Times New Roman"/>
                <w:b/>
                <w:sz w:val="19"/>
              </w:rPr>
              <w:t>Delay CV</w:t>
            </w:r>
          </w:p>
        </w:tc>
        <w:tc>
          <w:tcPr>
            <w:tcW w:type="dxa" w:w="1505"/>
          </w:tcPr>
          <w:p>
            <w:pPr>
              <w:spacing w:after="20" w:before="20"/>
              <w:jc w:val="center"/>
            </w:pPr>
            <w:r/>
            <w:r>
              <w:rPr>
                <w:rFonts w:ascii="Times New Roman" w:hAnsi="Times New Roman" w:cs="Times New Roman"/>
                <w:b/>
                <w:sz w:val="19"/>
              </w:rPr>
              <w:t>Held back</w:t>
            </w:r>
          </w:p>
        </w:tc>
        <w:tc>
          <w:tcPr>
            <w:tcW w:type="dxa" w:w="1505"/>
          </w:tcPr>
          <w:p>
            <w:pPr>
              <w:spacing w:after="20" w:before="20"/>
              <w:jc w:val="center"/>
            </w:pPr>
            <w:r/>
            <w:r>
              <w:rPr>
                <w:rFonts w:ascii="Times New Roman" w:hAnsi="Times New Roman" w:cs="Times New Roman"/>
                <w:b/>
                <w:sz w:val="19"/>
              </w:rPr>
              <w:t>Mean hold-back if held (ms)</w:t>
            </w:r>
          </w:p>
        </w:tc>
        <w:tc>
          <w:tcPr>
            <w:tcW w:type="dxa" w:w="1505"/>
          </w:tcPr>
          <w:p>
            <w:pPr>
              <w:spacing w:after="20" w:before="20"/>
              <w:jc w:val="center"/>
            </w:pPr>
            <w:r/>
            <w:r>
              <w:rPr>
                <w:rFonts w:ascii="Times New Roman" w:hAnsi="Times New Roman" w:cs="Times New Roman"/>
                <w:b/>
                <w:sz w:val="19"/>
              </w:rPr>
              <w:t>P99 hold-back, all (ms)</w:t>
            </w:r>
          </w:p>
        </w:tc>
        <w:tc>
          <w:tcPr>
            <w:tcW w:type="dxa" w:w="1505"/>
          </w:tcPr>
          <w:p>
            <w:pPr>
              <w:spacing w:after="20" w:before="20"/>
              <w:jc w:val="center"/>
            </w:pPr>
            <w:r/>
            <w:r>
              <w:rPr>
                <w:rFonts w:ascii="Times New Roman" w:hAnsi="Times New Roman" w:cs="Times New Roman"/>
                <w:b/>
                <w:sz w:val="19"/>
              </w:rPr>
              <w:t>Violations without ordering</w:t>
            </w:r>
          </w:p>
        </w:tc>
      </w:tr>
      <w:tr>
        <w:tc>
          <w:tcPr>
            <w:tcW w:type="dxa" w:w="1505"/>
          </w:tcPr>
          <w:p>
            <w:pPr>
              <w:spacing w:after="20" w:before="20"/>
              <w:jc w:val="center"/>
            </w:pPr>
            <w:r/>
            <w:r>
              <w:rPr>
                <w:rFonts w:ascii="Times New Roman" w:hAnsi="Times New Roman" w:cs="Times New Roman"/>
                <w:b w:val="0"/>
                <w:sz w:val="19"/>
              </w:rPr>
              <w:t>3</w:t>
            </w:r>
          </w:p>
        </w:tc>
        <w:tc>
          <w:tcPr>
            <w:tcW w:type="dxa" w:w="1505"/>
          </w:tcPr>
          <w:p>
            <w:pPr>
              <w:spacing w:after="20" w:before="20"/>
              <w:jc w:val="center"/>
            </w:pPr>
            <w:r/>
            <w:r>
              <w:rPr>
                <w:rFonts w:ascii="Times New Roman" w:hAnsi="Times New Roman" w:cs="Times New Roman"/>
                <w:b w:val="0"/>
                <w:sz w:val="19"/>
              </w:rPr>
              <w:t>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r>
      <w:tr>
        <w:tc>
          <w:tcPr>
            <w:tcW w:type="dxa" w:w="1505"/>
          </w:tcPr>
          <w:p>
            <w:pPr>
              <w:spacing w:after="20" w:before="20"/>
              <w:jc w:val="center"/>
            </w:pPr>
            <w:r/>
            <w:r>
              <w:rPr>
                <w:rFonts w:ascii="Times New Roman" w:hAnsi="Times New Roman" w:cs="Times New Roman"/>
                <w:b w:val="0"/>
                <w:sz w:val="19"/>
              </w:rPr>
              <w:t>3</w:t>
            </w:r>
          </w:p>
        </w:tc>
        <w:tc>
          <w:tcPr>
            <w:tcW w:type="dxa" w:w="1505"/>
          </w:tcPr>
          <w:p>
            <w:pPr>
              <w:spacing w:after="20" w:before="20"/>
              <w:jc w:val="center"/>
            </w:pPr>
            <w:r/>
            <w:r>
              <w:rPr>
                <w:rFonts w:ascii="Times New Roman" w:hAnsi="Times New Roman" w:cs="Times New Roman"/>
                <w:b w:val="0"/>
                <w:sz w:val="19"/>
              </w:rPr>
              <w:t>0.5</w:t>
            </w:r>
          </w:p>
        </w:tc>
        <w:tc>
          <w:tcPr>
            <w:tcW w:type="dxa" w:w="1505"/>
          </w:tcPr>
          <w:p>
            <w:pPr>
              <w:spacing w:after="20" w:before="20"/>
              <w:jc w:val="center"/>
            </w:pPr>
            <w:r/>
            <w:r>
              <w:rPr>
                <w:rFonts w:ascii="Times New Roman" w:hAnsi="Times New Roman" w:cs="Times New Roman"/>
                <w:b w:val="0"/>
                <w:sz w:val="19"/>
              </w:rPr>
              <w:t>2.9%</w:t>
            </w:r>
          </w:p>
        </w:tc>
        <w:tc>
          <w:tcPr>
            <w:tcW w:type="dxa" w:w="1505"/>
          </w:tcPr>
          <w:p>
            <w:pPr>
              <w:spacing w:after="20" w:before="20"/>
              <w:jc w:val="center"/>
            </w:pPr>
            <w:r/>
            <w:r>
              <w:rPr>
                <w:rFonts w:ascii="Times New Roman" w:hAnsi="Times New Roman" w:cs="Times New Roman"/>
                <w:b w:val="0"/>
                <w:sz w:val="19"/>
              </w:rPr>
              <w:t>4.5</w:t>
            </w:r>
          </w:p>
        </w:tc>
        <w:tc>
          <w:tcPr>
            <w:tcW w:type="dxa" w:w="1505"/>
          </w:tcPr>
          <w:p>
            <w:pPr>
              <w:spacing w:after="20" w:before="20"/>
              <w:jc w:val="center"/>
            </w:pPr>
            <w:r/>
            <w:r>
              <w:rPr>
                <w:rFonts w:ascii="Times New Roman" w:hAnsi="Times New Roman" w:cs="Times New Roman"/>
                <w:b w:val="0"/>
                <w:sz w:val="19"/>
              </w:rPr>
              <w:t>4.4</w:t>
            </w:r>
          </w:p>
        </w:tc>
        <w:tc>
          <w:tcPr>
            <w:tcW w:type="dxa" w:w="1505"/>
          </w:tcPr>
          <w:p>
            <w:pPr>
              <w:spacing w:after="20" w:before="20"/>
              <w:jc w:val="center"/>
            </w:pPr>
            <w:r/>
            <w:r>
              <w:rPr>
                <w:rFonts w:ascii="Times New Roman" w:hAnsi="Times New Roman" w:cs="Times New Roman"/>
                <w:b w:val="0"/>
                <w:sz w:val="19"/>
              </w:rPr>
              <w:t>2.8%</w:t>
            </w:r>
          </w:p>
        </w:tc>
      </w:tr>
      <w:tr>
        <w:tc>
          <w:tcPr>
            <w:tcW w:type="dxa" w:w="1505"/>
          </w:tcPr>
          <w:p>
            <w:pPr>
              <w:spacing w:after="20" w:before="20"/>
              <w:jc w:val="center"/>
            </w:pPr>
            <w:r/>
            <w:r>
              <w:rPr>
                <w:rFonts w:ascii="Times New Roman" w:hAnsi="Times New Roman" w:cs="Times New Roman"/>
                <w:b w:val="0"/>
                <w:sz w:val="19"/>
              </w:rPr>
              <w:t>3</w:t>
            </w:r>
          </w:p>
        </w:tc>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6.0%</w:t>
            </w:r>
          </w:p>
        </w:tc>
        <w:tc>
          <w:tcPr>
            <w:tcW w:type="dxa" w:w="1505"/>
          </w:tcPr>
          <w:p>
            <w:pPr>
              <w:spacing w:after="20" w:before="20"/>
              <w:jc w:val="center"/>
            </w:pPr>
            <w:r/>
            <w:r>
              <w:rPr>
                <w:rFonts w:ascii="Times New Roman" w:hAnsi="Times New Roman" w:cs="Times New Roman"/>
                <w:b w:val="0"/>
                <w:sz w:val="19"/>
              </w:rPr>
              <w:t>11.9</w:t>
            </w:r>
          </w:p>
        </w:tc>
        <w:tc>
          <w:tcPr>
            <w:tcW w:type="dxa" w:w="1505"/>
          </w:tcPr>
          <w:p>
            <w:pPr>
              <w:spacing w:after="20" w:before="20"/>
              <w:jc w:val="center"/>
            </w:pPr>
            <w:r/>
            <w:r>
              <w:rPr>
                <w:rFonts w:ascii="Times New Roman" w:hAnsi="Times New Roman" w:cs="Times New Roman"/>
                <w:b w:val="0"/>
                <w:sz w:val="19"/>
              </w:rPr>
              <w:t>19.8</w:t>
            </w:r>
          </w:p>
        </w:tc>
        <w:tc>
          <w:tcPr>
            <w:tcW w:type="dxa" w:w="1505"/>
          </w:tcPr>
          <w:p>
            <w:pPr>
              <w:spacing w:after="20" w:before="20"/>
              <w:jc w:val="center"/>
            </w:pPr>
            <w:r/>
            <w:r>
              <w:rPr>
                <w:rFonts w:ascii="Times New Roman" w:hAnsi="Times New Roman" w:cs="Times New Roman"/>
                <w:b w:val="0"/>
                <w:sz w:val="19"/>
              </w:rPr>
              <w:t>5.6%</w:t>
            </w:r>
          </w:p>
        </w:tc>
      </w:tr>
      <w:tr>
        <w:tc>
          <w:tcPr>
            <w:tcW w:type="dxa" w:w="1505"/>
          </w:tcPr>
          <w:p>
            <w:pPr>
              <w:spacing w:after="20" w:before="20"/>
              <w:jc w:val="center"/>
            </w:pPr>
            <w:r/>
            <w:r>
              <w:rPr>
                <w:rFonts w:ascii="Times New Roman" w:hAnsi="Times New Roman" w:cs="Times New Roman"/>
                <w:b w:val="0"/>
                <w:sz w:val="19"/>
              </w:rPr>
              <w:t>3</w:t>
            </w:r>
          </w:p>
        </w:tc>
        <w:tc>
          <w:tcPr>
            <w:tcW w:type="dxa" w:w="1505"/>
          </w:tcPr>
          <w:p>
            <w:pPr>
              <w:spacing w:after="20" w:before="20"/>
              <w:jc w:val="center"/>
            </w:pPr>
            <w:r/>
            <w:r>
              <w:rPr>
                <w:rFonts w:ascii="Times New Roman" w:hAnsi="Times New Roman" w:cs="Times New Roman"/>
                <w:b w:val="0"/>
                <w:sz w:val="19"/>
              </w:rPr>
              <w:t>2</w:t>
            </w:r>
          </w:p>
        </w:tc>
        <w:tc>
          <w:tcPr>
            <w:tcW w:type="dxa" w:w="1505"/>
          </w:tcPr>
          <w:p>
            <w:pPr>
              <w:spacing w:after="20" w:before="20"/>
              <w:jc w:val="center"/>
            </w:pPr>
            <w:r/>
            <w:r>
              <w:rPr>
                <w:rFonts w:ascii="Times New Roman" w:hAnsi="Times New Roman" w:cs="Times New Roman"/>
                <w:b w:val="0"/>
                <w:sz w:val="19"/>
              </w:rPr>
              <w:t>9.5%</w:t>
            </w:r>
          </w:p>
        </w:tc>
        <w:tc>
          <w:tcPr>
            <w:tcW w:type="dxa" w:w="1505"/>
          </w:tcPr>
          <w:p>
            <w:pPr>
              <w:spacing w:after="20" w:before="20"/>
              <w:jc w:val="center"/>
            </w:pPr>
            <w:r/>
            <w:r>
              <w:rPr>
                <w:rFonts w:ascii="Times New Roman" w:hAnsi="Times New Roman" w:cs="Times New Roman"/>
                <w:b w:val="0"/>
                <w:sz w:val="19"/>
              </w:rPr>
              <w:t>32.0</w:t>
            </w:r>
          </w:p>
        </w:tc>
        <w:tc>
          <w:tcPr>
            <w:tcW w:type="dxa" w:w="1505"/>
          </w:tcPr>
          <w:p>
            <w:pPr>
              <w:spacing w:after="20" w:before="20"/>
              <w:jc w:val="center"/>
            </w:pPr>
            <w:r/>
            <w:r>
              <w:rPr>
                <w:rFonts w:ascii="Times New Roman" w:hAnsi="Times New Roman" w:cs="Times New Roman"/>
                <w:b w:val="0"/>
                <w:sz w:val="19"/>
              </w:rPr>
              <w:t>77.9</w:t>
            </w:r>
          </w:p>
        </w:tc>
        <w:tc>
          <w:tcPr>
            <w:tcW w:type="dxa" w:w="1505"/>
          </w:tcPr>
          <w:p>
            <w:pPr>
              <w:spacing w:after="20" w:before="20"/>
              <w:jc w:val="center"/>
            </w:pPr>
            <w:r/>
            <w:r>
              <w:rPr>
                <w:rFonts w:ascii="Times New Roman" w:hAnsi="Times New Roman" w:cs="Times New Roman"/>
                <w:b w:val="0"/>
                <w:sz w:val="19"/>
              </w:rPr>
              <w:t>8.1%</w:t>
            </w:r>
          </w:p>
        </w:tc>
      </w:tr>
      <w:tr>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r>
      <w:tr>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0.5</w:t>
            </w:r>
          </w:p>
        </w:tc>
        <w:tc>
          <w:tcPr>
            <w:tcW w:type="dxa" w:w="1505"/>
          </w:tcPr>
          <w:p>
            <w:pPr>
              <w:spacing w:after="20" w:before="20"/>
              <w:jc w:val="center"/>
            </w:pPr>
            <w:r/>
            <w:r>
              <w:rPr>
                <w:rFonts w:ascii="Times New Roman" w:hAnsi="Times New Roman" w:cs="Times New Roman"/>
                <w:b w:val="0"/>
                <w:sz w:val="19"/>
              </w:rPr>
              <w:t>3.7%</w:t>
            </w:r>
          </w:p>
        </w:tc>
        <w:tc>
          <w:tcPr>
            <w:tcW w:type="dxa" w:w="1505"/>
          </w:tcPr>
          <w:p>
            <w:pPr>
              <w:spacing w:after="20" w:before="20"/>
              <w:jc w:val="center"/>
            </w:pPr>
            <w:r/>
            <w:r>
              <w:rPr>
                <w:rFonts w:ascii="Times New Roman" w:hAnsi="Times New Roman" w:cs="Times New Roman"/>
                <w:b w:val="0"/>
                <w:sz w:val="19"/>
              </w:rPr>
              <w:t>5.0</w:t>
            </w:r>
          </w:p>
        </w:tc>
        <w:tc>
          <w:tcPr>
            <w:tcW w:type="dxa" w:w="1505"/>
          </w:tcPr>
          <w:p>
            <w:pPr>
              <w:spacing w:after="20" w:before="20"/>
              <w:jc w:val="center"/>
            </w:pPr>
            <w:r/>
            <w:r>
              <w:rPr>
                <w:rFonts w:ascii="Times New Roman" w:hAnsi="Times New Roman" w:cs="Times New Roman"/>
                <w:b w:val="0"/>
                <w:sz w:val="19"/>
              </w:rPr>
              <w:t>6.5</w:t>
            </w:r>
          </w:p>
        </w:tc>
        <w:tc>
          <w:tcPr>
            <w:tcW w:type="dxa" w:w="1505"/>
          </w:tcPr>
          <w:p>
            <w:pPr>
              <w:spacing w:after="20" w:before="20"/>
              <w:jc w:val="center"/>
            </w:pPr>
            <w:r/>
            <w:r>
              <w:rPr>
                <w:rFonts w:ascii="Times New Roman" w:hAnsi="Times New Roman" w:cs="Times New Roman"/>
                <w:b w:val="0"/>
                <w:sz w:val="19"/>
              </w:rPr>
              <w:t>3.7%</w:t>
            </w:r>
          </w:p>
        </w:tc>
      </w:tr>
      <w:tr>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9.5%</w:t>
            </w:r>
          </w:p>
        </w:tc>
        <w:tc>
          <w:tcPr>
            <w:tcW w:type="dxa" w:w="1505"/>
          </w:tcPr>
          <w:p>
            <w:pPr>
              <w:spacing w:after="20" w:before="20"/>
              <w:jc w:val="center"/>
            </w:pPr>
            <w:r/>
            <w:r>
              <w:rPr>
                <w:rFonts w:ascii="Times New Roman" w:hAnsi="Times New Roman" w:cs="Times New Roman"/>
                <w:b w:val="0"/>
                <w:sz w:val="19"/>
              </w:rPr>
              <w:t>13.4</w:t>
            </w:r>
          </w:p>
        </w:tc>
        <w:tc>
          <w:tcPr>
            <w:tcW w:type="dxa" w:w="1505"/>
          </w:tcPr>
          <w:p>
            <w:pPr>
              <w:spacing w:after="20" w:before="20"/>
              <w:jc w:val="center"/>
            </w:pPr>
            <w:r/>
            <w:r>
              <w:rPr>
                <w:rFonts w:ascii="Times New Roman" w:hAnsi="Times New Roman" w:cs="Times New Roman"/>
                <w:b w:val="0"/>
                <w:sz w:val="19"/>
              </w:rPr>
              <w:t>31.4</w:t>
            </w:r>
          </w:p>
        </w:tc>
        <w:tc>
          <w:tcPr>
            <w:tcW w:type="dxa" w:w="1505"/>
          </w:tcPr>
          <w:p>
            <w:pPr>
              <w:spacing w:after="20" w:before="20"/>
              <w:jc w:val="center"/>
            </w:pPr>
            <w:r/>
            <w:r>
              <w:rPr>
                <w:rFonts w:ascii="Times New Roman" w:hAnsi="Times New Roman" w:cs="Times New Roman"/>
                <w:b w:val="0"/>
                <w:sz w:val="19"/>
              </w:rPr>
              <w:t>9.1%</w:t>
            </w:r>
          </w:p>
        </w:tc>
      </w:tr>
      <w:tr>
        <w:tc>
          <w:tcPr>
            <w:tcW w:type="dxa" w:w="1505"/>
          </w:tcPr>
          <w:p>
            <w:pPr>
              <w:spacing w:after="20" w:before="20"/>
              <w:jc w:val="center"/>
            </w:pPr>
            <w:r/>
            <w:r>
              <w:rPr>
                <w:rFonts w:ascii="Times New Roman" w:hAnsi="Times New Roman" w:cs="Times New Roman"/>
                <w:b w:val="0"/>
                <w:sz w:val="19"/>
              </w:rPr>
              <w:t>5</w:t>
            </w:r>
          </w:p>
        </w:tc>
        <w:tc>
          <w:tcPr>
            <w:tcW w:type="dxa" w:w="1505"/>
          </w:tcPr>
          <w:p>
            <w:pPr>
              <w:spacing w:after="20" w:before="20"/>
              <w:jc w:val="center"/>
            </w:pPr>
            <w:r/>
            <w:r>
              <w:rPr>
                <w:rFonts w:ascii="Times New Roman" w:hAnsi="Times New Roman" w:cs="Times New Roman"/>
                <w:b w:val="0"/>
                <w:sz w:val="19"/>
              </w:rPr>
              <w:t>2</w:t>
            </w:r>
          </w:p>
        </w:tc>
        <w:tc>
          <w:tcPr>
            <w:tcW w:type="dxa" w:w="1505"/>
          </w:tcPr>
          <w:p>
            <w:pPr>
              <w:spacing w:after="20" w:before="20"/>
              <w:jc w:val="center"/>
            </w:pPr>
            <w:r/>
            <w:r>
              <w:rPr>
                <w:rFonts w:ascii="Times New Roman" w:hAnsi="Times New Roman" w:cs="Times New Roman"/>
                <w:b w:val="0"/>
                <w:sz w:val="19"/>
              </w:rPr>
              <w:t>16.2%</w:t>
            </w:r>
          </w:p>
        </w:tc>
        <w:tc>
          <w:tcPr>
            <w:tcW w:type="dxa" w:w="1505"/>
          </w:tcPr>
          <w:p>
            <w:pPr>
              <w:spacing w:after="20" w:before="20"/>
              <w:jc w:val="center"/>
            </w:pPr>
            <w:r/>
            <w:r>
              <w:rPr>
                <w:rFonts w:ascii="Times New Roman" w:hAnsi="Times New Roman" w:cs="Times New Roman"/>
                <w:b w:val="0"/>
                <w:sz w:val="19"/>
              </w:rPr>
              <w:t>40.1</w:t>
            </w:r>
          </w:p>
        </w:tc>
        <w:tc>
          <w:tcPr>
            <w:tcW w:type="dxa" w:w="1505"/>
          </w:tcPr>
          <w:p>
            <w:pPr>
              <w:spacing w:after="20" w:before="20"/>
              <w:jc w:val="center"/>
            </w:pPr>
            <w:r/>
            <w:r>
              <w:rPr>
                <w:rFonts w:ascii="Times New Roman" w:hAnsi="Times New Roman" w:cs="Times New Roman"/>
                <w:b w:val="0"/>
                <w:sz w:val="19"/>
              </w:rPr>
              <w:t>143.4</w:t>
            </w:r>
          </w:p>
        </w:tc>
        <w:tc>
          <w:tcPr>
            <w:tcW w:type="dxa" w:w="1505"/>
          </w:tcPr>
          <w:p>
            <w:pPr>
              <w:spacing w:after="20" w:before="20"/>
              <w:jc w:val="center"/>
            </w:pPr>
            <w:r/>
            <w:r>
              <w:rPr>
                <w:rFonts w:ascii="Times New Roman" w:hAnsi="Times New Roman" w:cs="Times New Roman"/>
                <w:b w:val="0"/>
                <w:sz w:val="19"/>
              </w:rPr>
              <w:t>14.1%</w:t>
            </w:r>
          </w:p>
        </w:tc>
      </w:tr>
      <w:tr>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c>
          <w:tcPr>
            <w:tcW w:type="dxa" w:w="1505"/>
          </w:tcPr>
          <w:p>
            <w:pPr>
              <w:spacing w:after="20" w:before="20"/>
              <w:jc w:val="center"/>
            </w:pPr>
            <w:r/>
            <w:r>
              <w:rPr>
                <w:rFonts w:ascii="Times New Roman" w:hAnsi="Times New Roman" w:cs="Times New Roman"/>
                <w:b w:val="0"/>
                <w:sz w:val="19"/>
              </w:rPr>
              <w:t>0.0%</w:t>
            </w:r>
          </w:p>
        </w:tc>
      </w:tr>
      <w:tr>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0.5</w:t>
            </w:r>
          </w:p>
        </w:tc>
        <w:tc>
          <w:tcPr>
            <w:tcW w:type="dxa" w:w="1505"/>
          </w:tcPr>
          <w:p>
            <w:pPr>
              <w:spacing w:after="20" w:before="20"/>
              <w:jc w:val="center"/>
            </w:pPr>
            <w:r/>
            <w:r>
              <w:rPr>
                <w:rFonts w:ascii="Times New Roman" w:hAnsi="Times New Roman" w:cs="Times New Roman"/>
                <w:b w:val="0"/>
                <w:sz w:val="19"/>
              </w:rPr>
              <w:t>5.8%</w:t>
            </w:r>
          </w:p>
        </w:tc>
        <w:tc>
          <w:tcPr>
            <w:tcW w:type="dxa" w:w="1505"/>
          </w:tcPr>
          <w:p>
            <w:pPr>
              <w:spacing w:after="20" w:before="20"/>
              <w:jc w:val="center"/>
            </w:pPr>
            <w:r/>
            <w:r>
              <w:rPr>
                <w:rFonts w:ascii="Times New Roman" w:hAnsi="Times New Roman" w:cs="Times New Roman"/>
                <w:b w:val="0"/>
                <w:sz w:val="19"/>
              </w:rPr>
              <w:t>4.7</w:t>
            </w:r>
          </w:p>
        </w:tc>
        <w:tc>
          <w:tcPr>
            <w:tcW w:type="dxa" w:w="1505"/>
          </w:tcPr>
          <w:p>
            <w:pPr>
              <w:spacing w:after="20" w:before="20"/>
              <w:jc w:val="center"/>
            </w:pPr>
            <w:r/>
            <w:r>
              <w:rPr>
                <w:rFonts w:ascii="Times New Roman" w:hAnsi="Times New Roman" w:cs="Times New Roman"/>
                <w:b w:val="0"/>
                <w:sz w:val="19"/>
              </w:rPr>
              <w:t>8.2</w:t>
            </w:r>
          </w:p>
        </w:tc>
        <w:tc>
          <w:tcPr>
            <w:tcW w:type="dxa" w:w="1505"/>
          </w:tcPr>
          <w:p>
            <w:pPr>
              <w:spacing w:after="20" w:before="20"/>
              <w:jc w:val="center"/>
            </w:pPr>
            <w:r/>
            <w:r>
              <w:rPr>
                <w:rFonts w:ascii="Times New Roman" w:hAnsi="Times New Roman" w:cs="Times New Roman"/>
                <w:b w:val="0"/>
                <w:sz w:val="19"/>
              </w:rPr>
              <w:t>5.8%</w:t>
            </w:r>
          </w:p>
        </w:tc>
      </w:tr>
      <w:tr>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16.9%</w:t>
            </w:r>
          </w:p>
        </w:tc>
        <w:tc>
          <w:tcPr>
            <w:tcW w:type="dxa" w:w="1505"/>
          </w:tcPr>
          <w:p>
            <w:pPr>
              <w:spacing w:after="20" w:before="20"/>
              <w:jc w:val="center"/>
            </w:pPr>
            <w:r/>
            <w:r>
              <w:rPr>
                <w:rFonts w:ascii="Times New Roman" w:hAnsi="Times New Roman" w:cs="Times New Roman"/>
                <w:b w:val="0"/>
                <w:sz w:val="19"/>
              </w:rPr>
              <w:t>13.5</w:t>
            </w:r>
          </w:p>
        </w:tc>
        <w:tc>
          <w:tcPr>
            <w:tcW w:type="dxa" w:w="1505"/>
          </w:tcPr>
          <w:p>
            <w:pPr>
              <w:spacing w:after="20" w:before="20"/>
              <w:jc w:val="center"/>
            </w:pPr>
            <w:r/>
            <w:r>
              <w:rPr>
                <w:rFonts w:ascii="Times New Roman" w:hAnsi="Times New Roman" w:cs="Times New Roman"/>
                <w:b w:val="0"/>
                <w:sz w:val="19"/>
              </w:rPr>
              <w:t>41.6</w:t>
            </w:r>
          </w:p>
        </w:tc>
        <w:tc>
          <w:tcPr>
            <w:tcW w:type="dxa" w:w="1505"/>
          </w:tcPr>
          <w:p>
            <w:pPr>
              <w:spacing w:after="20" w:before="20"/>
              <w:jc w:val="center"/>
            </w:pPr>
            <w:r/>
            <w:r>
              <w:rPr>
                <w:rFonts w:ascii="Times New Roman" w:hAnsi="Times New Roman" w:cs="Times New Roman"/>
                <w:b w:val="0"/>
                <w:sz w:val="19"/>
              </w:rPr>
              <w:t>16.9%</w:t>
            </w:r>
          </w:p>
        </w:tc>
      </w:tr>
      <w:tr>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2</w:t>
            </w:r>
          </w:p>
        </w:tc>
        <w:tc>
          <w:tcPr>
            <w:tcW w:type="dxa" w:w="1505"/>
          </w:tcPr>
          <w:p>
            <w:pPr>
              <w:spacing w:after="20" w:before="20"/>
              <w:jc w:val="center"/>
            </w:pPr>
            <w:r/>
            <w:r>
              <w:rPr>
                <w:rFonts w:ascii="Times New Roman" w:hAnsi="Times New Roman" w:cs="Times New Roman"/>
                <w:b w:val="0"/>
                <w:sz w:val="19"/>
              </w:rPr>
              <w:t>28.4%</w:t>
            </w:r>
          </w:p>
        </w:tc>
        <w:tc>
          <w:tcPr>
            <w:tcW w:type="dxa" w:w="1505"/>
          </w:tcPr>
          <w:p>
            <w:pPr>
              <w:spacing w:after="20" w:before="20"/>
              <w:jc w:val="center"/>
            </w:pPr>
            <w:r/>
            <w:r>
              <w:rPr>
                <w:rFonts w:ascii="Times New Roman" w:hAnsi="Times New Roman" w:cs="Times New Roman"/>
                <w:b w:val="0"/>
                <w:sz w:val="19"/>
              </w:rPr>
              <w:t>41.8</w:t>
            </w:r>
          </w:p>
        </w:tc>
        <w:tc>
          <w:tcPr>
            <w:tcW w:type="dxa" w:w="1505"/>
          </w:tcPr>
          <w:p>
            <w:pPr>
              <w:spacing w:after="20" w:before="20"/>
              <w:jc w:val="center"/>
            </w:pPr>
            <w:r/>
            <w:r>
              <w:rPr>
                <w:rFonts w:ascii="Times New Roman" w:hAnsi="Times New Roman" w:cs="Times New Roman"/>
                <w:b w:val="0"/>
                <w:sz w:val="19"/>
              </w:rPr>
              <w:t>195.2</w:t>
            </w:r>
          </w:p>
        </w:tc>
        <w:tc>
          <w:tcPr>
            <w:tcW w:type="dxa" w:w="1505"/>
          </w:tcPr>
          <w:p>
            <w:pPr>
              <w:spacing w:after="20" w:before="20"/>
              <w:jc w:val="center"/>
            </w:pPr>
            <w:r/>
            <w:r>
              <w:rPr>
                <w:rFonts w:ascii="Times New Roman" w:hAnsi="Times New Roman" w:cs="Times New Roman"/>
                <w:b w:val="0"/>
                <w:sz w:val="19"/>
              </w:rPr>
              <w:t>26.9%</w:t>
            </w:r>
          </w:p>
        </w:tc>
      </w:tr>
    </w:tbl>
    <w:p>
      <w:pPr>
        <w:spacing w:after="80" w:before="0"/>
      </w:pPr>
    </w:p>
    <w:p>
      <w:pPr>
        <w:spacing w:after="40" w:before="80"/>
        <w:jc w:val="center"/>
      </w:pPr>
      <w:r>
        <w:drawing>
          <wp:inline xmlns:a="http://schemas.openxmlformats.org/drawingml/2006/main" xmlns:pic="http://schemas.openxmlformats.org/drawingml/2006/picture">
            <wp:extent cx="5760720" cy="2168790"/>
            <wp:docPr id="8" name="Picture 8"/>
            <wp:cNvGraphicFramePr>
              <a:graphicFrameLocks noChangeAspect="1"/>
            </wp:cNvGraphicFramePr>
            <a:graphic>
              <a:graphicData uri="http://schemas.openxmlformats.org/drawingml/2006/picture">
                <pic:pic>
                  <pic:nvPicPr>
                    <pic:cNvPr id="0" name="fig15_vector_clocks.png"/>
                    <pic:cNvPicPr/>
                  </pic:nvPicPr>
                  <pic:blipFill>
                    <a:blip r:embed="rId16"/>
                    <a:stretch>
                      <a:fillRect/>
                    </a:stretch>
                  </pic:blipFill>
                  <pic:spPr>
                    <a:xfrm>
                      <a:off x="0" y="0"/>
                      <a:ext cx="5760720" cy="2168790"/>
                    </a:xfrm>
                    <a:prstGeom prst="rect"/>
                  </pic:spPr>
                </pic:pic>
              </a:graphicData>
            </a:graphic>
          </wp:inline>
        </w:drawing>
      </w:r>
    </w:p>
    <w:p>
      <w:pPr>
        <w:spacing w:after="80" w:before="40"/>
        <w:jc w:val="center"/>
      </w:pPr>
      <w:r>
        <w:rPr>
          <w:rFonts w:ascii="Times New Roman" w:hAnsi="Times New Roman" w:cs="Times New Roman"/>
          <w:b/>
          <w:sz w:val="19"/>
        </w:rPr>
        <w:t>Figure 8:</w:t>
      </w:r>
      <w:r>
        <w:rPr>
          <w:rFonts w:ascii="Times New Roman" w:hAnsi="Times New Roman" w:cs="Times New Roman"/>
          <w:sz w:val="19"/>
        </w:rPr>
        <w:t xml:space="preserve"> (A) Messages held back by causal delivery and (B) causally violating deliveries without ordering, versus network delay CV.</w:t>
      </w:r>
    </w:p>
    <w:p>
      <w:pPr>
        <w:spacing w:after="120" w:before="0"/>
        <w:jc w:val="both"/>
      </w:pPr>
      <w:r>
        <w:rPr>
          <w:rFonts w:ascii="Times New Roman" w:hAnsi="Times New Roman" w:cs="Times New Roman"/>
          <w:sz w:val="22"/>
        </w:rPr>
        <w:t>Causal delivery never violated causality in any run, whereas unordered delivery violated it for up to 26.9% of deliveries. Its cost is hold-back, which is zero when delays are constant and grows with delay variability, group size, and broadcast rate: at CV = 1, 16.9% of messages are held back with P = 10, and at P = 5 the held fraction rises from 1.9% at 2 broadcasts/s to 34.8% at 50/s. The hold-back of an affected message is on the order of the delay spread (about 14 ms at CV = 1), so the mean penalty is small but the tail grows with variability: the P99 hold-back over all messages reaches 195 ms at P = 10 and CV = 2.</w:t>
      </w:r>
    </w:p>
    <w:p>
      <w:pPr>
        <w:spacing w:after="60" w:before="120"/>
      </w:pPr>
      <w:r>
        <w:rPr>
          <w:rFonts w:ascii="Times New Roman" w:hAnsi="Times New Roman" w:cs="Times New Roman"/>
          <w:b/>
          <w:sz w:val="24"/>
        </w:rPr>
        <w:t>4.4   Consistency Choices Under CAP</w:t>
      </w:r>
    </w:p>
    <w:p>
      <w:pPr>
        <w:spacing w:after="120" w:before="0"/>
        <w:jc w:val="both"/>
      </w:pPr>
      <w:r>
        <w:rPr>
          <w:rFonts w:ascii="Times New Roman" w:hAnsi="Times New Roman" w:cs="Times New Roman"/>
          <w:sz w:val="22"/>
        </w:rPr>
        <w:t>The CAP theorem [9,10] forces a replicated broker to choose between consistency and availability during a partition. A CP design keeps a single order of updates through consensus or atomic commit, and therefore pays the costs measured above on every operation; an AP design acknowledges locally and reconciles later, avoiding them at the price of temporarily inconsistent reads. Our measurements put numbers on the CP side of this choice for a 10-thread pool: causal delivery costs only hold-back proportional to delay jitter; Raft costs 7% of capacity on a LAN and 36% on a WAN; and 2PC costs 28% even with perfectly available replicas and 42% with 1% replica unavailability. We do not simulate partitions, so we make no quantitative availability claims.</w:t>
      </w:r>
    </w:p>
    <w:p>
      <w:pPr>
        <w:spacing w:after="80" w:before="200"/>
      </w:pPr>
      <w:r>
        <w:rPr>
          <w:rFonts w:ascii="Times New Roman" w:hAnsi="Times New Roman" w:cs="Times New Roman"/>
          <w:b/>
          <w:sz w:val="28"/>
        </w:rPr>
        <w:t>5   Threading Architectures</w:t>
      </w:r>
    </w:p>
    <w:p>
      <w:pPr>
        <w:spacing w:after="120" w:before="0"/>
        <w:jc w:val="both"/>
      </w:pPr>
      <w:r>
        <w:rPr>
          <w:rFonts w:ascii="Times New Roman" w:hAnsi="Times New Roman" w:cs="Times New Roman"/>
          <w:sz w:val="22"/>
        </w:rPr>
        <w:t>We compare two thread-pool architectures with N = 20 threads and μ = 12 msg/s per thread against an ideal M/M/20 pool, sweeping ρ = λ/(Nμ) from 0.5 to 0.9 (2000 s runs, 200 s warm-up, 10 replications). In the dedicated design each connection reserves two threads, so at most N/2 = 10 connections are active and further arrivals are rejected. Each accepted message is served at rate μ, so this design is exactly an M/M/10/10 loss system whose rejection probability is Erlang-B. In the shared design all messages queue for the common pool, and contention stretches each service time by a factor that grows with the number of busy threads:</w:t>
      </w:r>
    </w:p>
    <w:p>
      <w:pPr>
        <w:spacing w:after="120" w:before="40"/>
        <w:jc w:val="center"/>
      </w:pPr>
      <w:r>
        <w:rPr>
          <w:rFonts w:ascii="Times New Roman" w:hAnsi="Times New Roman" w:cs="Times New Roman"/>
          <w:sz w:val="22"/>
        </w:rPr>
        <w:t>Dedicated:  P_reject = B(N/2, λ/μ),   X = λ·(1 − B)                    (4)</w:t>
      </w:r>
    </w:p>
    <w:p>
      <w:pPr>
        <w:spacing w:after="120" w:before="40"/>
        <w:jc w:val="center"/>
      </w:pPr>
      <w:r>
        <w:rPr>
          <w:rFonts w:ascii="Times New Roman" w:hAnsi="Times New Roman" w:cs="Times New Roman"/>
          <w:sz w:val="22"/>
        </w:rPr>
        <w:t>Shared:  S = S_base·(1 + α·N_busy/N),   α = 0.1                        (5)</w:t>
      </w:r>
    </w:p>
    <w:p>
      <w:pPr>
        <w:spacing w:after="80" w:before="40"/>
        <w:jc w:val="center"/>
      </w:pPr>
      <w:r>
        <w:rPr>
          <w:rFonts w:ascii="Times New Roman" w:hAnsi="Times New Roman" w:cs="Times New Roman"/>
          <w:b/>
          <w:sz w:val="19"/>
        </w:rPr>
        <w:t>Table 10:</w:t>
      </w:r>
      <w:r>
        <w:rPr>
          <w:rFonts w:ascii="Times New Roman" w:hAnsi="Times New Roman" w:cs="Times New Roman"/>
          <w:sz w:val="19"/>
        </w:rPr>
        <w:t xml:space="preserve"> Threading architectures (mean ± 95% CI, 10 replications). Analytical values: M/M/20 for the baseline, Erlang-B for the dedicated pool.</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spacing w:after="20" w:before="20"/>
              <w:jc w:val="center"/>
            </w:pPr>
            <w:r/>
            <w:r>
              <w:rPr>
                <w:rFonts w:ascii="Times New Roman" w:hAnsi="Times New Roman" w:cs="Times New Roman"/>
                <w:b/>
                <w:sz w:val="19"/>
              </w:rPr>
              <w:t>ρ</w:t>
            </w:r>
          </w:p>
        </w:tc>
        <w:tc>
          <w:tcPr>
            <w:tcW w:type="dxa" w:w="1003"/>
          </w:tcPr>
          <w:p>
            <w:pPr>
              <w:spacing w:after="20" w:before="20"/>
              <w:jc w:val="center"/>
            </w:pPr>
            <w:r/>
            <w:r>
              <w:rPr>
                <w:rFonts w:ascii="Times New Roman" w:hAnsi="Times New Roman" w:cs="Times New Roman"/>
                <w:b/>
                <w:sz w:val="19"/>
              </w:rPr>
              <w:t>λ</w:t>
            </w:r>
          </w:p>
        </w:tc>
        <w:tc>
          <w:tcPr>
            <w:tcW w:type="dxa" w:w="1003"/>
          </w:tcPr>
          <w:p>
            <w:pPr>
              <w:spacing w:after="20" w:before="20"/>
              <w:jc w:val="center"/>
            </w:pPr>
            <w:r/>
            <w:r>
              <w:rPr>
                <w:rFonts w:ascii="Times New Roman" w:hAnsi="Times New Roman" w:cs="Times New Roman"/>
                <w:b/>
                <w:sz w:val="19"/>
              </w:rPr>
              <w:t>Baseline resp (s)</w:t>
            </w:r>
          </w:p>
        </w:tc>
        <w:tc>
          <w:tcPr>
            <w:tcW w:type="dxa" w:w="1003"/>
          </w:tcPr>
          <w:p>
            <w:pPr>
              <w:spacing w:after="20" w:before="20"/>
              <w:jc w:val="center"/>
            </w:pPr>
            <w:r/>
            <w:r>
              <w:rPr>
                <w:rFonts w:ascii="Times New Roman" w:hAnsi="Times New Roman" w:cs="Times New Roman"/>
                <w:b/>
                <w:sz w:val="19"/>
              </w:rPr>
              <w:t>M/M/20 exact (s)</w:t>
            </w:r>
          </w:p>
        </w:tc>
        <w:tc>
          <w:tcPr>
            <w:tcW w:type="dxa" w:w="1003"/>
          </w:tcPr>
          <w:p>
            <w:pPr>
              <w:spacing w:after="20" w:before="20"/>
              <w:jc w:val="center"/>
            </w:pPr>
            <w:r/>
            <w:r>
              <w:rPr>
                <w:rFonts w:ascii="Times New Roman" w:hAnsi="Times New Roman" w:cs="Times New Roman"/>
                <w:b/>
                <w:sz w:val="19"/>
              </w:rPr>
              <w:t>Shared resp (s)</w:t>
            </w:r>
          </w:p>
        </w:tc>
        <w:tc>
          <w:tcPr>
            <w:tcW w:type="dxa" w:w="1003"/>
          </w:tcPr>
          <w:p>
            <w:pPr>
              <w:spacing w:after="20" w:before="20"/>
              <w:jc w:val="center"/>
            </w:pPr>
            <w:r/>
            <w:r>
              <w:rPr>
                <w:rFonts w:ascii="Times New Roman" w:hAnsi="Times New Roman" w:cs="Times New Roman"/>
                <w:b/>
                <w:sz w:val="19"/>
              </w:rPr>
              <w:t>Dedicated resp (s)</w:t>
            </w:r>
          </w:p>
        </w:tc>
        <w:tc>
          <w:tcPr>
            <w:tcW w:type="dxa" w:w="1003"/>
          </w:tcPr>
          <w:p>
            <w:pPr>
              <w:spacing w:after="20" w:before="20"/>
              <w:jc w:val="center"/>
            </w:pPr>
            <w:r/>
            <w:r>
              <w:rPr>
                <w:rFonts w:ascii="Times New Roman" w:hAnsi="Times New Roman" w:cs="Times New Roman"/>
                <w:b/>
                <w:sz w:val="19"/>
              </w:rPr>
              <w:t>Dedicated X (msg/s)</w:t>
            </w:r>
          </w:p>
        </w:tc>
        <w:tc>
          <w:tcPr>
            <w:tcW w:type="dxa" w:w="1003"/>
          </w:tcPr>
          <w:p>
            <w:pPr>
              <w:spacing w:after="20" w:before="20"/>
              <w:jc w:val="center"/>
            </w:pPr>
            <w:r/>
            <w:r>
              <w:rPr>
                <w:rFonts w:ascii="Times New Roman" w:hAnsi="Times New Roman" w:cs="Times New Roman"/>
                <w:b/>
                <w:sz w:val="19"/>
              </w:rPr>
              <w:t>Erlang-B X</w:t>
            </w:r>
          </w:p>
        </w:tc>
        <w:tc>
          <w:tcPr>
            <w:tcW w:type="dxa" w:w="1003"/>
          </w:tcPr>
          <w:p>
            <w:pPr>
              <w:spacing w:after="20" w:before="20"/>
              <w:jc w:val="center"/>
            </w:pPr>
            <w:r/>
            <w:r>
              <w:rPr>
                <w:rFonts w:ascii="Times New Roman" w:hAnsi="Times New Roman" w:cs="Times New Roman"/>
                <w:b/>
                <w:sz w:val="19"/>
              </w:rPr>
              <w:t>Rejected</w:t>
            </w:r>
          </w:p>
        </w:tc>
      </w:tr>
      <w:tr>
        <w:tc>
          <w:tcPr>
            <w:tcW w:type="dxa" w:w="1003"/>
          </w:tcPr>
          <w:p>
            <w:pPr>
              <w:spacing w:after="20" w:before="20"/>
              <w:jc w:val="center"/>
            </w:pPr>
            <w:r/>
            <w:r>
              <w:rPr>
                <w:rFonts w:ascii="Times New Roman" w:hAnsi="Times New Roman" w:cs="Times New Roman"/>
                <w:b w:val="0"/>
                <w:sz w:val="19"/>
              </w:rPr>
              <w:t>0.5</w:t>
            </w:r>
          </w:p>
        </w:tc>
        <w:tc>
          <w:tcPr>
            <w:tcW w:type="dxa" w:w="1003"/>
          </w:tcPr>
          <w:p>
            <w:pPr>
              <w:spacing w:after="20" w:before="20"/>
              <w:jc w:val="center"/>
            </w:pPr>
            <w:r/>
            <w:r>
              <w:rPr>
                <w:rFonts w:ascii="Times New Roman" w:hAnsi="Times New Roman" w:cs="Times New Roman"/>
                <w:b w:val="0"/>
                <w:sz w:val="19"/>
              </w:rPr>
              <w:t>120</w:t>
            </w:r>
          </w:p>
        </w:tc>
        <w:tc>
          <w:tcPr>
            <w:tcW w:type="dxa" w:w="1003"/>
          </w:tcPr>
          <w:p>
            <w:pPr>
              <w:spacing w:after="20" w:before="20"/>
              <w:jc w:val="center"/>
            </w:pPr>
            <w:r/>
            <w:r>
              <w:rPr>
                <w:rFonts w:ascii="Times New Roman" w:hAnsi="Times New Roman" w:cs="Times New Roman"/>
                <w:b w:val="0"/>
                <w:sz w:val="19"/>
              </w:rPr>
              <w:t>0.0834 ± 0.0001</w:t>
            </w:r>
          </w:p>
        </w:tc>
        <w:tc>
          <w:tcPr>
            <w:tcW w:type="dxa" w:w="1003"/>
          </w:tcPr>
          <w:p>
            <w:pPr>
              <w:spacing w:after="20" w:before="20"/>
              <w:jc w:val="center"/>
            </w:pPr>
            <w:r/>
            <w:r>
              <w:rPr>
                <w:rFonts w:ascii="Times New Roman" w:hAnsi="Times New Roman" w:cs="Times New Roman"/>
                <w:b w:val="0"/>
                <w:sz w:val="19"/>
              </w:rPr>
              <w:t>0.0834</w:t>
            </w:r>
          </w:p>
        </w:tc>
        <w:tc>
          <w:tcPr>
            <w:tcW w:type="dxa" w:w="1003"/>
          </w:tcPr>
          <w:p>
            <w:pPr>
              <w:spacing w:after="20" w:before="20"/>
              <w:jc w:val="center"/>
            </w:pPr>
            <w:r/>
            <w:r>
              <w:rPr>
                <w:rFonts w:ascii="Times New Roman" w:hAnsi="Times New Roman" w:cs="Times New Roman"/>
                <w:b w:val="0"/>
                <w:sz w:val="19"/>
              </w:rPr>
              <w:t>0.0883 ± 0.0001</w:t>
            </w:r>
          </w:p>
        </w:tc>
        <w:tc>
          <w:tcPr>
            <w:tcW w:type="dxa" w:w="1003"/>
          </w:tcPr>
          <w:p>
            <w:pPr>
              <w:spacing w:after="20" w:before="20"/>
              <w:jc w:val="center"/>
            </w:pPr>
            <w:r/>
            <w:r>
              <w:rPr>
                <w:rFonts w:ascii="Times New Roman" w:hAnsi="Times New Roman" w:cs="Times New Roman"/>
                <w:b w:val="0"/>
                <w:sz w:val="19"/>
              </w:rPr>
              <w:t>0.0833 ± 0.0001</w:t>
            </w:r>
          </w:p>
        </w:tc>
        <w:tc>
          <w:tcPr>
            <w:tcW w:type="dxa" w:w="1003"/>
          </w:tcPr>
          <w:p>
            <w:pPr>
              <w:spacing w:after="20" w:before="20"/>
              <w:jc w:val="center"/>
            </w:pPr>
            <w:r/>
            <w:r>
              <w:rPr>
                <w:rFonts w:ascii="Times New Roman" w:hAnsi="Times New Roman" w:cs="Times New Roman"/>
                <w:b w:val="0"/>
                <w:sz w:val="19"/>
              </w:rPr>
              <w:t>94.2</w:t>
            </w:r>
          </w:p>
        </w:tc>
        <w:tc>
          <w:tcPr>
            <w:tcW w:type="dxa" w:w="1003"/>
          </w:tcPr>
          <w:p>
            <w:pPr>
              <w:spacing w:after="20" w:before="20"/>
              <w:jc w:val="center"/>
            </w:pPr>
            <w:r/>
            <w:r>
              <w:rPr>
                <w:rFonts w:ascii="Times New Roman" w:hAnsi="Times New Roman" w:cs="Times New Roman"/>
                <w:b w:val="0"/>
                <w:sz w:val="19"/>
              </w:rPr>
              <w:t>94.3</w:t>
            </w:r>
          </w:p>
        </w:tc>
        <w:tc>
          <w:tcPr>
            <w:tcW w:type="dxa" w:w="1003"/>
          </w:tcPr>
          <w:p>
            <w:pPr>
              <w:spacing w:after="20" w:before="20"/>
              <w:jc w:val="center"/>
            </w:pPr>
            <w:r/>
            <w:r>
              <w:rPr>
                <w:rFonts w:ascii="Times New Roman" w:hAnsi="Times New Roman" w:cs="Times New Roman"/>
                <w:b w:val="0"/>
                <w:sz w:val="19"/>
              </w:rPr>
              <w:t>21.4%</w:t>
            </w:r>
          </w:p>
        </w:tc>
      </w:tr>
      <w:tr>
        <w:tc>
          <w:tcPr>
            <w:tcW w:type="dxa" w:w="1003"/>
          </w:tcPr>
          <w:p>
            <w:pPr>
              <w:spacing w:after="20" w:before="20"/>
              <w:jc w:val="center"/>
            </w:pPr>
            <w:r/>
            <w:r>
              <w:rPr>
                <w:rFonts w:ascii="Times New Roman" w:hAnsi="Times New Roman" w:cs="Times New Roman"/>
                <w:b w:val="0"/>
                <w:sz w:val="19"/>
              </w:rPr>
              <w:t>0.6</w:t>
            </w:r>
          </w:p>
        </w:tc>
        <w:tc>
          <w:tcPr>
            <w:tcW w:type="dxa" w:w="1003"/>
          </w:tcPr>
          <w:p>
            <w:pPr>
              <w:spacing w:after="20" w:before="20"/>
              <w:jc w:val="center"/>
            </w:pPr>
            <w:r/>
            <w:r>
              <w:rPr>
                <w:rFonts w:ascii="Times New Roman" w:hAnsi="Times New Roman" w:cs="Times New Roman"/>
                <w:b w:val="0"/>
                <w:sz w:val="19"/>
              </w:rPr>
              <w:t>144</w:t>
            </w:r>
          </w:p>
        </w:tc>
        <w:tc>
          <w:tcPr>
            <w:tcW w:type="dxa" w:w="1003"/>
          </w:tcPr>
          <w:p>
            <w:pPr>
              <w:spacing w:after="20" w:before="20"/>
              <w:jc w:val="center"/>
            </w:pPr>
            <w:r/>
            <w:r>
              <w:rPr>
                <w:rFonts w:ascii="Times New Roman" w:hAnsi="Times New Roman" w:cs="Times New Roman"/>
                <w:b w:val="0"/>
                <w:sz w:val="19"/>
              </w:rPr>
              <w:t>0.0836 ± 0.0001</w:t>
            </w:r>
          </w:p>
        </w:tc>
        <w:tc>
          <w:tcPr>
            <w:tcW w:type="dxa" w:w="1003"/>
          </w:tcPr>
          <w:p>
            <w:pPr>
              <w:spacing w:after="20" w:before="20"/>
              <w:jc w:val="center"/>
            </w:pPr>
            <w:r/>
            <w:r>
              <w:rPr>
                <w:rFonts w:ascii="Times New Roman" w:hAnsi="Times New Roman" w:cs="Times New Roman"/>
                <w:b w:val="0"/>
                <w:sz w:val="19"/>
              </w:rPr>
              <w:t>0.0836</w:t>
            </w:r>
          </w:p>
        </w:tc>
        <w:tc>
          <w:tcPr>
            <w:tcW w:type="dxa" w:w="1003"/>
          </w:tcPr>
          <w:p>
            <w:pPr>
              <w:spacing w:after="20" w:before="20"/>
              <w:jc w:val="center"/>
            </w:pPr>
            <w:r/>
            <w:r>
              <w:rPr>
                <w:rFonts w:ascii="Times New Roman" w:hAnsi="Times New Roman" w:cs="Times New Roman"/>
                <w:b w:val="0"/>
                <w:sz w:val="19"/>
              </w:rPr>
              <w:t>0.0898 ± 0.0002</w:t>
            </w:r>
          </w:p>
        </w:tc>
        <w:tc>
          <w:tcPr>
            <w:tcW w:type="dxa" w:w="1003"/>
          </w:tcPr>
          <w:p>
            <w:pPr>
              <w:spacing w:after="20" w:before="20"/>
              <w:jc w:val="center"/>
            </w:pPr>
            <w:r/>
            <w:r>
              <w:rPr>
                <w:rFonts w:ascii="Times New Roman" w:hAnsi="Times New Roman" w:cs="Times New Roman"/>
                <w:b w:val="0"/>
                <w:sz w:val="19"/>
              </w:rPr>
              <w:t>0.0834 ± 0.0002</w:t>
            </w:r>
          </w:p>
        </w:tc>
        <w:tc>
          <w:tcPr>
            <w:tcW w:type="dxa" w:w="1003"/>
          </w:tcPr>
          <w:p>
            <w:pPr>
              <w:spacing w:after="20" w:before="20"/>
              <w:jc w:val="center"/>
            </w:pPr>
            <w:r/>
            <w:r>
              <w:rPr>
                <w:rFonts w:ascii="Times New Roman" w:hAnsi="Times New Roman" w:cs="Times New Roman"/>
                <w:b w:val="0"/>
                <w:sz w:val="19"/>
              </w:rPr>
              <w:t>100.5</w:t>
            </w:r>
          </w:p>
        </w:tc>
        <w:tc>
          <w:tcPr>
            <w:tcW w:type="dxa" w:w="1003"/>
          </w:tcPr>
          <w:p>
            <w:pPr>
              <w:spacing w:after="20" w:before="20"/>
              <w:jc w:val="center"/>
            </w:pPr>
            <w:r/>
            <w:r>
              <w:rPr>
                <w:rFonts w:ascii="Times New Roman" w:hAnsi="Times New Roman" w:cs="Times New Roman"/>
                <w:b w:val="0"/>
                <w:sz w:val="19"/>
              </w:rPr>
              <w:t>100.5</w:t>
            </w:r>
          </w:p>
        </w:tc>
        <w:tc>
          <w:tcPr>
            <w:tcW w:type="dxa" w:w="1003"/>
          </w:tcPr>
          <w:p>
            <w:pPr>
              <w:spacing w:after="20" w:before="20"/>
              <w:jc w:val="center"/>
            </w:pPr>
            <w:r/>
            <w:r>
              <w:rPr>
                <w:rFonts w:ascii="Times New Roman" w:hAnsi="Times New Roman" w:cs="Times New Roman"/>
                <w:b w:val="0"/>
                <w:sz w:val="19"/>
              </w:rPr>
              <w:t>30.2%</w:t>
            </w:r>
          </w:p>
        </w:tc>
      </w:tr>
      <w:tr>
        <w:tc>
          <w:tcPr>
            <w:tcW w:type="dxa" w:w="1003"/>
          </w:tcPr>
          <w:p>
            <w:pPr>
              <w:spacing w:after="20" w:before="20"/>
              <w:jc w:val="center"/>
            </w:pPr>
            <w:r/>
            <w:r>
              <w:rPr>
                <w:rFonts w:ascii="Times New Roman" w:hAnsi="Times New Roman" w:cs="Times New Roman"/>
                <w:b w:val="0"/>
                <w:sz w:val="19"/>
              </w:rPr>
              <w:t>0.7</w:t>
            </w:r>
          </w:p>
        </w:tc>
        <w:tc>
          <w:tcPr>
            <w:tcW w:type="dxa" w:w="1003"/>
          </w:tcPr>
          <w:p>
            <w:pPr>
              <w:spacing w:after="20" w:before="20"/>
              <w:jc w:val="center"/>
            </w:pPr>
            <w:r/>
            <w:r>
              <w:rPr>
                <w:rFonts w:ascii="Times New Roman" w:hAnsi="Times New Roman" w:cs="Times New Roman"/>
                <w:b w:val="0"/>
                <w:sz w:val="19"/>
              </w:rPr>
              <w:t>168</w:t>
            </w:r>
          </w:p>
        </w:tc>
        <w:tc>
          <w:tcPr>
            <w:tcW w:type="dxa" w:w="1003"/>
          </w:tcPr>
          <w:p>
            <w:pPr>
              <w:spacing w:after="20" w:before="20"/>
              <w:jc w:val="center"/>
            </w:pPr>
            <w:r/>
            <w:r>
              <w:rPr>
                <w:rFonts w:ascii="Times New Roman" w:hAnsi="Times New Roman" w:cs="Times New Roman"/>
                <w:b w:val="0"/>
                <w:sz w:val="19"/>
              </w:rPr>
              <w:t>0.0847 ± 0.0001</w:t>
            </w:r>
          </w:p>
        </w:tc>
        <w:tc>
          <w:tcPr>
            <w:tcW w:type="dxa" w:w="1003"/>
          </w:tcPr>
          <w:p>
            <w:pPr>
              <w:spacing w:after="20" w:before="20"/>
              <w:jc w:val="center"/>
            </w:pPr>
            <w:r/>
            <w:r>
              <w:rPr>
                <w:rFonts w:ascii="Times New Roman" w:hAnsi="Times New Roman" w:cs="Times New Roman"/>
                <w:b w:val="0"/>
                <w:sz w:val="19"/>
              </w:rPr>
              <w:t>0.0846</w:t>
            </w:r>
          </w:p>
        </w:tc>
        <w:tc>
          <w:tcPr>
            <w:tcW w:type="dxa" w:w="1003"/>
          </w:tcPr>
          <w:p>
            <w:pPr>
              <w:spacing w:after="20" w:before="20"/>
              <w:jc w:val="center"/>
            </w:pPr>
            <w:r/>
            <w:r>
              <w:rPr>
                <w:rFonts w:ascii="Times New Roman" w:hAnsi="Times New Roman" w:cs="Times New Roman"/>
                <w:b w:val="0"/>
                <w:sz w:val="19"/>
              </w:rPr>
              <w:t>0.0935 ± 0.0001</w:t>
            </w:r>
          </w:p>
        </w:tc>
        <w:tc>
          <w:tcPr>
            <w:tcW w:type="dxa" w:w="1003"/>
          </w:tcPr>
          <w:p>
            <w:pPr>
              <w:spacing w:after="20" w:before="20"/>
              <w:jc w:val="center"/>
            </w:pPr>
            <w:r/>
            <w:r>
              <w:rPr>
                <w:rFonts w:ascii="Times New Roman" w:hAnsi="Times New Roman" w:cs="Times New Roman"/>
                <w:b w:val="0"/>
                <w:sz w:val="19"/>
              </w:rPr>
              <w:t>0.0834 ± 0.0001</w:t>
            </w:r>
          </w:p>
        </w:tc>
        <w:tc>
          <w:tcPr>
            <w:tcW w:type="dxa" w:w="1003"/>
          </w:tcPr>
          <w:p>
            <w:pPr>
              <w:spacing w:after="20" w:before="20"/>
              <w:jc w:val="center"/>
            </w:pPr>
            <w:r/>
            <w:r>
              <w:rPr>
                <w:rFonts w:ascii="Times New Roman" w:hAnsi="Times New Roman" w:cs="Times New Roman"/>
                <w:b w:val="0"/>
                <w:sz w:val="19"/>
              </w:rPr>
              <w:t>104.6</w:t>
            </w:r>
          </w:p>
        </w:tc>
        <w:tc>
          <w:tcPr>
            <w:tcW w:type="dxa" w:w="1003"/>
          </w:tcPr>
          <w:p>
            <w:pPr>
              <w:spacing w:after="20" w:before="20"/>
              <w:jc w:val="center"/>
            </w:pPr>
            <w:r/>
            <w:r>
              <w:rPr>
                <w:rFonts w:ascii="Times New Roman" w:hAnsi="Times New Roman" w:cs="Times New Roman"/>
                <w:b w:val="0"/>
                <w:sz w:val="19"/>
              </w:rPr>
              <w:t>104.6</w:t>
            </w:r>
          </w:p>
        </w:tc>
        <w:tc>
          <w:tcPr>
            <w:tcW w:type="dxa" w:w="1003"/>
          </w:tcPr>
          <w:p>
            <w:pPr>
              <w:spacing w:after="20" w:before="20"/>
              <w:jc w:val="center"/>
            </w:pPr>
            <w:r/>
            <w:r>
              <w:rPr>
                <w:rFonts w:ascii="Times New Roman" w:hAnsi="Times New Roman" w:cs="Times New Roman"/>
                <w:b w:val="0"/>
                <w:sz w:val="19"/>
              </w:rPr>
              <w:t>37.7%</w:t>
            </w:r>
          </w:p>
        </w:tc>
      </w:tr>
      <w:tr>
        <w:tc>
          <w:tcPr>
            <w:tcW w:type="dxa" w:w="1003"/>
          </w:tcPr>
          <w:p>
            <w:pPr>
              <w:spacing w:after="20" w:before="20"/>
              <w:jc w:val="center"/>
            </w:pPr>
            <w:r/>
            <w:r>
              <w:rPr>
                <w:rFonts w:ascii="Times New Roman" w:hAnsi="Times New Roman" w:cs="Times New Roman"/>
                <w:b w:val="0"/>
                <w:sz w:val="19"/>
              </w:rPr>
              <w:t>0.8</w:t>
            </w:r>
          </w:p>
        </w:tc>
        <w:tc>
          <w:tcPr>
            <w:tcW w:type="dxa" w:w="1003"/>
          </w:tcPr>
          <w:p>
            <w:pPr>
              <w:spacing w:after="20" w:before="20"/>
              <w:jc w:val="center"/>
            </w:pPr>
            <w:r/>
            <w:r>
              <w:rPr>
                <w:rFonts w:ascii="Times New Roman" w:hAnsi="Times New Roman" w:cs="Times New Roman"/>
                <w:b w:val="0"/>
                <w:sz w:val="19"/>
              </w:rPr>
              <w:t>192</w:t>
            </w:r>
          </w:p>
        </w:tc>
        <w:tc>
          <w:tcPr>
            <w:tcW w:type="dxa" w:w="1003"/>
          </w:tcPr>
          <w:p>
            <w:pPr>
              <w:spacing w:after="20" w:before="20"/>
              <w:jc w:val="center"/>
            </w:pPr>
            <w:r/>
            <w:r>
              <w:rPr>
                <w:rFonts w:ascii="Times New Roman" w:hAnsi="Times New Roman" w:cs="Times New Roman"/>
                <w:b w:val="0"/>
                <w:sz w:val="19"/>
              </w:rPr>
              <w:t>0.0888 ± 0.0002</w:t>
            </w:r>
          </w:p>
        </w:tc>
        <w:tc>
          <w:tcPr>
            <w:tcW w:type="dxa" w:w="1003"/>
          </w:tcPr>
          <w:p>
            <w:pPr>
              <w:spacing w:after="20" w:before="20"/>
              <w:jc w:val="center"/>
            </w:pPr>
            <w:r/>
            <w:r>
              <w:rPr>
                <w:rFonts w:ascii="Times New Roman" w:hAnsi="Times New Roman" w:cs="Times New Roman"/>
                <w:b w:val="0"/>
                <w:sz w:val="19"/>
              </w:rPr>
              <w:t>0.0887</w:t>
            </w:r>
          </w:p>
        </w:tc>
        <w:tc>
          <w:tcPr>
            <w:tcW w:type="dxa" w:w="1003"/>
          </w:tcPr>
          <w:p>
            <w:pPr>
              <w:spacing w:after="20" w:before="20"/>
              <w:jc w:val="center"/>
            </w:pPr>
            <w:r/>
            <w:r>
              <w:rPr>
                <w:rFonts w:ascii="Times New Roman" w:hAnsi="Times New Roman" w:cs="Times New Roman"/>
                <w:b w:val="0"/>
                <w:sz w:val="19"/>
              </w:rPr>
              <w:t>0.1092 ± 0.0007</w:t>
            </w:r>
          </w:p>
        </w:tc>
        <w:tc>
          <w:tcPr>
            <w:tcW w:type="dxa" w:w="1003"/>
          </w:tcPr>
          <w:p>
            <w:pPr>
              <w:spacing w:after="20" w:before="20"/>
              <w:jc w:val="center"/>
            </w:pPr>
            <w:r/>
            <w:r>
              <w:rPr>
                <w:rFonts w:ascii="Times New Roman" w:hAnsi="Times New Roman" w:cs="Times New Roman"/>
                <w:b w:val="0"/>
                <w:sz w:val="19"/>
              </w:rPr>
              <w:t>0.0834 ± 0.0001</w:t>
            </w:r>
          </w:p>
        </w:tc>
        <w:tc>
          <w:tcPr>
            <w:tcW w:type="dxa" w:w="1003"/>
          </w:tcPr>
          <w:p>
            <w:pPr>
              <w:spacing w:after="20" w:before="20"/>
              <w:jc w:val="center"/>
            </w:pPr>
            <w:r/>
            <w:r>
              <w:rPr>
                <w:rFonts w:ascii="Times New Roman" w:hAnsi="Times New Roman" w:cs="Times New Roman"/>
                <w:b w:val="0"/>
                <w:sz w:val="19"/>
              </w:rPr>
              <w:t>107.4</w:t>
            </w:r>
          </w:p>
        </w:tc>
        <w:tc>
          <w:tcPr>
            <w:tcW w:type="dxa" w:w="1003"/>
          </w:tcPr>
          <w:p>
            <w:pPr>
              <w:spacing w:after="20" w:before="20"/>
              <w:jc w:val="center"/>
            </w:pPr>
            <w:r/>
            <w:r>
              <w:rPr>
                <w:rFonts w:ascii="Times New Roman" w:hAnsi="Times New Roman" w:cs="Times New Roman"/>
                <w:b w:val="0"/>
                <w:sz w:val="19"/>
              </w:rPr>
              <w:t>107.4</w:t>
            </w:r>
          </w:p>
        </w:tc>
        <w:tc>
          <w:tcPr>
            <w:tcW w:type="dxa" w:w="1003"/>
          </w:tcPr>
          <w:p>
            <w:pPr>
              <w:spacing w:after="20" w:before="20"/>
              <w:jc w:val="center"/>
            </w:pPr>
            <w:r/>
            <w:r>
              <w:rPr>
                <w:rFonts w:ascii="Times New Roman" w:hAnsi="Times New Roman" w:cs="Times New Roman"/>
                <w:b w:val="0"/>
                <w:sz w:val="19"/>
              </w:rPr>
              <w:t>44.1%</w:t>
            </w:r>
          </w:p>
        </w:tc>
      </w:tr>
      <w:tr>
        <w:tc>
          <w:tcPr>
            <w:tcW w:type="dxa" w:w="1003"/>
          </w:tcPr>
          <w:p>
            <w:pPr>
              <w:spacing w:after="20" w:before="20"/>
              <w:jc w:val="center"/>
            </w:pPr>
            <w:r/>
            <w:r>
              <w:rPr>
                <w:rFonts w:ascii="Times New Roman" w:hAnsi="Times New Roman" w:cs="Times New Roman"/>
                <w:b w:val="0"/>
                <w:sz w:val="19"/>
              </w:rPr>
              <w:t>0.9</w:t>
            </w:r>
          </w:p>
        </w:tc>
        <w:tc>
          <w:tcPr>
            <w:tcW w:type="dxa" w:w="1003"/>
          </w:tcPr>
          <w:p>
            <w:pPr>
              <w:spacing w:after="20" w:before="20"/>
              <w:jc w:val="center"/>
            </w:pPr>
            <w:r/>
            <w:r>
              <w:rPr>
                <w:rFonts w:ascii="Times New Roman" w:hAnsi="Times New Roman" w:cs="Times New Roman"/>
                <w:b w:val="0"/>
                <w:sz w:val="19"/>
              </w:rPr>
              <w:t>216</w:t>
            </w:r>
          </w:p>
        </w:tc>
        <w:tc>
          <w:tcPr>
            <w:tcW w:type="dxa" w:w="1003"/>
          </w:tcPr>
          <w:p>
            <w:pPr>
              <w:spacing w:after="20" w:before="20"/>
              <w:jc w:val="center"/>
            </w:pPr>
            <w:r/>
            <w:r>
              <w:rPr>
                <w:rFonts w:ascii="Times New Roman" w:hAnsi="Times New Roman" w:cs="Times New Roman"/>
                <w:b w:val="0"/>
                <w:sz w:val="19"/>
              </w:rPr>
              <w:t>0.1065 ± 0.0009</w:t>
            </w:r>
          </w:p>
        </w:tc>
        <w:tc>
          <w:tcPr>
            <w:tcW w:type="dxa" w:w="1003"/>
          </w:tcPr>
          <w:p>
            <w:pPr>
              <w:spacing w:after="20" w:before="20"/>
              <w:jc w:val="center"/>
            </w:pPr>
            <w:r/>
            <w:r>
              <w:rPr>
                <w:rFonts w:ascii="Times New Roman" w:hAnsi="Times New Roman" w:cs="Times New Roman"/>
                <w:b w:val="0"/>
                <w:sz w:val="19"/>
              </w:rPr>
              <w:t>0.1063</w:t>
            </w:r>
          </w:p>
        </w:tc>
        <w:tc>
          <w:tcPr>
            <w:tcW w:type="dxa" w:w="1003"/>
          </w:tcPr>
          <w:p>
            <w:pPr>
              <w:spacing w:after="20" w:before="20"/>
              <w:jc w:val="center"/>
            </w:pPr>
            <w:r/>
            <w:r>
              <w:rPr>
                <w:rFonts w:ascii="Times New Roman" w:hAnsi="Times New Roman" w:cs="Times New Roman"/>
                <w:b w:val="0"/>
                <w:sz w:val="19"/>
              </w:rPr>
              <w:t>0.5075 ± 0.0838</w:t>
            </w:r>
          </w:p>
        </w:tc>
        <w:tc>
          <w:tcPr>
            <w:tcW w:type="dxa" w:w="1003"/>
          </w:tcPr>
          <w:p>
            <w:pPr>
              <w:spacing w:after="20" w:before="20"/>
              <w:jc w:val="center"/>
            </w:pPr>
            <w:r/>
            <w:r>
              <w:rPr>
                <w:rFonts w:ascii="Times New Roman" w:hAnsi="Times New Roman" w:cs="Times New Roman"/>
                <w:b w:val="0"/>
                <w:sz w:val="19"/>
              </w:rPr>
              <w:t>0.0834 ± 0.0001</w:t>
            </w:r>
          </w:p>
        </w:tc>
        <w:tc>
          <w:tcPr>
            <w:tcW w:type="dxa" w:w="1003"/>
          </w:tcPr>
          <w:p>
            <w:pPr>
              <w:spacing w:after="20" w:before="20"/>
              <w:jc w:val="center"/>
            </w:pPr>
            <w:r/>
            <w:r>
              <w:rPr>
                <w:rFonts w:ascii="Times New Roman" w:hAnsi="Times New Roman" w:cs="Times New Roman"/>
                <w:b w:val="0"/>
                <w:sz w:val="19"/>
              </w:rPr>
              <w:t>109.3</w:t>
            </w:r>
          </w:p>
        </w:tc>
        <w:tc>
          <w:tcPr>
            <w:tcW w:type="dxa" w:w="1003"/>
          </w:tcPr>
          <w:p>
            <w:pPr>
              <w:spacing w:after="20" w:before="20"/>
              <w:jc w:val="center"/>
            </w:pPr>
            <w:r/>
            <w:r>
              <w:rPr>
                <w:rFonts w:ascii="Times New Roman" w:hAnsi="Times New Roman" w:cs="Times New Roman"/>
                <w:b w:val="0"/>
                <w:sz w:val="19"/>
              </w:rPr>
              <w:t>109.4</w:t>
            </w:r>
          </w:p>
        </w:tc>
        <w:tc>
          <w:tcPr>
            <w:tcW w:type="dxa" w:w="1003"/>
          </w:tcPr>
          <w:p>
            <w:pPr>
              <w:spacing w:after="20" w:before="20"/>
              <w:jc w:val="center"/>
            </w:pPr>
            <w:r/>
            <w:r>
              <w:rPr>
                <w:rFonts w:ascii="Times New Roman" w:hAnsi="Times New Roman" w:cs="Times New Roman"/>
                <w:b w:val="0"/>
                <w:sz w:val="19"/>
              </w:rPr>
              <w:t>49.4%</w:t>
            </w:r>
          </w:p>
        </w:tc>
      </w:tr>
    </w:tbl>
    <w:p>
      <w:pPr>
        <w:spacing w:after="80" w:before="0"/>
      </w:pPr>
    </w:p>
    <w:p>
      <w:pPr>
        <w:spacing w:after="40" w:before="80"/>
        <w:jc w:val="center"/>
      </w:pPr>
      <w:r>
        <w:drawing>
          <wp:inline xmlns:a="http://schemas.openxmlformats.org/drawingml/2006/main" xmlns:pic="http://schemas.openxmlformats.org/drawingml/2006/picture">
            <wp:extent cx="5943600" cy="1824789"/>
            <wp:docPr id="9" name="Picture 9"/>
            <wp:cNvGraphicFramePr>
              <a:graphicFrameLocks noChangeAspect="1"/>
            </wp:cNvGraphicFramePr>
            <a:graphic>
              <a:graphicData uri="http://schemas.openxmlformats.org/drawingml/2006/picture">
                <pic:pic>
                  <pic:nvPicPr>
                    <pic:cNvPr id="0" name="fig4_threading.png"/>
                    <pic:cNvPicPr/>
                  </pic:nvPicPr>
                  <pic:blipFill>
                    <a:blip r:embed="rId17"/>
                    <a:stretch>
                      <a:fillRect/>
                    </a:stretch>
                  </pic:blipFill>
                  <pic:spPr>
                    <a:xfrm>
                      <a:off x="0" y="0"/>
                      <a:ext cx="5943600" cy="1824789"/>
                    </a:xfrm>
                    <a:prstGeom prst="rect"/>
                  </pic:spPr>
                </pic:pic>
              </a:graphicData>
            </a:graphic>
          </wp:inline>
        </w:drawing>
      </w:r>
    </w:p>
    <w:p>
      <w:pPr>
        <w:spacing w:after="80" w:before="40"/>
        <w:jc w:val="center"/>
      </w:pPr>
      <w:r>
        <w:rPr>
          <w:rFonts w:ascii="Times New Roman" w:hAnsi="Times New Roman" w:cs="Times New Roman"/>
          <w:b/>
          <w:sz w:val="19"/>
        </w:rPr>
        <w:t>Figure 9:</w:t>
      </w:r>
      <w:r>
        <w:rPr>
          <w:rFonts w:ascii="Times New Roman" w:hAnsi="Times New Roman" w:cs="Times New Roman"/>
          <w:sz w:val="19"/>
        </w:rPr>
        <w:t xml:space="preserve"> (A) Mean response time, (B) throughput, and (C) rejection rate versus offered utilization; × marks are exact M/M/20 and Erlang-B values.</w:t>
      </w:r>
    </w:p>
    <w:p>
      <w:pPr>
        <w:spacing w:after="120" w:before="0"/>
        <w:jc w:val="both"/>
      </w:pPr>
      <w:r>
        <w:rPr>
          <w:rFonts w:ascii="Times New Roman" w:hAnsi="Times New Roman" w:cs="Times New Roman"/>
          <w:sz w:val="22"/>
        </w:rPr>
        <w:t>The simulation reproduces both analytical models: baseline response times match M/M/20 within the 95% confidence interval at every load, and dedicated throughput and rejection match Erlang-B. The dedicated pool's response time is flat at 1/μ because admitted messages never queue, but it rejects 21.4% of arrivals at ρ = 0.5 and 49.4% at ρ = 0.9, capping throughput at 109.3 msg/s. The shared pool accepts all load but is 10.4% slower than the baseline at ρ = 0.7 and 4.8× slower at ρ = 0.9 (0.508 s versus 0.106 s, P95 1.43 s versus 0.29 s): the contention overhead raises the effective utilization, and near saturation even a 10% service-time inflation causes a disproportionate queueing delay. A dedicated pool therefore suits workloads that must bound latency and can shed load; a shared pool suits workloads that cannot reject requests, provided it is kept well below saturation.</w:t>
      </w:r>
    </w:p>
    <w:p>
      <w:pPr>
        <w:spacing w:after="80" w:before="200"/>
      </w:pPr>
      <w:r>
        <w:rPr>
          <w:rFonts w:ascii="Times New Roman" w:hAnsi="Times New Roman" w:cs="Times New Roman"/>
          <w:b/>
          <w:sz w:val="28"/>
        </w:rPr>
        <w:t>6   Queueing Extensions</w:t>
      </w:r>
    </w:p>
    <w:p>
      <w:pPr>
        <w:spacing w:after="60" w:before="120"/>
      </w:pPr>
      <w:r>
        <w:rPr>
          <w:rFonts w:ascii="Times New Roman" w:hAnsi="Times New Roman" w:cs="Times New Roman"/>
          <w:b/>
          <w:sz w:val="24"/>
        </w:rPr>
        <w:t>6.1   Heterogeneous Servers and Dispatch</w:t>
      </w:r>
    </w:p>
    <w:p>
      <w:pPr>
        <w:spacing w:after="120" w:before="0"/>
        <w:jc w:val="both"/>
      </w:pPr>
      <w:r>
        <w:rPr>
          <w:rFonts w:ascii="Times New Roman" w:hAnsi="Times New Roman" w:cs="Times New Roman"/>
          <w:sz w:val="22"/>
        </w:rPr>
        <w:t>Real deployments mix instance types. We model groups of n_i servers with rate μ_i, each group with its own FCFS queue, and a dispatcher that assigns each arrival to a group. Under a static probabilistic split, group i receives a Poisson stream of rate λ_i and is an exact M/M/n_i queue, so the overall mean wait and the stability condition are</w:t>
      </w:r>
    </w:p>
    <w:p>
      <w:pPr>
        <w:spacing w:after="120" w:before="40"/>
        <w:jc w:val="center"/>
      </w:pPr>
      <w:r>
        <w:rPr>
          <w:rFonts w:ascii="Times New Roman" w:hAnsi="Times New Roman" w:cs="Times New Roman"/>
          <w:sz w:val="22"/>
        </w:rPr>
        <w:t>Wq = Σ_i (λ_i/λ)·Wq^{M/M/n_i}(λ_i, μ_i),   stable ⇔ λ_i &lt; n_i·μ_i ∀ i      (6)</w:t>
      </w:r>
    </w:p>
    <w:p>
      <w:pPr>
        <w:spacing w:after="120" w:before="0"/>
        <w:jc w:val="both"/>
      </w:pPr>
      <w:r>
        <w:rPr>
          <w:rFonts w:ascii="Times New Roman" w:hAnsi="Times New Roman" w:cs="Times New Roman"/>
          <w:sz w:val="22"/>
        </w:rPr>
        <w:t>Aggregate stability, λ &lt; Σ n_i·μ_i, is not sufficient. We compare per-server random dispatch (each server receives λ/N regardless of speed), capacity-weighted random dispatch (λ_i ∝ n_i·μ_i, so every group runs at the aggregate ρ), and four dynamic policies, at λ = 50 msg/s for five configurations of five servers (2000 s runs, 200 s warm-up, 10 replications).</w:t>
      </w:r>
    </w:p>
    <w:p>
      <w:pPr>
        <w:spacing w:after="80" w:before="40"/>
        <w:jc w:val="center"/>
      </w:pPr>
      <w:r>
        <w:rPr>
          <w:rFonts w:ascii="Times New Roman" w:hAnsi="Times New Roman" w:cs="Times New Roman"/>
          <w:b/>
          <w:sz w:val="19"/>
        </w:rPr>
        <w:t>Table 11:</w:t>
      </w:r>
      <w:r>
        <w:rPr>
          <w:rFonts w:ascii="Times New Roman" w:hAnsi="Times New Roman" w:cs="Times New Roman"/>
          <w:sz w:val="19"/>
        </w:rPr>
        <w:t xml:space="preserve"> Heterogeneous servers (mean wait, s; mean ± 95% CI). ρ_max is the largest per-group utilization under per-server random dispatch.</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after="20" w:before="20"/>
              <w:jc w:val="center"/>
            </w:pPr>
            <w:r/>
            <w:r>
              <w:rPr>
                <w:rFonts w:ascii="Times New Roman" w:hAnsi="Times New Roman" w:cs="Times New Roman"/>
                <w:b/>
                <w:sz w:val="19"/>
              </w:rPr>
              <w:t>Configuration</w:t>
            </w:r>
          </w:p>
        </w:tc>
        <w:tc>
          <w:tcPr>
            <w:tcW w:type="dxa" w:w="1290"/>
          </w:tcPr>
          <w:p>
            <w:pPr>
              <w:spacing w:after="20" w:before="20"/>
              <w:jc w:val="center"/>
            </w:pPr>
            <w:r/>
            <w:r>
              <w:rPr>
                <w:rFonts w:ascii="Times New Roman" w:hAnsi="Times New Roman" w:cs="Times New Roman"/>
                <w:b/>
                <w:sz w:val="19"/>
              </w:rPr>
              <w:t>Capacity</w:t>
            </w:r>
          </w:p>
        </w:tc>
        <w:tc>
          <w:tcPr>
            <w:tcW w:type="dxa" w:w="1290"/>
          </w:tcPr>
          <w:p>
            <w:pPr>
              <w:spacing w:after="20" w:before="20"/>
              <w:jc w:val="center"/>
            </w:pPr>
            <w:r/>
            <w:r>
              <w:rPr>
                <w:rFonts w:ascii="Times New Roman" w:hAnsi="Times New Roman" w:cs="Times New Roman"/>
                <w:b/>
                <w:sz w:val="19"/>
              </w:rPr>
              <w:t>ρ_max (random)</w:t>
            </w:r>
          </w:p>
        </w:tc>
        <w:tc>
          <w:tcPr>
            <w:tcW w:type="dxa" w:w="1290"/>
          </w:tcPr>
          <w:p>
            <w:pPr>
              <w:spacing w:after="20" w:before="20"/>
              <w:jc w:val="center"/>
            </w:pPr>
            <w:r/>
            <w:r>
              <w:rPr>
                <w:rFonts w:ascii="Times New Roman" w:hAnsi="Times New Roman" w:cs="Times New Roman"/>
                <w:b/>
                <w:sz w:val="19"/>
              </w:rPr>
              <w:t>Random (per server)</w:t>
            </w:r>
          </w:p>
        </w:tc>
        <w:tc>
          <w:tcPr>
            <w:tcW w:type="dxa" w:w="1290"/>
          </w:tcPr>
          <w:p>
            <w:pPr>
              <w:spacing w:after="20" w:before="20"/>
              <w:jc w:val="center"/>
            </w:pPr>
            <w:r/>
            <w:r>
              <w:rPr>
                <w:rFonts w:ascii="Times New Roman" w:hAnsi="Times New Roman" w:cs="Times New Roman"/>
                <w:b/>
                <w:sz w:val="19"/>
              </w:rPr>
              <w:t>Random (capacity)</w:t>
            </w:r>
          </w:p>
        </w:tc>
        <w:tc>
          <w:tcPr>
            <w:tcW w:type="dxa" w:w="1290"/>
          </w:tcPr>
          <w:p>
            <w:pPr>
              <w:spacing w:after="20" w:before="20"/>
              <w:jc w:val="center"/>
            </w:pPr>
            <w:r/>
            <w:r>
              <w:rPr>
                <w:rFonts w:ascii="Times New Roman" w:hAnsi="Times New Roman" w:cs="Times New Roman"/>
                <w:b/>
                <w:sz w:val="19"/>
              </w:rPr>
              <w:t>Exact, capacity split</w:t>
            </w:r>
          </w:p>
        </w:tc>
        <w:tc>
          <w:tcPr>
            <w:tcW w:type="dxa" w:w="1290"/>
          </w:tcPr>
          <w:p>
            <w:pPr>
              <w:spacing w:after="20" w:before="20"/>
              <w:jc w:val="center"/>
            </w:pPr>
            <w:r/>
            <w:r>
              <w:rPr>
                <w:rFonts w:ascii="Times New Roman" w:hAnsi="Times New Roman" w:cs="Times New Roman"/>
                <w:b/>
                <w:sz w:val="19"/>
              </w:rPr>
              <w:t>Shortest queue</w:t>
            </w:r>
          </w:p>
        </w:tc>
      </w:tr>
      <w:tr>
        <w:tc>
          <w:tcPr>
            <w:tcW w:type="dxa" w:w="1290"/>
          </w:tcPr>
          <w:p>
            <w:pPr>
              <w:spacing w:after="20" w:before="20"/>
              <w:jc w:val="center"/>
            </w:pPr>
            <w:r/>
            <w:r>
              <w:rPr>
                <w:rFonts w:ascii="Times New Roman" w:hAnsi="Times New Roman" w:cs="Times New Roman"/>
                <w:b w:val="0"/>
                <w:sz w:val="19"/>
              </w:rPr>
              <w:t>Homogeneous (5@12)</w:t>
            </w:r>
          </w:p>
        </w:tc>
        <w:tc>
          <w:tcPr>
            <w:tcW w:type="dxa" w:w="1290"/>
          </w:tcPr>
          <w:p>
            <w:pPr>
              <w:spacing w:after="20" w:before="20"/>
              <w:jc w:val="center"/>
            </w:pPr>
            <w:r/>
            <w:r>
              <w:rPr>
                <w:rFonts w:ascii="Times New Roman" w:hAnsi="Times New Roman" w:cs="Times New Roman"/>
                <w:b w:val="0"/>
                <w:sz w:val="19"/>
              </w:rPr>
              <w:t>60</w:t>
            </w:r>
          </w:p>
        </w:tc>
        <w:tc>
          <w:tcPr>
            <w:tcW w:type="dxa" w:w="1290"/>
          </w:tcPr>
          <w:p>
            <w:pPr>
              <w:spacing w:after="20" w:before="20"/>
              <w:jc w:val="center"/>
            </w:pPr>
            <w:r/>
            <w:r>
              <w:rPr>
                <w:rFonts w:ascii="Times New Roman" w:hAnsi="Times New Roman" w:cs="Times New Roman"/>
                <w:b w:val="0"/>
                <w:sz w:val="19"/>
              </w:rPr>
              <w:t>0.83</w:t>
            </w:r>
          </w:p>
        </w:tc>
        <w:tc>
          <w:tcPr>
            <w:tcW w:type="dxa" w:w="1290"/>
          </w:tcPr>
          <w:p>
            <w:pPr>
              <w:spacing w:after="20" w:before="20"/>
              <w:jc w:val="center"/>
            </w:pPr>
            <w:r/>
            <w:r>
              <w:rPr>
                <w:rFonts w:ascii="Times New Roman" w:hAnsi="Times New Roman" w:cs="Times New Roman"/>
                <w:b w:val="0"/>
                <w:sz w:val="19"/>
              </w:rPr>
              <w:t>0.061 ± 0.002</w:t>
            </w:r>
          </w:p>
        </w:tc>
        <w:tc>
          <w:tcPr>
            <w:tcW w:type="dxa" w:w="1290"/>
          </w:tcPr>
          <w:p>
            <w:pPr>
              <w:spacing w:after="20" w:before="20"/>
              <w:jc w:val="center"/>
            </w:pPr>
            <w:r/>
            <w:r>
              <w:rPr>
                <w:rFonts w:ascii="Times New Roman" w:hAnsi="Times New Roman" w:cs="Times New Roman"/>
                <w:b w:val="0"/>
                <w:sz w:val="19"/>
              </w:rPr>
              <w:t>0.061 ± 0.002</w:t>
            </w:r>
          </w:p>
        </w:tc>
        <w:tc>
          <w:tcPr>
            <w:tcW w:type="dxa" w:w="1290"/>
          </w:tcPr>
          <w:p>
            <w:pPr>
              <w:spacing w:after="20" w:before="20"/>
              <w:jc w:val="center"/>
            </w:pPr>
            <w:r/>
            <w:r>
              <w:rPr>
                <w:rFonts w:ascii="Times New Roman" w:hAnsi="Times New Roman" w:cs="Times New Roman"/>
                <w:b w:val="0"/>
                <w:sz w:val="19"/>
              </w:rPr>
              <w:t>0.062</w:t>
            </w:r>
          </w:p>
        </w:tc>
        <w:tc>
          <w:tcPr>
            <w:tcW w:type="dxa" w:w="1290"/>
          </w:tcPr>
          <w:p>
            <w:pPr>
              <w:spacing w:after="20" w:before="20"/>
              <w:jc w:val="center"/>
            </w:pPr>
            <w:r/>
            <w:r>
              <w:rPr>
                <w:rFonts w:ascii="Times New Roman" w:hAnsi="Times New Roman" w:cs="Times New Roman"/>
                <w:b w:val="0"/>
                <w:sz w:val="19"/>
              </w:rPr>
              <w:t>0.060 ± 0.002</w:t>
            </w:r>
          </w:p>
        </w:tc>
      </w:tr>
      <w:tr>
        <w:tc>
          <w:tcPr>
            <w:tcW w:type="dxa" w:w="1290"/>
          </w:tcPr>
          <w:p>
            <w:pPr>
              <w:spacing w:after="20" w:before="20"/>
              <w:jc w:val="center"/>
            </w:pPr>
            <w:r/>
            <w:r>
              <w:rPr>
                <w:rFonts w:ascii="Times New Roman" w:hAnsi="Times New Roman" w:cs="Times New Roman"/>
                <w:b w:val="0"/>
                <w:sz w:val="19"/>
              </w:rPr>
              <w:t>Low variance (3@11 + 2@13.5)</w:t>
            </w:r>
          </w:p>
        </w:tc>
        <w:tc>
          <w:tcPr>
            <w:tcW w:type="dxa" w:w="1290"/>
          </w:tcPr>
          <w:p>
            <w:pPr>
              <w:spacing w:after="20" w:before="20"/>
              <w:jc w:val="center"/>
            </w:pPr>
            <w:r/>
            <w:r>
              <w:rPr>
                <w:rFonts w:ascii="Times New Roman" w:hAnsi="Times New Roman" w:cs="Times New Roman"/>
                <w:b w:val="0"/>
                <w:sz w:val="19"/>
              </w:rPr>
              <w:t>60</w:t>
            </w:r>
          </w:p>
        </w:tc>
        <w:tc>
          <w:tcPr>
            <w:tcW w:type="dxa" w:w="1290"/>
          </w:tcPr>
          <w:p>
            <w:pPr>
              <w:spacing w:after="20" w:before="20"/>
              <w:jc w:val="center"/>
            </w:pPr>
            <w:r/>
            <w:r>
              <w:rPr>
                <w:rFonts w:ascii="Times New Roman" w:hAnsi="Times New Roman" w:cs="Times New Roman"/>
                <w:b w:val="0"/>
                <w:sz w:val="19"/>
              </w:rPr>
              <w:t>0.91</w:t>
            </w:r>
          </w:p>
        </w:tc>
        <w:tc>
          <w:tcPr>
            <w:tcW w:type="dxa" w:w="1290"/>
          </w:tcPr>
          <w:p>
            <w:pPr>
              <w:spacing w:after="20" w:before="20"/>
              <w:jc w:val="center"/>
            </w:pPr>
            <w:r/>
            <w:r>
              <w:rPr>
                <w:rFonts w:ascii="Times New Roman" w:hAnsi="Times New Roman" w:cs="Times New Roman"/>
                <w:b w:val="0"/>
                <w:sz w:val="19"/>
              </w:rPr>
              <w:t>0.207 ± 0.009</w:t>
            </w:r>
          </w:p>
        </w:tc>
        <w:tc>
          <w:tcPr>
            <w:tcW w:type="dxa" w:w="1290"/>
          </w:tcPr>
          <w:p>
            <w:pPr>
              <w:spacing w:after="20" w:before="20"/>
              <w:jc w:val="center"/>
            </w:pPr>
            <w:r/>
            <w:r>
              <w:rPr>
                <w:rFonts w:ascii="Times New Roman" w:hAnsi="Times New Roman" w:cs="Times New Roman"/>
                <w:b w:val="0"/>
                <w:sz w:val="19"/>
              </w:rPr>
              <w:t>0.146 ± 0.004</w:t>
            </w:r>
          </w:p>
        </w:tc>
        <w:tc>
          <w:tcPr>
            <w:tcW w:type="dxa" w:w="1290"/>
          </w:tcPr>
          <w:p>
            <w:pPr>
              <w:spacing w:after="20" w:before="20"/>
              <w:jc w:val="center"/>
            </w:pPr>
            <w:r/>
            <w:r>
              <w:rPr>
                <w:rFonts w:ascii="Times New Roman" w:hAnsi="Times New Roman" w:cs="Times New Roman"/>
                <w:b w:val="0"/>
                <w:sz w:val="19"/>
              </w:rPr>
              <w:t>0.146</w:t>
            </w:r>
          </w:p>
        </w:tc>
        <w:tc>
          <w:tcPr>
            <w:tcW w:type="dxa" w:w="1290"/>
          </w:tcPr>
          <w:p>
            <w:pPr>
              <w:spacing w:after="20" w:before="20"/>
              <w:jc w:val="center"/>
            </w:pPr>
            <w:r/>
            <w:r>
              <w:rPr>
                <w:rFonts w:ascii="Times New Roman" w:hAnsi="Times New Roman" w:cs="Times New Roman"/>
                <w:b w:val="0"/>
                <w:sz w:val="19"/>
              </w:rPr>
              <w:t>0.072 ± 0.003</w:t>
            </w:r>
          </w:p>
        </w:tc>
      </w:tr>
      <w:tr>
        <w:tc>
          <w:tcPr>
            <w:tcW w:type="dxa" w:w="1290"/>
          </w:tcPr>
          <w:p>
            <w:pPr>
              <w:spacing w:after="20" w:before="20"/>
              <w:jc w:val="center"/>
            </w:pPr>
            <w:r/>
            <w:r>
              <w:rPr>
                <w:rFonts w:ascii="Times New Roman" w:hAnsi="Times New Roman" w:cs="Times New Roman"/>
                <w:b w:val="0"/>
                <w:sz w:val="19"/>
              </w:rPr>
              <w:t>Medium variance (3@10 + 2@15)</w:t>
            </w:r>
          </w:p>
        </w:tc>
        <w:tc>
          <w:tcPr>
            <w:tcW w:type="dxa" w:w="1290"/>
          </w:tcPr>
          <w:p>
            <w:pPr>
              <w:spacing w:after="20" w:before="20"/>
              <w:jc w:val="center"/>
            </w:pPr>
            <w:r/>
            <w:r>
              <w:rPr>
                <w:rFonts w:ascii="Times New Roman" w:hAnsi="Times New Roman" w:cs="Times New Roman"/>
                <w:b w:val="0"/>
                <w:sz w:val="19"/>
              </w:rPr>
              <w:t>60</w:t>
            </w:r>
          </w:p>
        </w:tc>
        <w:tc>
          <w:tcPr>
            <w:tcW w:type="dxa" w:w="1290"/>
          </w:tcPr>
          <w:p>
            <w:pPr>
              <w:spacing w:after="20" w:before="20"/>
              <w:jc w:val="center"/>
            </w:pPr>
            <w:r/>
            <w:r>
              <w:rPr>
                <w:rFonts w:ascii="Times New Roman" w:hAnsi="Times New Roman" w:cs="Times New Roman"/>
                <w:b w:val="0"/>
                <w:sz w:val="19"/>
              </w:rPr>
              <w:t>1.00</w:t>
            </w:r>
          </w:p>
        </w:tc>
        <w:tc>
          <w:tcPr>
            <w:tcW w:type="dxa" w:w="1290"/>
          </w:tcPr>
          <w:p>
            <w:pPr>
              <w:spacing w:after="20" w:before="20"/>
              <w:jc w:val="center"/>
            </w:pPr>
            <w:r/>
            <w:r>
              <w:rPr>
                <w:rFonts w:ascii="Times New Roman" w:hAnsi="Times New Roman" w:cs="Times New Roman"/>
                <w:b w:val="0"/>
                <w:sz w:val="19"/>
              </w:rPr>
              <w:t>4.278 ± 1.804 (unstable)</w:t>
            </w:r>
          </w:p>
        </w:tc>
        <w:tc>
          <w:tcPr>
            <w:tcW w:type="dxa" w:w="1290"/>
          </w:tcPr>
          <w:p>
            <w:pPr>
              <w:spacing w:after="20" w:before="20"/>
              <w:jc w:val="center"/>
            </w:pPr>
            <w:r/>
            <w:r>
              <w:rPr>
                <w:rFonts w:ascii="Times New Roman" w:hAnsi="Times New Roman" w:cs="Times New Roman"/>
                <w:b w:val="0"/>
                <w:sz w:val="19"/>
              </w:rPr>
              <w:t>0.144 ± 0.002</w:t>
            </w:r>
          </w:p>
        </w:tc>
        <w:tc>
          <w:tcPr>
            <w:tcW w:type="dxa" w:w="1290"/>
          </w:tcPr>
          <w:p>
            <w:pPr>
              <w:spacing w:after="20" w:before="20"/>
              <w:jc w:val="center"/>
            </w:pPr>
            <w:r/>
            <w:r>
              <w:rPr>
                <w:rFonts w:ascii="Times New Roman" w:hAnsi="Times New Roman" w:cs="Times New Roman"/>
                <w:b w:val="0"/>
                <w:sz w:val="19"/>
              </w:rPr>
              <w:t>0.146</w:t>
            </w:r>
          </w:p>
        </w:tc>
        <w:tc>
          <w:tcPr>
            <w:tcW w:type="dxa" w:w="1290"/>
          </w:tcPr>
          <w:p>
            <w:pPr>
              <w:spacing w:after="20" w:before="20"/>
              <w:jc w:val="center"/>
            </w:pPr>
            <w:r/>
            <w:r>
              <w:rPr>
                <w:rFonts w:ascii="Times New Roman" w:hAnsi="Times New Roman" w:cs="Times New Roman"/>
                <w:b w:val="0"/>
                <w:sz w:val="19"/>
              </w:rPr>
              <w:t>0.077 ± 0.002</w:t>
            </w:r>
          </w:p>
        </w:tc>
      </w:tr>
      <w:tr>
        <w:tc>
          <w:tcPr>
            <w:tcW w:type="dxa" w:w="1290"/>
          </w:tcPr>
          <w:p>
            <w:pPr>
              <w:spacing w:after="20" w:before="20"/>
              <w:jc w:val="center"/>
            </w:pPr>
            <w:r/>
            <w:r>
              <w:rPr>
                <w:rFonts w:ascii="Times New Roman" w:hAnsi="Times New Roman" w:cs="Times New Roman"/>
                <w:b w:val="0"/>
                <w:sz w:val="19"/>
              </w:rPr>
              <w:t>High variance (2@8 + 3@15)</w:t>
            </w:r>
          </w:p>
        </w:tc>
        <w:tc>
          <w:tcPr>
            <w:tcW w:type="dxa" w:w="1290"/>
          </w:tcPr>
          <w:p>
            <w:pPr>
              <w:spacing w:after="20" w:before="20"/>
              <w:jc w:val="center"/>
            </w:pPr>
            <w:r/>
            <w:r>
              <w:rPr>
                <w:rFonts w:ascii="Times New Roman" w:hAnsi="Times New Roman" w:cs="Times New Roman"/>
                <w:b w:val="0"/>
                <w:sz w:val="19"/>
              </w:rPr>
              <w:t>61</w:t>
            </w:r>
          </w:p>
        </w:tc>
        <w:tc>
          <w:tcPr>
            <w:tcW w:type="dxa" w:w="1290"/>
          </w:tcPr>
          <w:p>
            <w:pPr>
              <w:spacing w:after="20" w:before="20"/>
              <w:jc w:val="center"/>
            </w:pPr>
            <w:r/>
            <w:r>
              <w:rPr>
                <w:rFonts w:ascii="Times New Roman" w:hAnsi="Times New Roman" w:cs="Times New Roman"/>
                <w:b w:val="0"/>
                <w:sz w:val="19"/>
              </w:rPr>
              <w:t>1.25</w:t>
            </w:r>
          </w:p>
        </w:tc>
        <w:tc>
          <w:tcPr>
            <w:tcW w:type="dxa" w:w="1290"/>
          </w:tcPr>
          <w:p>
            <w:pPr>
              <w:spacing w:after="20" w:before="20"/>
              <w:jc w:val="center"/>
            </w:pPr>
            <w:r/>
            <w:r>
              <w:rPr>
                <w:rFonts w:ascii="Times New Roman" w:hAnsi="Times New Roman" w:cs="Times New Roman"/>
                <w:b w:val="0"/>
                <w:sz w:val="19"/>
              </w:rPr>
              <w:t>76.401 ± 1.330 (unstable)</w:t>
            </w:r>
          </w:p>
        </w:tc>
        <w:tc>
          <w:tcPr>
            <w:tcW w:type="dxa" w:w="1290"/>
          </w:tcPr>
          <w:p>
            <w:pPr>
              <w:spacing w:after="20" w:before="20"/>
              <w:jc w:val="center"/>
            </w:pPr>
            <w:r/>
            <w:r>
              <w:rPr>
                <w:rFonts w:ascii="Times New Roman" w:hAnsi="Times New Roman" w:cs="Times New Roman"/>
                <w:b w:val="0"/>
                <w:sz w:val="19"/>
              </w:rPr>
              <w:t>0.128 ± 0.005</w:t>
            </w:r>
          </w:p>
        </w:tc>
        <w:tc>
          <w:tcPr>
            <w:tcW w:type="dxa" w:w="1290"/>
          </w:tcPr>
          <w:p>
            <w:pPr>
              <w:spacing w:after="20" w:before="20"/>
              <w:jc w:val="center"/>
            </w:pPr>
            <w:r/>
            <w:r>
              <w:rPr>
                <w:rFonts w:ascii="Times New Roman" w:hAnsi="Times New Roman" w:cs="Times New Roman"/>
                <w:b w:val="0"/>
                <w:sz w:val="19"/>
              </w:rPr>
              <w:t>0.129</w:t>
            </w:r>
          </w:p>
        </w:tc>
        <w:tc>
          <w:tcPr>
            <w:tcW w:type="dxa" w:w="1290"/>
          </w:tcPr>
          <w:p>
            <w:pPr>
              <w:spacing w:after="20" w:before="20"/>
              <w:jc w:val="center"/>
            </w:pPr>
            <w:r/>
            <w:r>
              <w:rPr>
                <w:rFonts w:ascii="Times New Roman" w:hAnsi="Times New Roman" w:cs="Times New Roman"/>
                <w:b w:val="0"/>
                <w:sz w:val="19"/>
              </w:rPr>
              <w:t>0.073 ± 0.002</w:t>
            </w:r>
          </w:p>
        </w:tc>
      </w:tr>
      <w:tr>
        <w:tc>
          <w:tcPr>
            <w:tcW w:type="dxa" w:w="1290"/>
          </w:tcPr>
          <w:p>
            <w:pPr>
              <w:spacing w:after="20" w:before="20"/>
              <w:jc w:val="center"/>
            </w:pPr>
            <w:r/>
            <w:r>
              <w:rPr>
                <w:rFonts w:ascii="Times New Roman" w:hAnsi="Times New Roman" w:cs="Times New Roman"/>
                <w:b w:val="0"/>
                <w:sz w:val="19"/>
              </w:rPr>
              <w:t>Very high variance (1@6 + 4@16)</w:t>
            </w:r>
          </w:p>
        </w:tc>
        <w:tc>
          <w:tcPr>
            <w:tcW w:type="dxa" w:w="1290"/>
          </w:tcPr>
          <w:p>
            <w:pPr>
              <w:spacing w:after="20" w:before="20"/>
              <w:jc w:val="center"/>
            </w:pPr>
            <w:r/>
            <w:r>
              <w:rPr>
                <w:rFonts w:ascii="Times New Roman" w:hAnsi="Times New Roman" w:cs="Times New Roman"/>
                <w:b w:val="0"/>
                <w:sz w:val="19"/>
              </w:rPr>
              <w:t>70</w:t>
            </w:r>
          </w:p>
        </w:tc>
        <w:tc>
          <w:tcPr>
            <w:tcW w:type="dxa" w:w="1290"/>
          </w:tcPr>
          <w:p>
            <w:pPr>
              <w:spacing w:after="20" w:before="20"/>
              <w:jc w:val="center"/>
            </w:pPr>
            <w:r/>
            <w:r>
              <w:rPr>
                <w:rFonts w:ascii="Times New Roman" w:hAnsi="Times New Roman" w:cs="Times New Roman"/>
                <w:b w:val="0"/>
                <w:sz w:val="19"/>
              </w:rPr>
              <w:t>1.67</w:t>
            </w:r>
          </w:p>
        </w:tc>
        <w:tc>
          <w:tcPr>
            <w:tcW w:type="dxa" w:w="1290"/>
          </w:tcPr>
          <w:p>
            <w:pPr>
              <w:spacing w:after="20" w:before="20"/>
              <w:jc w:val="center"/>
            </w:pPr>
            <w:r/>
            <w:r>
              <w:rPr>
                <w:rFonts w:ascii="Times New Roman" w:hAnsi="Times New Roman" w:cs="Times New Roman"/>
                <w:b w:val="0"/>
                <w:sz w:val="19"/>
              </w:rPr>
              <w:t>57.675 ± 0.464 (unstable)</w:t>
            </w:r>
          </w:p>
        </w:tc>
        <w:tc>
          <w:tcPr>
            <w:tcW w:type="dxa" w:w="1290"/>
          </w:tcPr>
          <w:p>
            <w:pPr>
              <w:spacing w:after="20" w:before="20"/>
              <w:jc w:val="center"/>
            </w:pPr>
            <w:r/>
            <w:r>
              <w:rPr>
                <w:rFonts w:ascii="Times New Roman" w:hAnsi="Times New Roman" w:cs="Times New Roman"/>
                <w:b w:val="0"/>
                <w:sz w:val="19"/>
              </w:rPr>
              <w:t>0.058 ± 0.003</w:t>
            </w:r>
          </w:p>
        </w:tc>
        <w:tc>
          <w:tcPr>
            <w:tcW w:type="dxa" w:w="1290"/>
          </w:tcPr>
          <w:p>
            <w:pPr>
              <w:spacing w:after="20" w:before="20"/>
              <w:jc w:val="center"/>
            </w:pPr>
            <w:r/>
            <w:r>
              <w:rPr>
                <w:rFonts w:ascii="Times New Roman" w:hAnsi="Times New Roman" w:cs="Times New Roman"/>
                <w:b w:val="0"/>
                <w:sz w:val="19"/>
              </w:rPr>
              <w:t>0.058</w:t>
            </w:r>
          </w:p>
        </w:tc>
        <w:tc>
          <w:tcPr>
            <w:tcW w:type="dxa" w:w="1290"/>
          </w:tcPr>
          <w:p>
            <w:pPr>
              <w:spacing w:after="20" w:before="20"/>
              <w:jc w:val="center"/>
            </w:pPr>
            <w:r/>
            <w:r>
              <w:rPr>
                <w:rFonts w:ascii="Times New Roman" w:hAnsi="Times New Roman" w:cs="Times New Roman"/>
                <w:b w:val="0"/>
                <w:sz w:val="19"/>
              </w:rPr>
              <w:t>0.040 ± 0.001</w:t>
            </w:r>
          </w:p>
        </w:tc>
      </w:tr>
    </w:tbl>
    <w:p>
      <w:pPr>
        <w:spacing w:after="80" w:before="0"/>
      </w:pPr>
    </w:p>
    <w:p>
      <w:pPr>
        <w:spacing w:after="40" w:before="80"/>
        <w:jc w:val="center"/>
      </w:pPr>
      <w:r>
        <w:drawing>
          <wp:inline xmlns:a="http://schemas.openxmlformats.org/drawingml/2006/main" xmlns:pic="http://schemas.openxmlformats.org/drawingml/2006/picture">
            <wp:extent cx="5486400" cy="2777036"/>
            <wp:docPr id="10" name="Picture 10"/>
            <wp:cNvGraphicFramePr>
              <a:graphicFrameLocks noChangeAspect="1"/>
            </wp:cNvGraphicFramePr>
            <a:graphic>
              <a:graphicData uri="http://schemas.openxmlformats.org/drawingml/2006/picture">
                <pic:pic>
                  <pic:nvPicPr>
                    <pic:cNvPr id="0" name="fig6_heterogeneity.png"/>
                    <pic:cNvPicPr/>
                  </pic:nvPicPr>
                  <pic:blipFill>
                    <a:blip r:embed="rId18"/>
                    <a:stretch>
                      <a:fillRect/>
                    </a:stretch>
                  </pic:blipFill>
                  <pic:spPr>
                    <a:xfrm>
                      <a:off x="0" y="0"/>
                      <a:ext cx="5486400" cy="2777036"/>
                    </a:xfrm>
                    <a:prstGeom prst="rect"/>
                  </pic:spPr>
                </pic:pic>
              </a:graphicData>
            </a:graphic>
          </wp:inline>
        </w:drawing>
      </w:r>
    </w:p>
    <w:p>
      <w:pPr>
        <w:spacing w:after="80" w:before="40"/>
        <w:jc w:val="center"/>
      </w:pPr>
      <w:r>
        <w:rPr>
          <w:rFonts w:ascii="Times New Roman" w:hAnsi="Times New Roman" w:cs="Times New Roman"/>
          <w:b/>
          <w:sz w:val="19"/>
        </w:rPr>
        <w:t>Figure 10:</w:t>
      </w:r>
      <w:r>
        <w:rPr>
          <w:rFonts w:ascii="Times New Roman" w:hAnsi="Times New Roman" w:cs="Times New Roman"/>
          <w:sz w:val="19"/>
        </w:rPr>
        <w:t xml:space="preserve"> Mean waiting time by configuration and dispatch policy (log scale); black marks are the exact value of Eq. (6) for static policies.</w:t>
      </w:r>
    </w:p>
    <w:p>
      <w:pPr>
        <w:spacing w:after="120" w:before="0"/>
        <w:jc w:val="both"/>
      </w:pPr>
      <w:r>
        <w:rPr>
          <w:rFonts w:ascii="Times New Roman" w:hAnsi="Times New Roman" w:cs="Times New Roman"/>
          <w:sz w:val="22"/>
        </w:rPr>
        <w:t>Per-server random dispatch overloads the slow servers whenever λ/N exceeds their rate. That happens for the medium (ρ_max = 1.00), high (1.25), and very high (1.67) variance configurations, even though aggregate utilization is at most 0.83. These queues are unstable, not slow: their measured mean wait grows in proportion to the simulated time (Figure 11; high variance: 19.5, 38.4, 76.4, and 152.4 s for 500–4000 s runs), so any single number reported for them depends only on run length. Where Eq. (6) is finite, simulation agrees with it to within the confidence interval. With capacity-weighted dispatch every configuration is stable and the service-rate spread has little effect: the low- and medium-variance configurations, which have the same group sizes and capacity, have identical exact waits, and the most heterogeneous configuration—which also has the most capacity—has the shortest wait (0.058 s, versus 0.061 s for homogeneous). The residual penalty of the other configurations relative to homogeneous comes from splitting one five-server queue into separate two- and three-server queues, which loses pooling efficiency.</w:t>
      </w:r>
    </w:p>
    <w:p>
      <w:pPr>
        <w:spacing w:after="40" w:before="80"/>
        <w:jc w:val="center"/>
      </w:pPr>
      <w:r>
        <w:drawing>
          <wp:inline xmlns:a="http://schemas.openxmlformats.org/drawingml/2006/main" xmlns:pic="http://schemas.openxmlformats.org/drawingml/2006/picture">
            <wp:extent cx="4389120" cy="2803270"/>
            <wp:docPr id="11" name="Picture 11"/>
            <wp:cNvGraphicFramePr>
              <a:graphicFrameLocks noChangeAspect="1"/>
            </wp:cNvGraphicFramePr>
            <a:graphic>
              <a:graphicData uri="http://schemas.openxmlformats.org/drawingml/2006/picture">
                <pic:pic>
                  <pic:nvPicPr>
                    <pic:cNvPr id="0" name="fig11_hetero_instability.png"/>
                    <pic:cNvPicPr/>
                  </pic:nvPicPr>
                  <pic:blipFill>
                    <a:blip r:embed="rId19"/>
                    <a:stretch>
                      <a:fillRect/>
                    </a:stretch>
                  </pic:blipFill>
                  <pic:spPr>
                    <a:xfrm>
                      <a:off x="0" y="0"/>
                      <a:ext cx="4389120" cy="2803270"/>
                    </a:xfrm>
                    <a:prstGeom prst="rect"/>
                  </pic:spPr>
                </pic:pic>
              </a:graphicData>
            </a:graphic>
          </wp:inline>
        </w:drawing>
      </w:r>
    </w:p>
    <w:p>
      <w:pPr>
        <w:spacing w:after="80" w:before="40"/>
        <w:jc w:val="center"/>
      </w:pPr>
      <w:r>
        <w:rPr>
          <w:rFonts w:ascii="Times New Roman" w:hAnsi="Times New Roman" w:cs="Times New Roman"/>
          <w:b/>
          <w:sz w:val="19"/>
        </w:rPr>
        <w:t>Figure 11:</w:t>
      </w:r>
      <w:r>
        <w:rPr>
          <w:rFonts w:ascii="Times New Roman" w:hAnsi="Times New Roman" w:cs="Times New Roman"/>
          <w:sz w:val="19"/>
        </w:rPr>
        <w:t xml:space="preserve"> Mean waiting time versus simulated time under per-server random dispatch. Linear growth indicates an unstable group.</w:t>
      </w:r>
    </w:p>
    <w:p>
      <w:pPr>
        <w:spacing w:after="80" w:before="40"/>
        <w:jc w:val="center"/>
      </w:pPr>
      <w:r>
        <w:rPr>
          <w:rFonts w:ascii="Times New Roman" w:hAnsi="Times New Roman" w:cs="Times New Roman"/>
          <w:b/>
          <w:sz w:val="19"/>
        </w:rPr>
        <w:t>Table 12:</w:t>
      </w:r>
      <w:r>
        <w:rPr>
          <w:rFonts w:ascii="Times New Roman" w:hAnsi="Times New Roman" w:cs="Times New Roman"/>
          <w:sz w:val="19"/>
        </w:rPr>
        <w:t xml:space="preserve"> Dispatch policies on the 2@8 + 3@15 configuration (10 replications).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20" w:before="20"/>
              <w:jc w:val="center"/>
            </w:pPr>
            <w:r/>
            <w:r>
              <w:rPr>
                <w:rFonts w:ascii="Times New Roman" w:hAnsi="Times New Roman" w:cs="Times New Roman"/>
                <w:b/>
                <w:sz w:val="19"/>
              </w:rPr>
              <w:t>Policy</w:t>
            </w:r>
          </w:p>
        </w:tc>
        <w:tc>
          <w:tcPr>
            <w:tcW w:type="dxa" w:w="2257"/>
          </w:tcPr>
          <w:p>
            <w:pPr>
              <w:spacing w:after="20" w:before="20"/>
              <w:jc w:val="center"/>
            </w:pPr>
            <w:r/>
            <w:r>
              <w:rPr>
                <w:rFonts w:ascii="Times New Roman" w:hAnsi="Times New Roman" w:cs="Times New Roman"/>
                <w:b/>
                <w:sz w:val="19"/>
              </w:rPr>
              <w:t>Mean wait (s)</w:t>
            </w:r>
          </w:p>
        </w:tc>
        <w:tc>
          <w:tcPr>
            <w:tcW w:type="dxa" w:w="2257"/>
          </w:tcPr>
          <w:p>
            <w:pPr>
              <w:spacing w:after="20" w:before="20"/>
              <w:jc w:val="center"/>
            </w:pPr>
            <w:r/>
            <w:r>
              <w:rPr>
                <w:rFonts w:ascii="Times New Roman" w:hAnsi="Times New Roman" w:cs="Times New Roman"/>
                <w:b/>
                <w:sz w:val="19"/>
              </w:rPr>
              <w:t>P99 wait (s)</w:t>
            </w:r>
          </w:p>
        </w:tc>
        <w:tc>
          <w:tcPr>
            <w:tcW w:type="dxa" w:w="2257"/>
          </w:tcPr>
          <w:p>
            <w:pPr>
              <w:spacing w:after="20" w:before="20"/>
              <w:jc w:val="center"/>
            </w:pPr>
            <w:r/>
            <w:r>
              <w:rPr>
                <w:rFonts w:ascii="Times New Roman" w:hAnsi="Times New Roman" w:cs="Times New Roman"/>
                <w:b/>
                <w:sz w:val="19"/>
              </w:rPr>
              <w:t>P99 response (s)</w:t>
            </w:r>
          </w:p>
        </w:tc>
      </w:tr>
      <w:tr>
        <w:tc>
          <w:tcPr>
            <w:tcW w:type="dxa" w:w="2257"/>
          </w:tcPr>
          <w:p>
            <w:pPr>
              <w:spacing w:after="20" w:before="20"/>
              <w:jc w:val="center"/>
            </w:pPr>
            <w:r/>
            <w:r>
              <w:rPr>
                <w:rFonts w:ascii="Times New Roman" w:hAnsi="Times New Roman" w:cs="Times New Roman"/>
                <w:b w:val="0"/>
                <w:sz w:val="19"/>
              </w:rPr>
              <w:t>Random (per server) (unstable)</w:t>
            </w:r>
          </w:p>
        </w:tc>
        <w:tc>
          <w:tcPr>
            <w:tcW w:type="dxa" w:w="2257"/>
          </w:tcPr>
          <w:p>
            <w:pPr>
              <w:spacing w:after="20" w:before="20"/>
              <w:jc w:val="center"/>
            </w:pPr>
            <w:r/>
            <w:r>
              <w:rPr>
                <w:rFonts w:ascii="Times New Roman" w:hAnsi="Times New Roman" w:cs="Times New Roman"/>
                <w:b w:val="0"/>
                <w:sz w:val="19"/>
              </w:rPr>
              <w:t>76.401 ± 1.330</w:t>
            </w:r>
          </w:p>
        </w:tc>
        <w:tc>
          <w:tcPr>
            <w:tcW w:type="dxa" w:w="2257"/>
          </w:tcPr>
          <w:p>
            <w:pPr>
              <w:spacing w:after="20" w:before="20"/>
              <w:jc w:val="center"/>
            </w:pPr>
            <w:r/>
            <w:r>
              <w:rPr>
                <w:rFonts w:ascii="Times New Roman" w:hAnsi="Times New Roman" w:cs="Times New Roman"/>
                <w:b w:val="0"/>
                <w:sz w:val="19"/>
              </w:rPr>
              <w:t>388.061</w:t>
            </w:r>
          </w:p>
        </w:tc>
        <w:tc>
          <w:tcPr>
            <w:tcW w:type="dxa" w:w="2257"/>
          </w:tcPr>
          <w:p>
            <w:pPr>
              <w:spacing w:after="20" w:before="20"/>
              <w:jc w:val="center"/>
            </w:pPr>
            <w:r/>
            <w:r>
              <w:rPr>
                <w:rFonts w:ascii="Times New Roman" w:hAnsi="Times New Roman" w:cs="Times New Roman"/>
                <w:b w:val="0"/>
                <w:sz w:val="19"/>
              </w:rPr>
              <w:t>388.191</w:t>
            </w:r>
          </w:p>
        </w:tc>
      </w:tr>
      <w:tr>
        <w:tc>
          <w:tcPr>
            <w:tcW w:type="dxa" w:w="2257"/>
          </w:tcPr>
          <w:p>
            <w:pPr>
              <w:spacing w:after="20" w:before="20"/>
              <w:jc w:val="center"/>
            </w:pPr>
            <w:r/>
            <w:r>
              <w:rPr>
                <w:rFonts w:ascii="Times New Roman" w:hAnsi="Times New Roman" w:cs="Times New Roman"/>
                <w:b w:val="0"/>
                <w:sz w:val="19"/>
              </w:rPr>
              <w:t>Random (capacity-weighted)</w:t>
            </w:r>
          </w:p>
        </w:tc>
        <w:tc>
          <w:tcPr>
            <w:tcW w:type="dxa" w:w="2257"/>
          </w:tcPr>
          <w:p>
            <w:pPr>
              <w:spacing w:after="20" w:before="20"/>
              <w:jc w:val="center"/>
            </w:pPr>
            <w:r/>
            <w:r>
              <w:rPr>
                <w:rFonts w:ascii="Times New Roman" w:hAnsi="Times New Roman" w:cs="Times New Roman"/>
                <w:b w:val="0"/>
                <w:sz w:val="19"/>
              </w:rPr>
              <w:t>0.128 ± 0.005</w:t>
            </w:r>
          </w:p>
        </w:tc>
        <w:tc>
          <w:tcPr>
            <w:tcW w:type="dxa" w:w="2257"/>
          </w:tcPr>
          <w:p>
            <w:pPr>
              <w:spacing w:after="20" w:before="20"/>
              <w:jc w:val="center"/>
            </w:pPr>
            <w:r/>
            <w:r>
              <w:rPr>
                <w:rFonts w:ascii="Times New Roman" w:hAnsi="Times New Roman" w:cs="Times New Roman"/>
                <w:b w:val="0"/>
                <w:sz w:val="19"/>
              </w:rPr>
              <w:t>1.005</w:t>
            </w:r>
          </w:p>
        </w:tc>
        <w:tc>
          <w:tcPr>
            <w:tcW w:type="dxa" w:w="2257"/>
          </w:tcPr>
          <w:p>
            <w:pPr>
              <w:spacing w:after="20" w:before="20"/>
              <w:jc w:val="center"/>
            </w:pPr>
            <w:r/>
            <w:r>
              <w:rPr>
                <w:rFonts w:ascii="Times New Roman" w:hAnsi="Times New Roman" w:cs="Times New Roman"/>
                <w:b w:val="0"/>
                <w:sz w:val="19"/>
              </w:rPr>
              <w:t>1.162</w:t>
            </w:r>
          </w:p>
        </w:tc>
      </w:tr>
      <w:tr>
        <w:tc>
          <w:tcPr>
            <w:tcW w:type="dxa" w:w="2257"/>
          </w:tcPr>
          <w:p>
            <w:pPr>
              <w:spacing w:after="20" w:before="20"/>
              <w:jc w:val="center"/>
            </w:pPr>
            <w:r/>
            <w:r>
              <w:rPr>
                <w:rFonts w:ascii="Times New Roman" w:hAnsi="Times New Roman" w:cs="Times New Roman"/>
                <w:b w:val="0"/>
                <w:sz w:val="19"/>
              </w:rPr>
              <w:t>Round-robin (unstable)</w:t>
            </w:r>
          </w:p>
        </w:tc>
        <w:tc>
          <w:tcPr>
            <w:tcW w:type="dxa" w:w="2257"/>
          </w:tcPr>
          <w:p>
            <w:pPr>
              <w:spacing w:after="20" w:before="20"/>
              <w:jc w:val="center"/>
            </w:pPr>
            <w:r/>
            <w:r>
              <w:rPr>
                <w:rFonts w:ascii="Times New Roman" w:hAnsi="Times New Roman" w:cs="Times New Roman"/>
                <w:b w:val="0"/>
                <w:sz w:val="19"/>
              </w:rPr>
              <w:t>77.433 ± 2.011</w:t>
            </w:r>
          </w:p>
        </w:tc>
        <w:tc>
          <w:tcPr>
            <w:tcW w:type="dxa" w:w="2257"/>
          </w:tcPr>
          <w:p>
            <w:pPr>
              <w:spacing w:after="20" w:before="20"/>
              <w:jc w:val="center"/>
            </w:pPr>
            <w:r/>
            <w:r>
              <w:rPr>
                <w:rFonts w:ascii="Times New Roman" w:hAnsi="Times New Roman" w:cs="Times New Roman"/>
                <w:b w:val="0"/>
                <w:sz w:val="19"/>
              </w:rPr>
              <w:t>394.323</w:t>
            </w:r>
          </w:p>
        </w:tc>
        <w:tc>
          <w:tcPr>
            <w:tcW w:type="dxa" w:w="2257"/>
          </w:tcPr>
          <w:p>
            <w:pPr>
              <w:spacing w:after="20" w:before="20"/>
              <w:jc w:val="center"/>
            </w:pPr>
            <w:r/>
            <w:r>
              <w:rPr>
                <w:rFonts w:ascii="Times New Roman" w:hAnsi="Times New Roman" w:cs="Times New Roman"/>
                <w:b w:val="0"/>
                <w:sz w:val="19"/>
              </w:rPr>
              <w:t>394.444</w:t>
            </w:r>
          </w:p>
        </w:tc>
      </w:tr>
      <w:tr>
        <w:tc>
          <w:tcPr>
            <w:tcW w:type="dxa" w:w="2257"/>
          </w:tcPr>
          <w:p>
            <w:pPr>
              <w:spacing w:after="20" w:before="20"/>
              <w:jc w:val="center"/>
            </w:pPr>
            <w:r/>
            <w:r>
              <w:rPr>
                <w:rFonts w:ascii="Times New Roman" w:hAnsi="Times New Roman" w:cs="Times New Roman"/>
                <w:b w:val="0"/>
                <w:sz w:val="19"/>
              </w:rPr>
              <w:t>Shortest queue</w:t>
            </w:r>
          </w:p>
        </w:tc>
        <w:tc>
          <w:tcPr>
            <w:tcW w:type="dxa" w:w="2257"/>
          </w:tcPr>
          <w:p>
            <w:pPr>
              <w:spacing w:after="20" w:before="20"/>
              <w:jc w:val="center"/>
            </w:pPr>
            <w:r/>
            <w:r>
              <w:rPr>
                <w:rFonts w:ascii="Times New Roman" w:hAnsi="Times New Roman" w:cs="Times New Roman"/>
                <w:b w:val="0"/>
                <w:sz w:val="19"/>
              </w:rPr>
              <w:t>0.073 ± 0.002</w:t>
            </w:r>
          </w:p>
        </w:tc>
        <w:tc>
          <w:tcPr>
            <w:tcW w:type="dxa" w:w="2257"/>
          </w:tcPr>
          <w:p>
            <w:pPr>
              <w:spacing w:after="20" w:before="20"/>
              <w:jc w:val="center"/>
            </w:pPr>
            <w:r/>
            <w:r>
              <w:rPr>
                <w:rFonts w:ascii="Times New Roman" w:hAnsi="Times New Roman" w:cs="Times New Roman"/>
                <w:b w:val="0"/>
                <w:sz w:val="19"/>
              </w:rPr>
              <w:t>0.503</w:t>
            </w:r>
          </w:p>
        </w:tc>
        <w:tc>
          <w:tcPr>
            <w:tcW w:type="dxa" w:w="2257"/>
          </w:tcPr>
          <w:p>
            <w:pPr>
              <w:spacing w:after="20" w:before="20"/>
              <w:jc w:val="center"/>
            </w:pPr>
            <w:r/>
            <w:r>
              <w:rPr>
                <w:rFonts w:ascii="Times New Roman" w:hAnsi="Times New Roman" w:cs="Times New Roman"/>
                <w:b w:val="0"/>
                <w:sz w:val="19"/>
              </w:rPr>
              <w:t>0.706</w:t>
            </w:r>
          </w:p>
        </w:tc>
      </w:tr>
      <w:tr>
        <w:tc>
          <w:tcPr>
            <w:tcW w:type="dxa" w:w="2257"/>
          </w:tcPr>
          <w:p>
            <w:pPr>
              <w:spacing w:after="20" w:before="20"/>
              <w:jc w:val="center"/>
            </w:pPr>
            <w:r/>
            <w:r>
              <w:rPr>
                <w:rFonts w:ascii="Times New Roman" w:hAnsi="Times New Roman" w:cs="Times New Roman"/>
                <w:b w:val="0"/>
                <w:sz w:val="19"/>
              </w:rPr>
              <w:t>Fastest idle first</w:t>
            </w:r>
          </w:p>
        </w:tc>
        <w:tc>
          <w:tcPr>
            <w:tcW w:type="dxa" w:w="2257"/>
          </w:tcPr>
          <w:p>
            <w:pPr>
              <w:spacing w:after="20" w:before="20"/>
              <w:jc w:val="center"/>
            </w:pPr>
            <w:r/>
            <w:r>
              <w:rPr>
                <w:rFonts w:ascii="Times New Roman" w:hAnsi="Times New Roman" w:cs="Times New Roman"/>
                <w:b w:val="0"/>
                <w:sz w:val="19"/>
              </w:rPr>
              <w:t>0.071 ± 0.003</w:t>
            </w:r>
          </w:p>
        </w:tc>
        <w:tc>
          <w:tcPr>
            <w:tcW w:type="dxa" w:w="2257"/>
          </w:tcPr>
          <w:p>
            <w:pPr>
              <w:spacing w:after="20" w:before="20"/>
              <w:jc w:val="center"/>
            </w:pPr>
            <w:r/>
            <w:r>
              <w:rPr>
                <w:rFonts w:ascii="Times New Roman" w:hAnsi="Times New Roman" w:cs="Times New Roman"/>
                <w:b w:val="0"/>
                <w:sz w:val="19"/>
              </w:rPr>
              <w:t>0.559</w:t>
            </w:r>
          </w:p>
        </w:tc>
        <w:tc>
          <w:tcPr>
            <w:tcW w:type="dxa" w:w="2257"/>
          </w:tcPr>
          <w:p>
            <w:pPr>
              <w:spacing w:after="20" w:before="20"/>
              <w:jc w:val="center"/>
            </w:pPr>
            <w:r/>
            <w:r>
              <w:rPr>
                <w:rFonts w:ascii="Times New Roman" w:hAnsi="Times New Roman" w:cs="Times New Roman"/>
                <w:b w:val="0"/>
                <w:sz w:val="19"/>
              </w:rPr>
              <w:t>0.667</w:t>
            </w:r>
          </w:p>
        </w:tc>
      </w:tr>
      <w:tr>
        <w:tc>
          <w:tcPr>
            <w:tcW w:type="dxa" w:w="2257"/>
          </w:tcPr>
          <w:p>
            <w:pPr>
              <w:spacing w:after="20" w:before="20"/>
              <w:jc w:val="center"/>
            </w:pPr>
            <w:r/>
            <w:r>
              <w:rPr>
                <w:rFonts w:ascii="Times New Roman" w:hAnsi="Times New Roman" w:cs="Times New Roman"/>
                <w:b w:val="0"/>
                <w:sz w:val="19"/>
              </w:rPr>
              <w:t>Work stealing</w:t>
            </w:r>
          </w:p>
        </w:tc>
        <w:tc>
          <w:tcPr>
            <w:tcW w:type="dxa" w:w="2257"/>
          </w:tcPr>
          <w:p>
            <w:pPr>
              <w:spacing w:after="20" w:before="20"/>
              <w:jc w:val="center"/>
            </w:pPr>
            <w:r/>
            <w:r>
              <w:rPr>
                <w:rFonts w:ascii="Times New Roman" w:hAnsi="Times New Roman" w:cs="Times New Roman"/>
                <w:b w:val="0"/>
                <w:sz w:val="19"/>
              </w:rPr>
              <w:t>0.061 ± 0.002</w:t>
            </w:r>
          </w:p>
        </w:tc>
        <w:tc>
          <w:tcPr>
            <w:tcW w:type="dxa" w:w="2257"/>
          </w:tcPr>
          <w:p>
            <w:pPr>
              <w:spacing w:after="20" w:before="20"/>
              <w:jc w:val="center"/>
            </w:pPr>
            <w:r/>
            <w:r>
              <w:rPr>
                <w:rFonts w:ascii="Times New Roman" w:hAnsi="Times New Roman" w:cs="Times New Roman"/>
                <w:b w:val="0"/>
                <w:sz w:val="19"/>
              </w:rPr>
              <w:t>0.536</w:t>
            </w:r>
          </w:p>
        </w:tc>
        <w:tc>
          <w:tcPr>
            <w:tcW w:type="dxa" w:w="2257"/>
          </w:tcPr>
          <w:p>
            <w:pPr>
              <w:spacing w:after="20" w:before="20"/>
              <w:jc w:val="center"/>
            </w:pPr>
            <w:r/>
            <w:r>
              <w:rPr>
                <w:rFonts w:ascii="Times New Roman" w:hAnsi="Times New Roman" w:cs="Times New Roman"/>
                <w:b w:val="0"/>
                <w:sz w:val="19"/>
              </w:rPr>
              <w:t>0.705</w:t>
            </w:r>
          </w:p>
        </w:tc>
      </w:tr>
    </w:tbl>
    <w:p>
      <w:pPr>
        <w:spacing w:after="80" w:before="0"/>
      </w:pPr>
    </w:p>
    <w:p>
      <w:pPr>
        <w:spacing w:after="40" w:before="80"/>
        <w:jc w:val="center"/>
      </w:pPr>
      <w:r>
        <w:drawing>
          <wp:inline xmlns:a="http://schemas.openxmlformats.org/drawingml/2006/main" xmlns:pic="http://schemas.openxmlformats.org/drawingml/2006/picture">
            <wp:extent cx="4572000" cy="2620780"/>
            <wp:docPr id="12" name="Picture 12"/>
            <wp:cNvGraphicFramePr>
              <a:graphicFrameLocks noChangeAspect="1"/>
            </wp:cNvGraphicFramePr>
            <a:graphic>
              <a:graphicData uri="http://schemas.openxmlformats.org/drawingml/2006/picture">
                <pic:pic>
                  <pic:nvPicPr>
                    <pic:cNvPr id="0" name="fig7_dispatch_policy.png"/>
                    <pic:cNvPicPr/>
                  </pic:nvPicPr>
                  <pic:blipFill>
                    <a:blip r:embed="rId20"/>
                    <a:stretch>
                      <a:fillRect/>
                    </a:stretch>
                  </pic:blipFill>
                  <pic:spPr>
                    <a:xfrm>
                      <a:off x="0" y="0"/>
                      <a:ext cx="4572000" cy="2620780"/>
                    </a:xfrm>
                    <a:prstGeom prst="rect"/>
                  </pic:spPr>
                </pic:pic>
              </a:graphicData>
            </a:graphic>
          </wp:inline>
        </w:drawing>
      </w:r>
    </w:p>
    <w:p>
      <w:pPr>
        <w:spacing w:after="80" w:before="40"/>
        <w:jc w:val="center"/>
      </w:pPr>
      <w:r>
        <w:rPr>
          <w:rFonts w:ascii="Times New Roman" w:hAnsi="Times New Roman" w:cs="Times New Roman"/>
          <w:b/>
          <w:sz w:val="19"/>
        </w:rPr>
        <w:t>Figure 12:</w:t>
      </w:r>
      <w:r>
        <w:rPr>
          <w:rFonts w:ascii="Times New Roman" w:hAnsi="Times New Roman" w:cs="Times New Roman"/>
          <w:sz w:val="19"/>
        </w:rPr>
        <w:t xml:space="preserve"> Dispatch policy on the 2@8 + 3@15 configuration (log scale); red bars are unstable.</w:t>
      </w:r>
    </w:p>
    <w:p>
      <w:pPr>
        <w:spacing w:after="120" w:before="0"/>
        <w:jc w:val="both"/>
      </w:pPr>
      <w:r>
        <w:rPr>
          <w:rFonts w:ascii="Times New Roman" w:hAnsi="Times New Roman" w:cs="Times New Roman"/>
          <w:sz w:val="22"/>
        </w:rPr>
        <w:t>Among policies (Table 12), round-robin is as unstable as per-server random dispatch because it sends the same λ/N to every server. Capacity-weighted random dispatch is stable but leaves idle fast servers next to busy slow ones. The dynamic policies do best: work stealing, where idle servers take jobs from the longest queue, gives 0.061 s, fastest-idle-first 0.071 s, and shortest queue 0.073 s—close to the 0.061 s of the homogeneous single queue. For mixed fleets the dispatcher, not the hardware mix, decides performance.</w:t>
      </w:r>
    </w:p>
    <w:p>
      <w:pPr>
        <w:spacing w:after="60" w:before="120"/>
      </w:pPr>
      <w:r>
        <w:rPr>
          <w:rFonts w:ascii="Times New Roman" w:hAnsi="Times New Roman" w:cs="Times New Roman"/>
          <w:b/>
          <w:sz w:val="24"/>
        </w:rPr>
        <w:t>6.2   Finite Capacity (M/M/N/K)</w:t>
      </w:r>
    </w:p>
    <w:p>
      <w:pPr>
        <w:spacing w:after="120" w:before="0"/>
        <w:jc w:val="both"/>
      </w:pPr>
      <w:r>
        <w:rPr>
          <w:rFonts w:ascii="Times New Roman" w:hAnsi="Times New Roman" w:cs="Times New Roman"/>
          <w:sz w:val="22"/>
        </w:rPr>
        <w:t>A broker with bounded storage rejects arrivals when K messages are in the system. The stationary distribution of the M/M/N/K birth–death chain gives the blocking probability P_K, the admitted rate λ(1 − P_K), and, by Little's Law over admitted messages, the mean wait; for K = N, P_K is the Erlang-B formula. Unlike the infinite-buffer queue, the system is stable for any ρ. We swept K from 10 to 200 with N = 10, μ = 12, and ρ = 0.8, 1.0, and 1.25 (2000 s runs, 200 s warm-up, 20 replications).</w:t>
      </w:r>
    </w:p>
    <w:p>
      <w:pPr>
        <w:spacing w:after="80" w:before="40"/>
        <w:jc w:val="center"/>
      </w:pPr>
      <w:r>
        <w:rPr>
          <w:rFonts w:ascii="Times New Roman" w:hAnsi="Times New Roman" w:cs="Times New Roman"/>
          <w:b/>
          <w:sz w:val="19"/>
        </w:rPr>
        <w:t>Table 13:</w:t>
      </w:r>
      <w:r>
        <w:rPr>
          <w:rFonts w:ascii="Times New Roman" w:hAnsi="Times New Roman" w:cs="Times New Roman"/>
          <w:sz w:val="19"/>
        </w:rPr>
        <w:t xml:space="preserve"> Finite-capacity queue, simulation (mean ± 95% CI, 20 replications) versus the exact birth–death solution.</w:t>
      </w:r>
    </w:p>
    <w:tbl>
      <w:tblPr>
        <w:tblStyle w:val="TableGrid"/>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Pr>
          <w:p>
            <w:pPr>
              <w:spacing w:after="20" w:before="20"/>
              <w:jc w:val="center"/>
            </w:pPr>
            <w:r/>
            <w:r>
              <w:rPr>
                <w:rFonts w:ascii="Times New Roman" w:hAnsi="Times New Roman" w:cs="Times New Roman"/>
                <w:b/>
                <w:sz w:val="19"/>
              </w:rPr>
              <w:t>ρ</w:t>
            </w:r>
          </w:p>
        </w:tc>
        <w:tc>
          <w:tcPr>
            <w:tcW w:type="dxa" w:w="1505"/>
          </w:tcPr>
          <w:p>
            <w:pPr>
              <w:spacing w:after="20" w:before="20"/>
              <w:jc w:val="center"/>
            </w:pPr>
            <w:r/>
            <w:r>
              <w:rPr>
                <w:rFonts w:ascii="Times New Roman" w:hAnsi="Times New Roman" w:cs="Times New Roman"/>
                <w:b/>
                <w:sz w:val="19"/>
              </w:rPr>
              <w:t>K</w:t>
            </w:r>
          </w:p>
        </w:tc>
        <w:tc>
          <w:tcPr>
            <w:tcW w:type="dxa" w:w="1505"/>
          </w:tcPr>
          <w:p>
            <w:pPr>
              <w:spacing w:after="20" w:before="20"/>
              <w:jc w:val="center"/>
            </w:pPr>
            <w:r/>
            <w:r>
              <w:rPr>
                <w:rFonts w:ascii="Times New Roman" w:hAnsi="Times New Roman" w:cs="Times New Roman"/>
                <w:b/>
                <w:sz w:val="19"/>
              </w:rPr>
              <w:t>Sim P_K</w:t>
            </w:r>
          </w:p>
        </w:tc>
        <w:tc>
          <w:tcPr>
            <w:tcW w:type="dxa" w:w="1505"/>
          </w:tcPr>
          <w:p>
            <w:pPr>
              <w:spacing w:after="20" w:before="20"/>
              <w:jc w:val="center"/>
            </w:pPr>
            <w:r/>
            <w:r>
              <w:rPr>
                <w:rFonts w:ascii="Times New Roman" w:hAnsi="Times New Roman" w:cs="Times New Roman"/>
                <w:b/>
                <w:sz w:val="19"/>
              </w:rPr>
              <w:t>Exact P_K</w:t>
            </w:r>
          </w:p>
        </w:tc>
        <w:tc>
          <w:tcPr>
            <w:tcW w:type="dxa" w:w="1505"/>
          </w:tcPr>
          <w:p>
            <w:pPr>
              <w:spacing w:after="20" w:before="20"/>
              <w:jc w:val="center"/>
            </w:pPr>
            <w:r/>
            <w:r>
              <w:rPr>
                <w:rFonts w:ascii="Times New Roman" w:hAnsi="Times New Roman" w:cs="Times New Roman"/>
                <w:b/>
                <w:sz w:val="19"/>
              </w:rPr>
              <w:t>Sim Wq (s)</w:t>
            </w:r>
          </w:p>
        </w:tc>
        <w:tc>
          <w:tcPr>
            <w:tcW w:type="dxa" w:w="1505"/>
          </w:tcPr>
          <w:p>
            <w:pPr>
              <w:spacing w:after="20" w:before="20"/>
              <w:jc w:val="center"/>
            </w:pPr>
            <w:r/>
            <w:r>
              <w:rPr>
                <w:rFonts w:ascii="Times New Roman" w:hAnsi="Times New Roman" w:cs="Times New Roman"/>
                <w:b/>
                <w:sz w:val="19"/>
              </w:rPr>
              <w:t>Exact Wq (s)</w:t>
            </w:r>
          </w:p>
        </w:tc>
      </w:tr>
      <w:tr>
        <w:tc>
          <w:tcPr>
            <w:tcW w:type="dxa" w:w="1505"/>
          </w:tcPr>
          <w:p>
            <w:pPr>
              <w:spacing w:after="20" w:before="20"/>
              <w:jc w:val="center"/>
            </w:pPr>
            <w:r/>
            <w:r>
              <w:rPr>
                <w:rFonts w:ascii="Times New Roman" w:hAnsi="Times New Roman" w:cs="Times New Roman"/>
                <w:b w:val="0"/>
                <w:sz w:val="19"/>
              </w:rPr>
              <w:t>0.8</w:t>
            </w:r>
          </w:p>
        </w:tc>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0.1221 ± 0.0007</w:t>
            </w:r>
          </w:p>
        </w:tc>
        <w:tc>
          <w:tcPr>
            <w:tcW w:type="dxa" w:w="1505"/>
          </w:tcPr>
          <w:p>
            <w:pPr>
              <w:spacing w:after="20" w:before="20"/>
              <w:jc w:val="center"/>
            </w:pPr>
            <w:r/>
            <w:r>
              <w:rPr>
                <w:rFonts w:ascii="Times New Roman" w:hAnsi="Times New Roman" w:cs="Times New Roman"/>
                <w:b w:val="0"/>
                <w:sz w:val="19"/>
              </w:rPr>
              <w:t>0.1217</w:t>
            </w:r>
          </w:p>
        </w:tc>
        <w:tc>
          <w:tcPr>
            <w:tcW w:type="dxa" w:w="1505"/>
          </w:tcPr>
          <w:p>
            <w:pPr>
              <w:spacing w:after="20" w:before="20"/>
              <w:jc w:val="center"/>
            </w:pPr>
            <w:r/>
            <w:r>
              <w:rPr>
                <w:rFonts w:ascii="Times New Roman" w:hAnsi="Times New Roman" w:cs="Times New Roman"/>
                <w:b w:val="0"/>
                <w:sz w:val="19"/>
              </w:rPr>
              <w:t>0</w:t>
            </w:r>
          </w:p>
        </w:tc>
        <w:tc>
          <w:tcPr>
            <w:tcW w:type="dxa" w:w="1505"/>
          </w:tcPr>
          <w:p>
            <w:pPr>
              <w:spacing w:after="20" w:before="20"/>
              <w:jc w:val="center"/>
            </w:pPr>
            <w:r/>
            <w:r>
              <w:rPr>
                <w:rFonts w:ascii="Times New Roman" w:hAnsi="Times New Roman" w:cs="Times New Roman"/>
                <w:b w:val="0"/>
                <w:sz w:val="19"/>
              </w:rPr>
              <w:t>0.0000</w:t>
            </w:r>
          </w:p>
        </w:tc>
      </w:tr>
      <w:tr>
        <w:tc>
          <w:tcPr>
            <w:tcW w:type="dxa" w:w="1505"/>
          </w:tcPr>
          <w:p>
            <w:pPr>
              <w:spacing w:after="20" w:before="20"/>
              <w:jc w:val="center"/>
            </w:pPr>
            <w:r/>
            <w:r>
              <w:rPr>
                <w:rFonts w:ascii="Times New Roman" w:hAnsi="Times New Roman" w:cs="Times New Roman"/>
                <w:b w:val="0"/>
                <w:sz w:val="19"/>
              </w:rPr>
              <w:t>0.8</w:t>
            </w:r>
          </w:p>
        </w:tc>
        <w:tc>
          <w:tcPr>
            <w:tcW w:type="dxa" w:w="1505"/>
          </w:tcPr>
          <w:p>
            <w:pPr>
              <w:spacing w:after="20" w:before="20"/>
              <w:jc w:val="center"/>
            </w:pPr>
            <w:r/>
            <w:r>
              <w:rPr>
                <w:rFonts w:ascii="Times New Roman" w:hAnsi="Times New Roman" w:cs="Times New Roman"/>
                <w:b w:val="0"/>
                <w:sz w:val="19"/>
              </w:rPr>
              <w:t>20</w:t>
            </w:r>
          </w:p>
        </w:tc>
        <w:tc>
          <w:tcPr>
            <w:tcW w:type="dxa" w:w="1505"/>
          </w:tcPr>
          <w:p>
            <w:pPr>
              <w:spacing w:after="20" w:before="20"/>
              <w:jc w:val="center"/>
            </w:pPr>
            <w:r/>
            <w:r>
              <w:rPr>
                <w:rFonts w:ascii="Times New Roman" w:hAnsi="Times New Roman" w:cs="Times New Roman"/>
                <w:b w:val="0"/>
                <w:sz w:val="19"/>
              </w:rPr>
              <w:t>0.0091 ± 0.0003</w:t>
            </w:r>
          </w:p>
        </w:tc>
        <w:tc>
          <w:tcPr>
            <w:tcW w:type="dxa" w:w="1505"/>
          </w:tcPr>
          <w:p>
            <w:pPr>
              <w:spacing w:after="20" w:before="20"/>
              <w:jc w:val="center"/>
            </w:pPr>
            <w:r/>
            <w:r>
              <w:rPr>
                <w:rFonts w:ascii="Times New Roman" w:hAnsi="Times New Roman" w:cs="Times New Roman"/>
                <w:b w:val="0"/>
                <w:sz w:val="19"/>
              </w:rPr>
              <w:t>0.0091</w:t>
            </w:r>
          </w:p>
        </w:tc>
        <w:tc>
          <w:tcPr>
            <w:tcW w:type="dxa" w:w="1505"/>
          </w:tcPr>
          <w:p>
            <w:pPr>
              <w:spacing w:after="20" w:before="20"/>
              <w:jc w:val="center"/>
            </w:pPr>
            <w:r/>
            <w:r>
              <w:rPr>
                <w:rFonts w:ascii="Times New Roman" w:hAnsi="Times New Roman" w:cs="Times New Roman"/>
                <w:b w:val="0"/>
                <w:sz w:val="19"/>
              </w:rPr>
              <w:t>0.0122 ± 0.0002</w:t>
            </w:r>
          </w:p>
        </w:tc>
        <w:tc>
          <w:tcPr>
            <w:tcW w:type="dxa" w:w="1505"/>
          </w:tcPr>
          <w:p>
            <w:pPr>
              <w:spacing w:after="20" w:before="20"/>
              <w:jc w:val="center"/>
            </w:pPr>
            <w:r/>
            <w:r>
              <w:rPr>
                <w:rFonts w:ascii="Times New Roman" w:hAnsi="Times New Roman" w:cs="Times New Roman"/>
                <w:b w:val="0"/>
                <w:sz w:val="19"/>
              </w:rPr>
              <w:t>0.0121</w:t>
            </w:r>
          </w:p>
        </w:tc>
      </w:tr>
      <w:tr>
        <w:tc>
          <w:tcPr>
            <w:tcW w:type="dxa" w:w="1505"/>
          </w:tcPr>
          <w:p>
            <w:pPr>
              <w:spacing w:after="20" w:before="20"/>
              <w:jc w:val="center"/>
            </w:pPr>
            <w:r/>
            <w:r>
              <w:rPr>
                <w:rFonts w:ascii="Times New Roman" w:hAnsi="Times New Roman" w:cs="Times New Roman"/>
                <w:b w:val="0"/>
                <w:sz w:val="19"/>
              </w:rPr>
              <w:t>0.8</w:t>
            </w:r>
          </w:p>
        </w:tc>
        <w:tc>
          <w:tcPr>
            <w:tcW w:type="dxa" w:w="1505"/>
          </w:tcPr>
          <w:p>
            <w:pPr>
              <w:spacing w:after="20" w:before="20"/>
              <w:jc w:val="center"/>
            </w:pPr>
            <w:r/>
            <w:r>
              <w:rPr>
                <w:rFonts w:ascii="Times New Roman" w:hAnsi="Times New Roman" w:cs="Times New Roman"/>
                <w:b w:val="0"/>
                <w:sz w:val="19"/>
              </w:rPr>
              <w:t>50</w:t>
            </w:r>
          </w:p>
        </w:tc>
        <w:tc>
          <w:tcPr>
            <w:tcW w:type="dxa" w:w="1505"/>
          </w:tcPr>
          <w:p>
            <w:pPr>
              <w:spacing w:after="20" w:before="20"/>
              <w:jc w:val="center"/>
            </w:pPr>
            <w:r/>
            <w:r>
              <w:rPr>
                <w:rFonts w:ascii="Times New Roman" w:hAnsi="Times New Roman" w:cs="Times New Roman"/>
                <w:b w:val="0"/>
                <w:sz w:val="19"/>
              </w:rPr>
              <w:t>1.1e-05 ± 1.1e-05</w:t>
            </w:r>
          </w:p>
        </w:tc>
        <w:tc>
          <w:tcPr>
            <w:tcW w:type="dxa" w:w="1505"/>
          </w:tcPr>
          <w:p>
            <w:pPr>
              <w:spacing w:after="20" w:before="20"/>
              <w:jc w:val="center"/>
            </w:pPr>
            <w:r/>
            <w:r>
              <w:rPr>
                <w:rFonts w:ascii="Times New Roman" w:hAnsi="Times New Roman" w:cs="Times New Roman"/>
                <w:b w:val="0"/>
                <w:sz w:val="19"/>
              </w:rPr>
              <w:t>1.1e-05</w:t>
            </w:r>
          </w:p>
        </w:tc>
        <w:tc>
          <w:tcPr>
            <w:tcW w:type="dxa" w:w="1505"/>
          </w:tcPr>
          <w:p>
            <w:pPr>
              <w:spacing w:after="20" w:before="20"/>
              <w:jc w:val="center"/>
            </w:pPr>
            <w:r/>
            <w:r>
              <w:rPr>
                <w:rFonts w:ascii="Times New Roman" w:hAnsi="Times New Roman" w:cs="Times New Roman"/>
                <w:b w:val="0"/>
                <w:sz w:val="19"/>
              </w:rPr>
              <w:t>0.0173 ± 0.0003</w:t>
            </w:r>
          </w:p>
        </w:tc>
        <w:tc>
          <w:tcPr>
            <w:tcW w:type="dxa" w:w="1505"/>
          </w:tcPr>
          <w:p>
            <w:pPr>
              <w:spacing w:after="20" w:before="20"/>
              <w:jc w:val="center"/>
            </w:pPr>
            <w:r/>
            <w:r>
              <w:rPr>
                <w:rFonts w:ascii="Times New Roman" w:hAnsi="Times New Roman" w:cs="Times New Roman"/>
                <w:b w:val="0"/>
                <w:sz w:val="19"/>
              </w:rPr>
              <w:t>0.0170</w:t>
            </w:r>
          </w:p>
        </w:tc>
      </w:tr>
      <w:tr>
        <w:tc>
          <w:tcPr>
            <w:tcW w:type="dxa" w:w="1505"/>
          </w:tcPr>
          <w:p>
            <w:pPr>
              <w:spacing w:after="20" w:before="20"/>
              <w:jc w:val="center"/>
            </w:pPr>
            <w:r/>
            <w:r>
              <w:rPr>
                <w:rFonts w:ascii="Times New Roman" w:hAnsi="Times New Roman" w:cs="Times New Roman"/>
                <w:b w:val="0"/>
                <w:sz w:val="19"/>
              </w:rPr>
              <w:t>0.8</w:t>
            </w:r>
          </w:p>
        </w:tc>
        <w:tc>
          <w:tcPr>
            <w:tcW w:type="dxa" w:w="1505"/>
          </w:tcPr>
          <w:p>
            <w:pPr>
              <w:spacing w:after="20" w:before="20"/>
              <w:jc w:val="center"/>
            </w:pPr>
            <w:r/>
            <w:r>
              <w:rPr>
                <w:rFonts w:ascii="Times New Roman" w:hAnsi="Times New Roman" w:cs="Times New Roman"/>
                <w:b w:val="0"/>
                <w:sz w:val="19"/>
              </w:rPr>
              <w:t>200</w:t>
            </w:r>
          </w:p>
        </w:tc>
        <w:tc>
          <w:tcPr>
            <w:tcW w:type="dxa" w:w="1505"/>
          </w:tcPr>
          <w:p>
            <w:pPr>
              <w:spacing w:after="20" w:before="20"/>
              <w:jc w:val="center"/>
            </w:pPr>
            <w:r/>
            <w:r>
              <w:rPr>
                <w:rFonts w:ascii="Times New Roman" w:hAnsi="Times New Roman" w:cs="Times New Roman"/>
                <w:b w:val="0"/>
                <w:sz w:val="19"/>
              </w:rPr>
              <w:t>0.0e+00 ± 0.0e+00</w:t>
            </w:r>
          </w:p>
        </w:tc>
        <w:tc>
          <w:tcPr>
            <w:tcW w:type="dxa" w:w="1505"/>
          </w:tcPr>
          <w:p>
            <w:pPr>
              <w:spacing w:after="20" w:before="20"/>
              <w:jc w:val="center"/>
            </w:pPr>
            <w:r/>
            <w:r>
              <w:rPr>
                <w:rFonts w:ascii="Times New Roman" w:hAnsi="Times New Roman" w:cs="Times New Roman"/>
                <w:b w:val="0"/>
                <w:sz w:val="19"/>
              </w:rPr>
              <w:t>3.2e-20</w:t>
            </w:r>
          </w:p>
        </w:tc>
        <w:tc>
          <w:tcPr>
            <w:tcW w:type="dxa" w:w="1505"/>
          </w:tcPr>
          <w:p>
            <w:pPr>
              <w:spacing w:after="20" w:before="20"/>
              <w:jc w:val="center"/>
            </w:pPr>
            <w:r/>
            <w:r>
              <w:rPr>
                <w:rFonts w:ascii="Times New Roman" w:hAnsi="Times New Roman" w:cs="Times New Roman"/>
                <w:b w:val="0"/>
                <w:sz w:val="19"/>
              </w:rPr>
              <w:t>0.0173 ± 0.0003</w:t>
            </w:r>
          </w:p>
        </w:tc>
        <w:tc>
          <w:tcPr>
            <w:tcW w:type="dxa" w:w="1505"/>
          </w:tcPr>
          <w:p>
            <w:pPr>
              <w:spacing w:after="20" w:before="20"/>
              <w:jc w:val="center"/>
            </w:pPr>
            <w:r/>
            <w:r>
              <w:rPr>
                <w:rFonts w:ascii="Times New Roman" w:hAnsi="Times New Roman" w:cs="Times New Roman"/>
                <w:b w:val="0"/>
                <w:sz w:val="19"/>
              </w:rPr>
              <w:t>0.0170</w:t>
            </w:r>
          </w:p>
        </w:tc>
      </w:tr>
      <w:tr>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0.2149 ± 0.0008</w:t>
            </w:r>
          </w:p>
        </w:tc>
        <w:tc>
          <w:tcPr>
            <w:tcW w:type="dxa" w:w="1505"/>
          </w:tcPr>
          <w:p>
            <w:pPr>
              <w:spacing w:after="20" w:before="20"/>
              <w:jc w:val="center"/>
            </w:pPr>
            <w:r/>
            <w:r>
              <w:rPr>
                <w:rFonts w:ascii="Times New Roman" w:hAnsi="Times New Roman" w:cs="Times New Roman"/>
                <w:b w:val="0"/>
                <w:sz w:val="19"/>
              </w:rPr>
              <w:t>0.2146</w:t>
            </w:r>
          </w:p>
        </w:tc>
        <w:tc>
          <w:tcPr>
            <w:tcW w:type="dxa" w:w="1505"/>
          </w:tcPr>
          <w:p>
            <w:pPr>
              <w:spacing w:after="20" w:before="20"/>
              <w:jc w:val="center"/>
            </w:pPr>
            <w:r/>
            <w:r>
              <w:rPr>
                <w:rFonts w:ascii="Times New Roman" w:hAnsi="Times New Roman" w:cs="Times New Roman"/>
                <w:b w:val="0"/>
                <w:sz w:val="19"/>
              </w:rPr>
              <w:t>0</w:t>
            </w:r>
          </w:p>
        </w:tc>
        <w:tc>
          <w:tcPr>
            <w:tcW w:type="dxa" w:w="1505"/>
          </w:tcPr>
          <w:p>
            <w:pPr>
              <w:spacing w:after="20" w:before="20"/>
              <w:jc w:val="center"/>
            </w:pPr>
            <w:r/>
            <w:r>
              <w:rPr>
                <w:rFonts w:ascii="Times New Roman" w:hAnsi="Times New Roman" w:cs="Times New Roman"/>
                <w:b w:val="0"/>
                <w:sz w:val="19"/>
              </w:rPr>
              <w:t>0.0000</w:t>
            </w:r>
          </w:p>
        </w:tc>
      </w:tr>
      <w:tr>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20</w:t>
            </w:r>
          </w:p>
        </w:tc>
        <w:tc>
          <w:tcPr>
            <w:tcW w:type="dxa" w:w="1505"/>
          </w:tcPr>
          <w:p>
            <w:pPr>
              <w:spacing w:after="20" w:before="20"/>
              <w:jc w:val="center"/>
            </w:pPr>
            <w:r/>
            <w:r>
              <w:rPr>
                <w:rFonts w:ascii="Times New Roman" w:hAnsi="Times New Roman" w:cs="Times New Roman"/>
                <w:b w:val="0"/>
                <w:sz w:val="19"/>
              </w:rPr>
              <w:t>0.0690 ± 0.0006</w:t>
            </w:r>
          </w:p>
        </w:tc>
        <w:tc>
          <w:tcPr>
            <w:tcW w:type="dxa" w:w="1505"/>
          </w:tcPr>
          <w:p>
            <w:pPr>
              <w:spacing w:after="20" w:before="20"/>
              <w:jc w:val="center"/>
            </w:pPr>
            <w:r/>
            <w:r>
              <w:rPr>
                <w:rFonts w:ascii="Times New Roman" w:hAnsi="Times New Roman" w:cs="Times New Roman"/>
                <w:b w:val="0"/>
                <w:sz w:val="19"/>
              </w:rPr>
              <w:t>0.0682</w:t>
            </w:r>
          </w:p>
        </w:tc>
        <w:tc>
          <w:tcPr>
            <w:tcW w:type="dxa" w:w="1505"/>
          </w:tcPr>
          <w:p>
            <w:pPr>
              <w:spacing w:after="20" w:before="20"/>
              <w:jc w:val="center"/>
            </w:pPr>
            <w:r/>
            <w:r>
              <w:rPr>
                <w:rFonts w:ascii="Times New Roman" w:hAnsi="Times New Roman" w:cs="Times New Roman"/>
                <w:b w:val="0"/>
                <w:sz w:val="19"/>
              </w:rPr>
              <w:t>0.0337 ± 0.0002</w:t>
            </w:r>
          </w:p>
        </w:tc>
        <w:tc>
          <w:tcPr>
            <w:tcW w:type="dxa" w:w="1505"/>
          </w:tcPr>
          <w:p>
            <w:pPr>
              <w:spacing w:after="20" w:before="20"/>
              <w:jc w:val="center"/>
            </w:pPr>
            <w:r/>
            <w:r>
              <w:rPr>
                <w:rFonts w:ascii="Times New Roman" w:hAnsi="Times New Roman" w:cs="Times New Roman"/>
                <w:b w:val="0"/>
                <w:sz w:val="19"/>
              </w:rPr>
              <w:t>0.0336</w:t>
            </w:r>
          </w:p>
        </w:tc>
      </w:tr>
      <w:tr>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50</w:t>
            </w:r>
          </w:p>
        </w:tc>
        <w:tc>
          <w:tcPr>
            <w:tcW w:type="dxa" w:w="1505"/>
          </w:tcPr>
          <w:p>
            <w:pPr>
              <w:spacing w:after="20" w:before="20"/>
              <w:jc w:val="center"/>
            </w:pPr>
            <w:r/>
            <w:r>
              <w:rPr>
                <w:rFonts w:ascii="Times New Roman" w:hAnsi="Times New Roman" w:cs="Times New Roman"/>
                <w:b w:val="0"/>
                <w:sz w:val="19"/>
              </w:rPr>
              <w:t>0.0225 ± 0.0006</w:t>
            </w:r>
          </w:p>
        </w:tc>
        <w:tc>
          <w:tcPr>
            <w:tcW w:type="dxa" w:w="1505"/>
          </w:tcPr>
          <w:p>
            <w:pPr>
              <w:spacing w:after="20" w:before="20"/>
              <w:jc w:val="center"/>
            </w:pPr>
            <w:r/>
            <w:r>
              <w:rPr>
                <w:rFonts w:ascii="Times New Roman" w:hAnsi="Times New Roman" w:cs="Times New Roman"/>
                <w:b w:val="0"/>
                <w:sz w:val="19"/>
              </w:rPr>
              <w:t>0.0224</w:t>
            </w:r>
          </w:p>
        </w:tc>
        <w:tc>
          <w:tcPr>
            <w:tcW w:type="dxa" w:w="1505"/>
          </w:tcPr>
          <w:p>
            <w:pPr>
              <w:spacing w:after="20" w:before="20"/>
              <w:jc w:val="center"/>
            </w:pPr>
            <w:r/>
            <w:r>
              <w:rPr>
                <w:rFonts w:ascii="Times New Roman" w:hAnsi="Times New Roman" w:cs="Times New Roman"/>
                <w:b w:val="0"/>
                <w:sz w:val="19"/>
              </w:rPr>
              <w:t>0.1564 ± 0.0017</w:t>
            </w:r>
          </w:p>
        </w:tc>
        <w:tc>
          <w:tcPr>
            <w:tcW w:type="dxa" w:w="1505"/>
          </w:tcPr>
          <w:p>
            <w:pPr>
              <w:spacing w:after="20" w:before="20"/>
              <w:jc w:val="center"/>
            </w:pPr>
            <w:r/>
            <w:r>
              <w:rPr>
                <w:rFonts w:ascii="Times New Roman" w:hAnsi="Times New Roman" w:cs="Times New Roman"/>
                <w:b w:val="0"/>
                <w:sz w:val="19"/>
              </w:rPr>
              <w:t>0.1565</w:t>
            </w:r>
          </w:p>
        </w:tc>
      </w:tr>
      <w:tr>
        <w:tc>
          <w:tcPr>
            <w:tcW w:type="dxa" w:w="1505"/>
          </w:tcPr>
          <w:p>
            <w:pPr>
              <w:spacing w:after="20" w:before="20"/>
              <w:jc w:val="center"/>
            </w:pPr>
            <w:r/>
            <w:r>
              <w:rPr>
                <w:rFonts w:ascii="Times New Roman" w:hAnsi="Times New Roman" w:cs="Times New Roman"/>
                <w:b w:val="0"/>
                <w:sz w:val="19"/>
              </w:rPr>
              <w:t>1</w:t>
            </w:r>
          </w:p>
        </w:tc>
        <w:tc>
          <w:tcPr>
            <w:tcW w:type="dxa" w:w="1505"/>
          </w:tcPr>
          <w:p>
            <w:pPr>
              <w:spacing w:after="20" w:before="20"/>
              <w:jc w:val="center"/>
            </w:pPr>
            <w:r/>
            <w:r>
              <w:rPr>
                <w:rFonts w:ascii="Times New Roman" w:hAnsi="Times New Roman" w:cs="Times New Roman"/>
                <w:b w:val="0"/>
                <w:sz w:val="19"/>
              </w:rPr>
              <w:t>200</w:t>
            </w:r>
          </w:p>
        </w:tc>
        <w:tc>
          <w:tcPr>
            <w:tcW w:type="dxa" w:w="1505"/>
          </w:tcPr>
          <w:p>
            <w:pPr>
              <w:spacing w:after="20" w:before="20"/>
              <w:jc w:val="center"/>
            </w:pPr>
            <w:r/>
            <w:r>
              <w:rPr>
                <w:rFonts w:ascii="Times New Roman" w:hAnsi="Times New Roman" w:cs="Times New Roman"/>
                <w:b w:val="0"/>
                <w:sz w:val="19"/>
              </w:rPr>
              <w:t>0.0049 ± 0.0009</w:t>
            </w:r>
          </w:p>
        </w:tc>
        <w:tc>
          <w:tcPr>
            <w:tcW w:type="dxa" w:w="1505"/>
          </w:tcPr>
          <w:p>
            <w:pPr>
              <w:spacing w:after="20" w:before="20"/>
              <w:jc w:val="center"/>
            </w:pPr>
            <w:r/>
            <w:r>
              <w:rPr>
                <w:rFonts w:ascii="Times New Roman" w:hAnsi="Times New Roman" w:cs="Times New Roman"/>
                <w:b w:val="0"/>
                <w:sz w:val="19"/>
              </w:rPr>
              <w:t>0.0051</w:t>
            </w:r>
          </w:p>
        </w:tc>
        <w:tc>
          <w:tcPr>
            <w:tcW w:type="dxa" w:w="1505"/>
          </w:tcPr>
          <w:p>
            <w:pPr>
              <w:spacing w:after="20" w:before="20"/>
              <w:jc w:val="center"/>
            </w:pPr>
            <w:r/>
            <w:r>
              <w:rPr>
                <w:rFonts w:ascii="Times New Roman" w:hAnsi="Times New Roman" w:cs="Times New Roman"/>
                <w:b w:val="0"/>
                <w:sz w:val="19"/>
              </w:rPr>
              <w:t>0.7692 ± 0.0416</w:t>
            </w:r>
          </w:p>
        </w:tc>
        <w:tc>
          <w:tcPr>
            <w:tcW w:type="dxa" w:w="1505"/>
          </w:tcPr>
          <w:p>
            <w:pPr>
              <w:spacing w:after="20" w:before="20"/>
              <w:jc w:val="center"/>
            </w:pPr>
            <w:r/>
            <w:r>
              <w:rPr>
                <w:rFonts w:ascii="Times New Roman" w:hAnsi="Times New Roman" w:cs="Times New Roman"/>
                <w:b w:val="0"/>
                <w:sz w:val="19"/>
              </w:rPr>
              <w:t>0.7808</w:t>
            </w:r>
          </w:p>
        </w:tc>
      </w:tr>
      <w:tr>
        <w:tc>
          <w:tcPr>
            <w:tcW w:type="dxa" w:w="1505"/>
          </w:tcPr>
          <w:p>
            <w:pPr>
              <w:spacing w:after="20" w:before="20"/>
              <w:jc w:val="center"/>
            </w:pPr>
            <w:r/>
            <w:r>
              <w:rPr>
                <w:rFonts w:ascii="Times New Roman" w:hAnsi="Times New Roman" w:cs="Times New Roman"/>
                <w:b w:val="0"/>
                <w:sz w:val="19"/>
              </w:rPr>
              <w:t>1.25</w:t>
            </w:r>
          </w:p>
        </w:tc>
        <w:tc>
          <w:tcPr>
            <w:tcW w:type="dxa" w:w="1505"/>
          </w:tcPr>
          <w:p>
            <w:pPr>
              <w:spacing w:after="20" w:before="20"/>
              <w:jc w:val="center"/>
            </w:pPr>
            <w:r/>
            <w:r>
              <w:rPr>
                <w:rFonts w:ascii="Times New Roman" w:hAnsi="Times New Roman" w:cs="Times New Roman"/>
                <w:b w:val="0"/>
                <w:sz w:val="19"/>
              </w:rPr>
              <w:t>10</w:t>
            </w:r>
          </w:p>
        </w:tc>
        <w:tc>
          <w:tcPr>
            <w:tcW w:type="dxa" w:w="1505"/>
          </w:tcPr>
          <w:p>
            <w:pPr>
              <w:spacing w:after="20" w:before="20"/>
              <w:jc w:val="center"/>
            </w:pPr>
            <w:r/>
            <w:r>
              <w:rPr>
                <w:rFonts w:ascii="Times New Roman" w:hAnsi="Times New Roman" w:cs="Times New Roman"/>
                <w:b w:val="0"/>
                <w:sz w:val="19"/>
              </w:rPr>
              <w:t>0.3218 ± 0.0007</w:t>
            </w:r>
          </w:p>
        </w:tc>
        <w:tc>
          <w:tcPr>
            <w:tcW w:type="dxa" w:w="1505"/>
          </w:tcPr>
          <w:p>
            <w:pPr>
              <w:spacing w:after="20" w:before="20"/>
              <w:jc w:val="center"/>
            </w:pPr>
            <w:r/>
            <w:r>
              <w:rPr>
                <w:rFonts w:ascii="Times New Roman" w:hAnsi="Times New Roman" w:cs="Times New Roman"/>
                <w:b w:val="0"/>
                <w:sz w:val="19"/>
              </w:rPr>
              <w:t>0.3220</w:t>
            </w:r>
          </w:p>
        </w:tc>
        <w:tc>
          <w:tcPr>
            <w:tcW w:type="dxa" w:w="1505"/>
          </w:tcPr>
          <w:p>
            <w:pPr>
              <w:spacing w:after="20" w:before="20"/>
              <w:jc w:val="center"/>
            </w:pPr>
            <w:r/>
            <w:r>
              <w:rPr>
                <w:rFonts w:ascii="Times New Roman" w:hAnsi="Times New Roman" w:cs="Times New Roman"/>
                <w:b w:val="0"/>
                <w:sz w:val="19"/>
              </w:rPr>
              <w:t>0</w:t>
            </w:r>
          </w:p>
        </w:tc>
        <w:tc>
          <w:tcPr>
            <w:tcW w:type="dxa" w:w="1505"/>
          </w:tcPr>
          <w:p>
            <w:pPr>
              <w:spacing w:after="20" w:before="20"/>
              <w:jc w:val="center"/>
            </w:pPr>
            <w:r/>
            <w:r>
              <w:rPr>
                <w:rFonts w:ascii="Times New Roman" w:hAnsi="Times New Roman" w:cs="Times New Roman"/>
                <w:b w:val="0"/>
                <w:sz w:val="19"/>
              </w:rPr>
              <w:t>0.0000</w:t>
            </w:r>
          </w:p>
        </w:tc>
      </w:tr>
      <w:tr>
        <w:tc>
          <w:tcPr>
            <w:tcW w:type="dxa" w:w="1505"/>
          </w:tcPr>
          <w:p>
            <w:pPr>
              <w:spacing w:after="20" w:before="20"/>
              <w:jc w:val="center"/>
            </w:pPr>
            <w:r/>
            <w:r>
              <w:rPr>
                <w:rFonts w:ascii="Times New Roman" w:hAnsi="Times New Roman" w:cs="Times New Roman"/>
                <w:b w:val="0"/>
                <w:sz w:val="19"/>
              </w:rPr>
              <w:t>1.25</w:t>
            </w:r>
          </w:p>
        </w:tc>
        <w:tc>
          <w:tcPr>
            <w:tcW w:type="dxa" w:w="1505"/>
          </w:tcPr>
          <w:p>
            <w:pPr>
              <w:spacing w:after="20" w:before="20"/>
              <w:jc w:val="center"/>
            </w:pPr>
            <w:r/>
            <w:r>
              <w:rPr>
                <w:rFonts w:ascii="Times New Roman" w:hAnsi="Times New Roman" w:cs="Times New Roman"/>
                <w:b w:val="0"/>
                <w:sz w:val="19"/>
              </w:rPr>
              <w:t>20</w:t>
            </w:r>
          </w:p>
        </w:tc>
        <w:tc>
          <w:tcPr>
            <w:tcW w:type="dxa" w:w="1505"/>
          </w:tcPr>
          <w:p>
            <w:pPr>
              <w:spacing w:after="20" w:before="20"/>
              <w:jc w:val="center"/>
            </w:pPr>
            <w:r/>
            <w:r>
              <w:rPr>
                <w:rFonts w:ascii="Times New Roman" w:hAnsi="Times New Roman" w:cs="Times New Roman"/>
                <w:b w:val="0"/>
                <w:sz w:val="19"/>
              </w:rPr>
              <w:t>0.2081 ± 0.0009</w:t>
            </w:r>
          </w:p>
        </w:tc>
        <w:tc>
          <w:tcPr>
            <w:tcW w:type="dxa" w:w="1505"/>
          </w:tcPr>
          <w:p>
            <w:pPr>
              <w:spacing w:after="20" w:before="20"/>
              <w:jc w:val="center"/>
            </w:pPr>
            <w:r/>
            <w:r>
              <w:rPr>
                <w:rFonts w:ascii="Times New Roman" w:hAnsi="Times New Roman" w:cs="Times New Roman"/>
                <w:b w:val="0"/>
                <w:sz w:val="19"/>
              </w:rPr>
              <w:t>0.2085</w:t>
            </w:r>
          </w:p>
        </w:tc>
        <w:tc>
          <w:tcPr>
            <w:tcW w:type="dxa" w:w="1505"/>
          </w:tcPr>
          <w:p>
            <w:pPr>
              <w:spacing w:after="20" w:before="20"/>
              <w:jc w:val="center"/>
            </w:pPr>
            <w:r/>
            <w:r>
              <w:rPr>
                <w:rFonts w:ascii="Times New Roman" w:hAnsi="Times New Roman" w:cs="Times New Roman"/>
                <w:b w:val="0"/>
                <w:sz w:val="19"/>
              </w:rPr>
              <w:t>0.0565 ± 0.0001</w:t>
            </w:r>
          </w:p>
        </w:tc>
        <w:tc>
          <w:tcPr>
            <w:tcW w:type="dxa" w:w="1505"/>
          </w:tcPr>
          <w:p>
            <w:pPr>
              <w:spacing w:after="20" w:before="20"/>
              <w:jc w:val="center"/>
            </w:pPr>
            <w:r/>
            <w:r>
              <w:rPr>
                <w:rFonts w:ascii="Times New Roman" w:hAnsi="Times New Roman" w:cs="Times New Roman"/>
                <w:b w:val="0"/>
                <w:sz w:val="19"/>
              </w:rPr>
              <w:t>0.0564</w:t>
            </w:r>
          </w:p>
        </w:tc>
      </w:tr>
      <w:tr>
        <w:tc>
          <w:tcPr>
            <w:tcW w:type="dxa" w:w="1505"/>
          </w:tcPr>
          <w:p>
            <w:pPr>
              <w:spacing w:after="20" w:before="20"/>
              <w:jc w:val="center"/>
            </w:pPr>
            <w:r/>
            <w:r>
              <w:rPr>
                <w:rFonts w:ascii="Times New Roman" w:hAnsi="Times New Roman" w:cs="Times New Roman"/>
                <w:b w:val="0"/>
                <w:sz w:val="19"/>
              </w:rPr>
              <w:t>1.25</w:t>
            </w:r>
          </w:p>
        </w:tc>
        <w:tc>
          <w:tcPr>
            <w:tcW w:type="dxa" w:w="1505"/>
          </w:tcPr>
          <w:p>
            <w:pPr>
              <w:spacing w:after="20" w:before="20"/>
              <w:jc w:val="center"/>
            </w:pPr>
            <w:r/>
            <w:r>
              <w:rPr>
                <w:rFonts w:ascii="Times New Roman" w:hAnsi="Times New Roman" w:cs="Times New Roman"/>
                <w:b w:val="0"/>
                <w:sz w:val="19"/>
              </w:rPr>
              <w:t>50</w:t>
            </w:r>
          </w:p>
        </w:tc>
        <w:tc>
          <w:tcPr>
            <w:tcW w:type="dxa" w:w="1505"/>
          </w:tcPr>
          <w:p>
            <w:pPr>
              <w:spacing w:after="20" w:before="20"/>
              <w:jc w:val="center"/>
            </w:pPr>
            <w:r/>
            <w:r>
              <w:rPr>
                <w:rFonts w:ascii="Times New Roman" w:hAnsi="Times New Roman" w:cs="Times New Roman"/>
                <w:b w:val="0"/>
                <w:sz w:val="19"/>
              </w:rPr>
              <w:t>0.1996 ± 0.0011</w:t>
            </w:r>
          </w:p>
        </w:tc>
        <w:tc>
          <w:tcPr>
            <w:tcW w:type="dxa" w:w="1505"/>
          </w:tcPr>
          <w:p>
            <w:pPr>
              <w:spacing w:after="20" w:before="20"/>
              <w:jc w:val="center"/>
            </w:pPr>
            <w:r/>
            <w:r>
              <w:rPr>
                <w:rFonts w:ascii="Times New Roman" w:hAnsi="Times New Roman" w:cs="Times New Roman"/>
                <w:b w:val="0"/>
                <w:sz w:val="19"/>
              </w:rPr>
              <w:t>0.2000</w:t>
            </w:r>
          </w:p>
        </w:tc>
        <w:tc>
          <w:tcPr>
            <w:tcW w:type="dxa" w:w="1505"/>
          </w:tcPr>
          <w:p>
            <w:pPr>
              <w:spacing w:after="20" w:before="20"/>
              <w:jc w:val="center"/>
            </w:pPr>
            <w:r/>
            <w:r>
              <w:rPr>
                <w:rFonts w:ascii="Times New Roman" w:hAnsi="Times New Roman" w:cs="Times New Roman"/>
                <w:b w:val="0"/>
                <w:sz w:val="19"/>
              </w:rPr>
              <w:t>0.2999 ± 0.0006</w:t>
            </w:r>
          </w:p>
        </w:tc>
        <w:tc>
          <w:tcPr>
            <w:tcW w:type="dxa" w:w="1505"/>
          </w:tcPr>
          <w:p>
            <w:pPr>
              <w:spacing w:after="20" w:before="20"/>
              <w:jc w:val="center"/>
            </w:pPr>
            <w:r/>
            <w:r>
              <w:rPr>
                <w:rFonts w:ascii="Times New Roman" w:hAnsi="Times New Roman" w:cs="Times New Roman"/>
                <w:b w:val="0"/>
                <w:sz w:val="19"/>
              </w:rPr>
              <w:t>0.3000</w:t>
            </w:r>
          </w:p>
        </w:tc>
      </w:tr>
      <w:tr>
        <w:tc>
          <w:tcPr>
            <w:tcW w:type="dxa" w:w="1505"/>
          </w:tcPr>
          <w:p>
            <w:pPr>
              <w:spacing w:after="20" w:before="20"/>
              <w:jc w:val="center"/>
            </w:pPr>
            <w:r/>
            <w:r>
              <w:rPr>
                <w:rFonts w:ascii="Times New Roman" w:hAnsi="Times New Roman" w:cs="Times New Roman"/>
                <w:b w:val="0"/>
                <w:sz w:val="19"/>
              </w:rPr>
              <w:t>1.25</w:t>
            </w:r>
          </w:p>
        </w:tc>
        <w:tc>
          <w:tcPr>
            <w:tcW w:type="dxa" w:w="1505"/>
          </w:tcPr>
          <w:p>
            <w:pPr>
              <w:spacing w:after="20" w:before="20"/>
              <w:jc w:val="center"/>
            </w:pPr>
            <w:r/>
            <w:r>
              <w:rPr>
                <w:rFonts w:ascii="Times New Roman" w:hAnsi="Times New Roman" w:cs="Times New Roman"/>
                <w:b w:val="0"/>
                <w:sz w:val="19"/>
              </w:rPr>
              <w:t>200</w:t>
            </w:r>
          </w:p>
        </w:tc>
        <w:tc>
          <w:tcPr>
            <w:tcW w:type="dxa" w:w="1505"/>
          </w:tcPr>
          <w:p>
            <w:pPr>
              <w:spacing w:after="20" w:before="20"/>
              <w:jc w:val="center"/>
            </w:pPr>
            <w:r/>
            <w:r>
              <w:rPr>
                <w:rFonts w:ascii="Times New Roman" w:hAnsi="Times New Roman" w:cs="Times New Roman"/>
                <w:b w:val="0"/>
                <w:sz w:val="19"/>
              </w:rPr>
              <w:t>0.1998 ± 0.0010</w:t>
            </w:r>
          </w:p>
        </w:tc>
        <w:tc>
          <w:tcPr>
            <w:tcW w:type="dxa" w:w="1505"/>
          </w:tcPr>
          <w:p>
            <w:pPr>
              <w:spacing w:after="20" w:before="20"/>
              <w:jc w:val="center"/>
            </w:pPr>
            <w:r/>
            <w:r>
              <w:rPr>
                <w:rFonts w:ascii="Times New Roman" w:hAnsi="Times New Roman" w:cs="Times New Roman"/>
                <w:b w:val="0"/>
                <w:sz w:val="19"/>
              </w:rPr>
              <w:t>0.2000</w:t>
            </w:r>
          </w:p>
        </w:tc>
        <w:tc>
          <w:tcPr>
            <w:tcW w:type="dxa" w:w="1505"/>
          </w:tcPr>
          <w:p>
            <w:pPr>
              <w:spacing w:after="20" w:before="20"/>
              <w:jc w:val="center"/>
            </w:pPr>
            <w:r/>
            <w:r>
              <w:rPr>
                <w:rFonts w:ascii="Times New Roman" w:hAnsi="Times New Roman" w:cs="Times New Roman"/>
                <w:b w:val="0"/>
                <w:sz w:val="19"/>
              </w:rPr>
              <w:t>1.5503 ± 0.0019</w:t>
            </w:r>
          </w:p>
        </w:tc>
        <w:tc>
          <w:tcPr>
            <w:tcW w:type="dxa" w:w="1505"/>
          </w:tcPr>
          <w:p>
            <w:pPr>
              <w:spacing w:after="20" w:before="20"/>
              <w:jc w:val="center"/>
            </w:pPr>
            <w:r/>
            <w:r>
              <w:rPr>
                <w:rFonts w:ascii="Times New Roman" w:hAnsi="Times New Roman" w:cs="Times New Roman"/>
                <w:b w:val="0"/>
                <w:sz w:val="19"/>
              </w:rPr>
              <w:t>1.5500</w:t>
            </w:r>
          </w:p>
        </w:tc>
      </w:tr>
    </w:tbl>
    <w:p>
      <w:pPr>
        <w:spacing w:after="80" w:before="0"/>
      </w:pPr>
    </w:p>
    <w:p>
      <w:pPr>
        <w:spacing w:after="40" w:before="80"/>
        <w:jc w:val="center"/>
      </w:pPr>
      <w:r>
        <w:drawing>
          <wp:inline xmlns:a="http://schemas.openxmlformats.org/drawingml/2006/main" xmlns:pic="http://schemas.openxmlformats.org/drawingml/2006/picture">
            <wp:extent cx="5760720" cy="2168013"/>
            <wp:docPr id="13" name="Picture 13"/>
            <wp:cNvGraphicFramePr>
              <a:graphicFrameLocks noChangeAspect="1"/>
            </wp:cNvGraphicFramePr>
            <a:graphic>
              <a:graphicData uri="http://schemas.openxmlformats.org/drawingml/2006/picture">
                <pic:pic>
                  <pic:nvPicPr>
                    <pic:cNvPr id="0" name="fig16_finite_capacity.png"/>
                    <pic:cNvPicPr/>
                  </pic:nvPicPr>
                  <pic:blipFill>
                    <a:blip r:embed="rId21"/>
                    <a:stretch>
                      <a:fillRect/>
                    </a:stretch>
                  </pic:blipFill>
                  <pic:spPr>
                    <a:xfrm>
                      <a:off x="0" y="0"/>
                      <a:ext cx="5760720" cy="2168013"/>
                    </a:xfrm>
                    <a:prstGeom prst="rect"/>
                  </pic:spPr>
                </pic:pic>
              </a:graphicData>
            </a:graphic>
          </wp:inline>
        </w:drawing>
      </w:r>
    </w:p>
    <w:p>
      <w:pPr>
        <w:spacing w:after="80" w:before="40"/>
        <w:jc w:val="center"/>
      </w:pPr>
      <w:r>
        <w:rPr>
          <w:rFonts w:ascii="Times New Roman" w:hAnsi="Times New Roman" w:cs="Times New Roman"/>
          <w:b/>
          <w:sz w:val="19"/>
        </w:rPr>
        <w:t>Figure 13:</w:t>
      </w:r>
      <w:r>
        <w:rPr>
          <w:rFonts w:ascii="Times New Roman" w:hAnsi="Times New Roman" w:cs="Times New Roman"/>
          <w:sz w:val="19"/>
        </w:rPr>
        <w:t xml:space="preserve"> (A) Blocking probability and (B) mean wait of admitted messages versus capacity K; dashed lines are exact.</w:t>
      </w:r>
    </w:p>
    <w:p>
      <w:pPr>
        <w:spacing w:after="120" w:before="0"/>
        <w:jc w:val="both"/>
      </w:pPr>
      <w:r>
        <w:rPr>
          <w:rFonts w:ascii="Times New Roman" w:hAnsi="Times New Roman" w:cs="Times New Roman"/>
          <w:sz w:val="22"/>
        </w:rPr>
        <w:t>Simulation agrees with the exact solution: 39 of 42 blocking and waiting-time comparisons fall inside the 95% confidence interval; two of the others differ from the exact value by less than 2%, and the third is a blocking probability of order 10⁻²⁰ that no finite run can observe [21]. The sweep shows the buffer-sizing trade-off. At ρ = 0.8 a modest buffer nearly eliminates loss (P_K = 1.1e-05 at K = 50). In overload (ρ = 1.25) no buffer can help: blocking falls only from 0.322 at K = 10 to the limiting 1 − 1/ρ = 0.200, while the wait of admitted messages grows to 1.55 s at K = 200. In overload a large buffer only converts rejections into delay.</w:t>
      </w:r>
    </w:p>
    <w:p>
      <w:pPr>
        <w:spacing w:after="60" w:before="120"/>
      </w:pPr>
      <w:r>
        <w:rPr>
          <w:rFonts w:ascii="Times New Roman" w:hAnsi="Times New Roman" w:cs="Times New Roman"/>
          <w:b/>
          <w:sz w:val="24"/>
        </w:rPr>
        <w:t>6.3   Priority Queueing</w:t>
      </w:r>
    </w:p>
    <w:p>
      <w:pPr>
        <w:spacing w:after="120" w:before="0"/>
        <w:jc w:val="both"/>
      </w:pPr>
      <w:r>
        <w:rPr>
          <w:rFonts w:ascii="Times New Roman" w:hAnsi="Times New Roman" w:cs="Times New Roman"/>
          <w:sz w:val="22"/>
        </w:rPr>
        <w:t>Brokers often serve a high-priority class ahead of standard traffic. With equal exponential service rates, Cobham's formula [23] gives the non-preemptive mean wait of class k as</w:t>
      </w:r>
    </w:p>
    <w:p>
      <w:pPr>
        <w:spacing w:after="120" w:before="40"/>
        <w:jc w:val="center"/>
      </w:pPr>
      <w:r>
        <w:rPr>
          <w:rFonts w:ascii="Times New Roman" w:hAnsi="Times New Roman" w:cs="Times New Roman"/>
          <w:sz w:val="22"/>
        </w:rPr>
        <w:t>W_k = [C(N, a)/(N·μ)] / [(1 − σ_{k−1})(1 − σ_k)]                         (7)</w:t>
      </w:r>
    </w:p>
    <w:p>
      <w:pPr>
        <w:spacing w:after="120" w:before="0"/>
        <w:jc w:val="both"/>
      </w:pPr>
      <w:r>
        <w:rPr>
          <w:rFonts w:ascii="Times New Roman" w:hAnsi="Times New Roman" w:cs="Times New Roman"/>
          <w:sz w:val="22"/>
        </w:rPr>
        <w:t>where C(N, a) is the Erlang-C probability and σ_k is the utilization of classes 1…k. We simulated non-preemptive and preemptive-resume priority with N = 10, μ = 12, a 20%/80% high/low split, and λ = 100 msg/s (ρ = 0.83), plus sweeps over load and high-priority share (2000 s runs, 200 s warm-up, 20 replications).</w:t>
      </w:r>
    </w:p>
    <w:p>
      <w:pPr>
        <w:spacing w:after="80" w:before="40"/>
        <w:jc w:val="center"/>
      </w:pPr>
      <w:r>
        <w:rPr>
          <w:rFonts w:ascii="Times New Roman" w:hAnsi="Times New Roman" w:cs="Times New Roman"/>
          <w:b/>
          <w:sz w:val="19"/>
        </w:rPr>
        <w:t>Table 14:</w:t>
      </w:r>
      <w:r>
        <w:rPr>
          <w:rFonts w:ascii="Times New Roman" w:hAnsi="Times New Roman" w:cs="Times New Roman"/>
          <w:sz w:val="19"/>
        </w:rPr>
        <w:t xml:space="preserve"> Priority classes at λ = 100 msg/s, 20% high priority (mean ± 95% CI, 20 replications).</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20" w:before="20"/>
              <w:jc w:val="center"/>
            </w:pPr>
            <w:r/>
            <w:r>
              <w:rPr>
                <w:rFonts w:ascii="Times New Roman" w:hAnsi="Times New Roman" w:cs="Times New Roman"/>
                <w:b/>
                <w:sz w:val="19"/>
              </w:rPr>
              <w:t>Discipline</w:t>
            </w:r>
          </w:p>
        </w:tc>
        <w:tc>
          <w:tcPr>
            <w:tcW w:type="dxa" w:w="1806"/>
          </w:tcPr>
          <w:p>
            <w:pPr>
              <w:spacing w:after="20" w:before="20"/>
              <w:jc w:val="center"/>
            </w:pPr>
            <w:r/>
            <w:r>
              <w:rPr>
                <w:rFonts w:ascii="Times New Roman" w:hAnsi="Times New Roman" w:cs="Times New Roman"/>
                <w:b/>
                <w:sz w:val="19"/>
              </w:rPr>
              <w:t>Class</w:t>
            </w:r>
          </w:p>
        </w:tc>
        <w:tc>
          <w:tcPr>
            <w:tcW w:type="dxa" w:w="1806"/>
          </w:tcPr>
          <w:p>
            <w:pPr>
              <w:spacing w:after="20" w:before="20"/>
              <w:jc w:val="center"/>
            </w:pPr>
            <w:r/>
            <w:r>
              <w:rPr>
                <w:rFonts w:ascii="Times New Roman" w:hAnsi="Times New Roman" w:cs="Times New Roman"/>
                <w:b/>
                <w:sz w:val="19"/>
              </w:rPr>
              <w:t>Sim mean wait (s)</w:t>
            </w:r>
          </w:p>
        </w:tc>
        <w:tc>
          <w:tcPr>
            <w:tcW w:type="dxa" w:w="1806"/>
          </w:tcPr>
          <w:p>
            <w:pPr>
              <w:spacing w:after="20" w:before="20"/>
              <w:jc w:val="center"/>
            </w:pPr>
            <w:r/>
            <w:r>
              <w:rPr>
                <w:rFonts w:ascii="Times New Roman" w:hAnsi="Times New Roman" w:cs="Times New Roman"/>
                <w:b/>
                <w:sz w:val="19"/>
              </w:rPr>
              <w:t>Analytical (s)</w:t>
            </w:r>
          </w:p>
        </w:tc>
        <w:tc>
          <w:tcPr>
            <w:tcW w:type="dxa" w:w="1806"/>
          </w:tcPr>
          <w:p>
            <w:pPr>
              <w:spacing w:after="20" w:before="20"/>
              <w:jc w:val="center"/>
            </w:pPr>
            <w:r/>
            <w:r>
              <w:rPr>
                <w:rFonts w:ascii="Times New Roman" w:hAnsi="Times New Roman" w:cs="Times New Roman"/>
                <w:b/>
                <w:sz w:val="19"/>
              </w:rPr>
              <w:t>Sim P99 wait (s)</w:t>
            </w:r>
          </w:p>
        </w:tc>
      </w:tr>
      <w:tr>
        <w:tc>
          <w:tcPr>
            <w:tcW w:type="dxa" w:w="1806"/>
          </w:tcPr>
          <w:p>
            <w:pPr>
              <w:spacing w:after="20" w:before="20"/>
              <w:jc w:val="center"/>
            </w:pPr>
            <w:r/>
            <w:r>
              <w:rPr>
                <w:rFonts w:ascii="Times New Roman" w:hAnsi="Times New Roman" w:cs="Times New Roman"/>
                <w:b w:val="0"/>
                <w:sz w:val="19"/>
              </w:rPr>
              <w:t>Non-preemptive</w:t>
            </w:r>
          </w:p>
        </w:tc>
        <w:tc>
          <w:tcPr>
            <w:tcW w:type="dxa" w:w="1806"/>
          </w:tcPr>
          <w:p>
            <w:pPr>
              <w:spacing w:after="20" w:before="20"/>
              <w:jc w:val="center"/>
            </w:pPr>
            <w:r/>
            <w:r>
              <w:rPr>
                <w:rFonts w:ascii="Times New Roman" w:hAnsi="Times New Roman" w:cs="Times New Roman"/>
                <w:b w:val="0"/>
                <w:sz w:val="19"/>
              </w:rPr>
              <w:t>High</w:t>
            </w:r>
          </w:p>
        </w:tc>
        <w:tc>
          <w:tcPr>
            <w:tcW w:type="dxa" w:w="1806"/>
          </w:tcPr>
          <w:p>
            <w:pPr>
              <w:spacing w:after="20" w:before="20"/>
              <w:jc w:val="center"/>
            </w:pPr>
            <w:r/>
            <w:r>
              <w:rPr>
                <w:rFonts w:ascii="Times New Roman" w:hAnsi="Times New Roman" w:cs="Times New Roman"/>
                <w:b w:val="0"/>
                <w:sz w:val="19"/>
              </w:rPr>
              <w:t>0.00487 ± 0.00005</w:t>
            </w:r>
          </w:p>
        </w:tc>
        <w:tc>
          <w:tcPr>
            <w:tcW w:type="dxa" w:w="1806"/>
          </w:tcPr>
          <w:p>
            <w:pPr>
              <w:spacing w:after="20" w:before="20"/>
              <w:jc w:val="center"/>
            </w:pPr>
            <w:r/>
            <w:r>
              <w:rPr>
                <w:rFonts w:ascii="Times New Roman" w:hAnsi="Times New Roman" w:cs="Times New Roman"/>
                <w:b w:val="0"/>
                <w:sz w:val="19"/>
              </w:rPr>
              <w:t>0.00488</w:t>
            </w:r>
          </w:p>
        </w:tc>
        <w:tc>
          <w:tcPr>
            <w:tcW w:type="dxa" w:w="1806"/>
          </w:tcPr>
          <w:p>
            <w:pPr>
              <w:spacing w:after="20" w:before="20"/>
              <w:jc w:val="center"/>
            </w:pPr>
            <w:r/>
            <w:r>
              <w:rPr>
                <w:rFonts w:ascii="Times New Roman" w:hAnsi="Times New Roman" w:cs="Times New Roman"/>
                <w:b w:val="0"/>
                <w:sz w:val="19"/>
              </w:rPr>
              <w:t>0.0390</w:t>
            </w:r>
          </w:p>
        </w:tc>
      </w:tr>
      <w:tr>
        <w:tc>
          <w:tcPr>
            <w:tcW w:type="dxa" w:w="1806"/>
          </w:tcPr>
          <w:p>
            <w:pPr>
              <w:spacing w:after="20" w:before="20"/>
              <w:jc w:val="center"/>
            </w:pPr>
            <w:r/>
            <w:r>
              <w:rPr>
                <w:rFonts w:ascii="Times New Roman" w:hAnsi="Times New Roman" w:cs="Times New Roman"/>
                <w:b w:val="0"/>
                <w:sz w:val="19"/>
              </w:rPr>
              <w:t>Non-preemptive</w:t>
            </w:r>
          </w:p>
        </w:tc>
        <w:tc>
          <w:tcPr>
            <w:tcW w:type="dxa" w:w="1806"/>
          </w:tcPr>
          <w:p>
            <w:pPr>
              <w:spacing w:after="20" w:before="20"/>
              <w:jc w:val="center"/>
            </w:pPr>
            <w:r/>
            <w:r>
              <w:rPr>
                <w:rFonts w:ascii="Times New Roman" w:hAnsi="Times New Roman" w:cs="Times New Roman"/>
                <w:b w:val="0"/>
                <w:sz w:val="19"/>
              </w:rPr>
              <w:t>Low</w:t>
            </w:r>
          </w:p>
        </w:tc>
        <w:tc>
          <w:tcPr>
            <w:tcW w:type="dxa" w:w="1806"/>
          </w:tcPr>
          <w:p>
            <w:pPr>
              <w:spacing w:after="20" w:before="20"/>
              <w:jc w:val="center"/>
            </w:pPr>
            <w:r/>
            <w:r>
              <w:rPr>
                <w:rFonts w:ascii="Times New Roman" w:hAnsi="Times New Roman" w:cs="Times New Roman"/>
                <w:b w:val="0"/>
                <w:sz w:val="19"/>
              </w:rPr>
              <w:t>0.02915 ± 0.00082</w:t>
            </w:r>
          </w:p>
        </w:tc>
        <w:tc>
          <w:tcPr>
            <w:tcW w:type="dxa" w:w="1806"/>
          </w:tcPr>
          <w:p>
            <w:pPr>
              <w:spacing w:after="20" w:before="20"/>
              <w:jc w:val="center"/>
            </w:pPr>
            <w:r/>
            <w:r>
              <w:rPr>
                <w:rFonts w:ascii="Times New Roman" w:hAnsi="Times New Roman" w:cs="Times New Roman"/>
                <w:b w:val="0"/>
                <w:sz w:val="19"/>
              </w:rPr>
              <w:t>0.02926</w:t>
            </w:r>
          </w:p>
        </w:tc>
        <w:tc>
          <w:tcPr>
            <w:tcW w:type="dxa" w:w="1806"/>
          </w:tcPr>
          <w:p>
            <w:pPr>
              <w:spacing w:after="20" w:before="20"/>
              <w:jc w:val="center"/>
            </w:pPr>
            <w:r/>
            <w:r>
              <w:rPr>
                <w:rFonts w:ascii="Times New Roman" w:hAnsi="Times New Roman" w:cs="Times New Roman"/>
                <w:b w:val="0"/>
                <w:sz w:val="19"/>
              </w:rPr>
              <w:t>0.2384</w:t>
            </w:r>
          </w:p>
        </w:tc>
      </w:tr>
      <w:tr>
        <w:tc>
          <w:tcPr>
            <w:tcW w:type="dxa" w:w="1806"/>
          </w:tcPr>
          <w:p>
            <w:pPr>
              <w:spacing w:after="20" w:before="20"/>
              <w:jc w:val="center"/>
            </w:pPr>
            <w:r/>
            <w:r>
              <w:rPr>
                <w:rFonts w:ascii="Times New Roman" w:hAnsi="Times New Roman" w:cs="Times New Roman"/>
                <w:b w:val="0"/>
                <w:sz w:val="19"/>
              </w:rPr>
              <w:t>Non-preemptive</w:t>
            </w:r>
          </w:p>
        </w:tc>
        <w:tc>
          <w:tcPr>
            <w:tcW w:type="dxa" w:w="1806"/>
          </w:tcPr>
          <w:p>
            <w:pPr>
              <w:spacing w:after="20" w:before="20"/>
              <w:jc w:val="center"/>
            </w:pPr>
            <w:r/>
            <w:r>
              <w:rPr>
                <w:rFonts w:ascii="Times New Roman" w:hAnsi="Times New Roman" w:cs="Times New Roman"/>
                <w:b w:val="0"/>
                <w:sz w:val="19"/>
              </w:rPr>
              <w:t>All (load-weighted)</w:t>
            </w:r>
          </w:p>
        </w:tc>
        <w:tc>
          <w:tcPr>
            <w:tcW w:type="dxa" w:w="1806"/>
          </w:tcPr>
          <w:p>
            <w:pPr>
              <w:spacing w:after="20" w:before="20"/>
              <w:jc w:val="center"/>
            </w:pPr>
            <w:r/>
            <w:r>
              <w:rPr>
                <w:rFonts w:ascii="Times New Roman" w:hAnsi="Times New Roman" w:cs="Times New Roman"/>
                <w:b w:val="0"/>
                <w:sz w:val="19"/>
              </w:rPr>
              <w:t>0.02429 ± 0.00066</w:t>
            </w:r>
          </w:p>
        </w:tc>
        <w:tc>
          <w:tcPr>
            <w:tcW w:type="dxa" w:w="1806"/>
          </w:tcPr>
          <w:p>
            <w:pPr>
              <w:spacing w:after="20" w:before="20"/>
              <w:jc w:val="center"/>
            </w:pPr>
            <w:r/>
            <w:r>
              <w:rPr>
                <w:rFonts w:ascii="Times New Roman" w:hAnsi="Times New Roman" w:cs="Times New Roman"/>
                <w:b w:val="0"/>
                <w:sz w:val="19"/>
              </w:rPr>
              <w:t>0.02438</w:t>
            </w:r>
          </w:p>
        </w:tc>
        <w:tc>
          <w:tcPr>
            <w:tcW w:type="dxa" w:w="1806"/>
          </w:tcPr>
          <w:p>
            <w:pPr>
              <w:spacing w:after="20" w:before="20"/>
              <w:jc w:val="center"/>
            </w:pPr>
            <w:r/>
            <w:r>
              <w:rPr>
                <w:rFonts w:ascii="Times New Roman" w:hAnsi="Times New Roman" w:cs="Times New Roman"/>
                <w:b w:val="0"/>
                <w:sz w:val="19"/>
              </w:rPr>
              <w:t>0.2247</w:t>
            </w:r>
          </w:p>
        </w:tc>
      </w:tr>
      <w:tr>
        <w:tc>
          <w:tcPr>
            <w:tcW w:type="dxa" w:w="1806"/>
          </w:tcPr>
          <w:p>
            <w:pPr>
              <w:spacing w:after="20" w:before="20"/>
              <w:jc w:val="center"/>
            </w:pPr>
            <w:r/>
            <w:r>
              <w:rPr>
                <w:rFonts w:ascii="Times New Roman" w:hAnsi="Times New Roman" w:cs="Times New Roman"/>
                <w:b w:val="0"/>
                <w:sz w:val="19"/>
              </w:rPr>
              <w:t>Preemptive-resume</w:t>
            </w:r>
          </w:p>
        </w:tc>
        <w:tc>
          <w:tcPr>
            <w:tcW w:type="dxa" w:w="1806"/>
          </w:tcPr>
          <w:p>
            <w:pPr>
              <w:spacing w:after="20" w:before="20"/>
              <w:jc w:val="center"/>
            </w:pPr>
            <w:r/>
            <w:r>
              <w:rPr>
                <w:rFonts w:ascii="Times New Roman" w:hAnsi="Times New Roman" w:cs="Times New Roman"/>
                <w:b w:val="0"/>
                <w:sz w:val="19"/>
              </w:rPr>
              <w:t>High</w:t>
            </w:r>
          </w:p>
        </w:tc>
        <w:tc>
          <w:tcPr>
            <w:tcW w:type="dxa" w:w="1806"/>
          </w:tcPr>
          <w:p>
            <w:pPr>
              <w:spacing w:after="20" w:before="20"/>
              <w:jc w:val="center"/>
            </w:pPr>
            <w:r/>
            <w:r>
              <w:rPr>
                <w:rFonts w:ascii="Times New Roman" w:hAnsi="Times New Roman" w:cs="Times New Roman"/>
                <w:b w:val="0"/>
                <w:sz w:val="19"/>
              </w:rPr>
              <w:t>0.00000 ± 0.00000</w:t>
            </w:r>
          </w:p>
        </w:tc>
        <w:tc>
          <w:tcPr>
            <w:tcW w:type="dxa" w:w="1806"/>
          </w:tcPr>
          <w:p>
            <w:pPr>
              <w:spacing w:after="20" w:before="20"/>
              <w:jc w:val="center"/>
            </w:pPr>
            <w:r/>
            <w:r>
              <w:rPr>
                <w:rFonts w:ascii="Times New Roman" w:hAnsi="Times New Roman" w:cs="Times New Roman"/>
                <w:b w:val="0"/>
                <w:sz w:val="19"/>
              </w:rPr>
              <w:t>0.00000</w:t>
            </w:r>
          </w:p>
        </w:tc>
        <w:tc>
          <w:tcPr>
            <w:tcW w:type="dxa" w:w="1806"/>
          </w:tcPr>
          <w:p>
            <w:pPr>
              <w:spacing w:after="20" w:before="20"/>
              <w:jc w:val="center"/>
            </w:pPr>
            <w:r/>
            <w:r>
              <w:rPr>
                <w:rFonts w:ascii="Times New Roman" w:hAnsi="Times New Roman" w:cs="Times New Roman"/>
                <w:b w:val="0"/>
                <w:sz w:val="19"/>
              </w:rPr>
              <w:t>0.0000</w:t>
            </w:r>
          </w:p>
        </w:tc>
      </w:tr>
      <w:tr>
        <w:tc>
          <w:tcPr>
            <w:tcW w:type="dxa" w:w="1806"/>
          </w:tcPr>
          <w:p>
            <w:pPr>
              <w:spacing w:after="20" w:before="20"/>
              <w:jc w:val="center"/>
            </w:pPr>
            <w:r/>
            <w:r>
              <w:rPr>
                <w:rFonts w:ascii="Times New Roman" w:hAnsi="Times New Roman" w:cs="Times New Roman"/>
                <w:b w:val="0"/>
                <w:sz w:val="19"/>
              </w:rPr>
              <w:t>Preemptive-resume</w:t>
            </w:r>
          </w:p>
        </w:tc>
        <w:tc>
          <w:tcPr>
            <w:tcW w:type="dxa" w:w="1806"/>
          </w:tcPr>
          <w:p>
            <w:pPr>
              <w:spacing w:after="20" w:before="20"/>
              <w:jc w:val="center"/>
            </w:pPr>
            <w:r/>
            <w:r>
              <w:rPr>
                <w:rFonts w:ascii="Times New Roman" w:hAnsi="Times New Roman" w:cs="Times New Roman"/>
                <w:b w:val="0"/>
                <w:sz w:val="19"/>
              </w:rPr>
              <w:t>Low</w:t>
            </w:r>
          </w:p>
        </w:tc>
        <w:tc>
          <w:tcPr>
            <w:tcW w:type="dxa" w:w="1806"/>
          </w:tcPr>
          <w:p>
            <w:pPr>
              <w:spacing w:after="20" w:before="20"/>
              <w:jc w:val="center"/>
            </w:pPr>
            <w:r/>
            <w:r>
              <w:rPr>
                <w:rFonts w:ascii="Times New Roman" w:hAnsi="Times New Roman" w:cs="Times New Roman"/>
                <w:b w:val="0"/>
                <w:sz w:val="19"/>
              </w:rPr>
              <w:t>0.03022 ± 0.00076</w:t>
            </w:r>
          </w:p>
        </w:tc>
        <w:tc>
          <w:tcPr>
            <w:tcW w:type="dxa" w:w="1806"/>
          </w:tcPr>
          <w:p>
            <w:pPr>
              <w:spacing w:after="20" w:before="20"/>
              <w:jc w:val="center"/>
            </w:pPr>
            <w:r/>
            <w:r>
              <w:rPr>
                <w:rFonts w:ascii="Times New Roman" w:hAnsi="Times New Roman" w:cs="Times New Roman"/>
                <w:b w:val="0"/>
                <w:sz w:val="19"/>
              </w:rPr>
              <w:t>0.03048</w:t>
            </w:r>
          </w:p>
        </w:tc>
        <w:tc>
          <w:tcPr>
            <w:tcW w:type="dxa" w:w="1806"/>
          </w:tcPr>
          <w:p>
            <w:pPr>
              <w:spacing w:after="20" w:before="20"/>
              <w:jc w:val="center"/>
            </w:pPr>
            <w:r/>
            <w:r>
              <w:rPr>
                <w:rFonts w:ascii="Times New Roman" w:hAnsi="Times New Roman" w:cs="Times New Roman"/>
                <w:b w:val="0"/>
                <w:sz w:val="19"/>
              </w:rPr>
              <w:t>0.2618</w:t>
            </w:r>
          </w:p>
        </w:tc>
      </w:tr>
      <w:tr>
        <w:tc>
          <w:tcPr>
            <w:tcW w:type="dxa" w:w="1806"/>
          </w:tcPr>
          <w:p>
            <w:pPr>
              <w:spacing w:after="20" w:before="20"/>
              <w:jc w:val="center"/>
            </w:pPr>
            <w:r/>
            <w:r>
              <w:rPr>
                <w:rFonts w:ascii="Times New Roman" w:hAnsi="Times New Roman" w:cs="Times New Roman"/>
                <w:b w:val="0"/>
                <w:sz w:val="19"/>
              </w:rPr>
              <w:t>Preemptive-resume</w:t>
            </w:r>
          </w:p>
        </w:tc>
        <w:tc>
          <w:tcPr>
            <w:tcW w:type="dxa" w:w="1806"/>
          </w:tcPr>
          <w:p>
            <w:pPr>
              <w:spacing w:after="20" w:before="20"/>
              <w:jc w:val="center"/>
            </w:pPr>
            <w:r/>
            <w:r>
              <w:rPr>
                <w:rFonts w:ascii="Times New Roman" w:hAnsi="Times New Roman" w:cs="Times New Roman"/>
                <w:b w:val="0"/>
                <w:sz w:val="19"/>
              </w:rPr>
              <w:t>All (load-weighted)</w:t>
            </w:r>
          </w:p>
        </w:tc>
        <w:tc>
          <w:tcPr>
            <w:tcW w:type="dxa" w:w="1806"/>
          </w:tcPr>
          <w:p>
            <w:pPr>
              <w:spacing w:after="20" w:before="20"/>
              <w:jc w:val="center"/>
            </w:pPr>
            <w:r/>
            <w:r>
              <w:rPr>
                <w:rFonts w:ascii="Times New Roman" w:hAnsi="Times New Roman" w:cs="Times New Roman"/>
                <w:b w:val="0"/>
                <w:sz w:val="19"/>
              </w:rPr>
              <w:t>0.02417 ± 0.00061</w:t>
            </w:r>
          </w:p>
        </w:tc>
        <w:tc>
          <w:tcPr>
            <w:tcW w:type="dxa" w:w="1806"/>
          </w:tcPr>
          <w:p>
            <w:pPr>
              <w:spacing w:after="20" w:before="20"/>
              <w:jc w:val="center"/>
            </w:pPr>
            <w:r/>
            <w:r>
              <w:rPr>
                <w:rFonts w:ascii="Times New Roman" w:hAnsi="Times New Roman" w:cs="Times New Roman"/>
                <w:b w:val="0"/>
                <w:sz w:val="19"/>
              </w:rPr>
              <w:t>0.02438</w:t>
            </w:r>
          </w:p>
        </w:tc>
        <w:tc>
          <w:tcPr>
            <w:tcW w:type="dxa" w:w="1806"/>
          </w:tcPr>
          <w:p>
            <w:pPr>
              <w:spacing w:after="20" w:before="20"/>
              <w:jc w:val="center"/>
            </w:pPr>
            <w:r/>
            <w:r>
              <w:rPr>
                <w:rFonts w:ascii="Times New Roman" w:hAnsi="Times New Roman" w:cs="Times New Roman"/>
                <w:b w:val="0"/>
                <w:sz w:val="19"/>
              </w:rPr>
              <w:t>0.2425</w:t>
            </w:r>
          </w:p>
        </w:tc>
      </w:tr>
    </w:tbl>
    <w:p>
      <w:pPr>
        <w:spacing w:after="80" w:before="0"/>
      </w:pPr>
    </w:p>
    <w:p>
      <w:pPr>
        <w:spacing w:after="40" w:before="80"/>
        <w:jc w:val="center"/>
      </w:pPr>
      <w:r>
        <w:drawing>
          <wp:inline xmlns:a="http://schemas.openxmlformats.org/drawingml/2006/main" xmlns:pic="http://schemas.openxmlformats.org/drawingml/2006/picture">
            <wp:extent cx="4754880" cy="2806159"/>
            <wp:docPr id="14" name="Picture 14"/>
            <wp:cNvGraphicFramePr>
              <a:graphicFrameLocks noChangeAspect="1"/>
            </wp:cNvGraphicFramePr>
            <a:graphic>
              <a:graphicData uri="http://schemas.openxmlformats.org/drawingml/2006/picture">
                <pic:pic>
                  <pic:nvPicPr>
                    <pic:cNvPr id="0" name="fig17_priority.png"/>
                    <pic:cNvPicPr/>
                  </pic:nvPicPr>
                  <pic:blipFill>
                    <a:blip r:embed="rId22"/>
                    <a:stretch>
                      <a:fillRect/>
                    </a:stretch>
                  </pic:blipFill>
                  <pic:spPr>
                    <a:xfrm>
                      <a:off x="0" y="0"/>
                      <a:ext cx="4754880" cy="2806159"/>
                    </a:xfrm>
                    <a:prstGeom prst="rect"/>
                  </pic:spPr>
                </pic:pic>
              </a:graphicData>
            </a:graphic>
          </wp:inline>
        </w:drawing>
      </w:r>
    </w:p>
    <w:p>
      <w:pPr>
        <w:spacing w:after="80" w:before="40"/>
        <w:jc w:val="center"/>
      </w:pPr>
      <w:r>
        <w:rPr>
          <w:rFonts w:ascii="Times New Roman" w:hAnsi="Times New Roman" w:cs="Times New Roman"/>
          <w:b/>
          <w:sz w:val="19"/>
        </w:rPr>
        <w:t>Figure 14:</w:t>
      </w:r>
      <w:r>
        <w:rPr>
          <w:rFonts w:ascii="Times New Roman" w:hAnsi="Times New Roman" w:cs="Times New Roman"/>
          <w:sz w:val="19"/>
        </w:rPr>
        <w:t xml:space="preserve"> Per-class mean waiting time versus utilization (20% high priority); dashed lines are analytical, dotted is FCFS M/M/10.</w:t>
      </w:r>
    </w:p>
    <w:p>
      <w:pPr>
        <w:spacing w:after="120" w:before="0"/>
        <w:jc w:val="both"/>
      </w:pPr>
      <w:r>
        <w:rPr>
          <w:rFonts w:ascii="Times New Roman" w:hAnsi="Times New Roman" w:cs="Times New Roman"/>
          <w:sz w:val="22"/>
        </w:rPr>
        <w:t>Non-preemptive priority cuts the high-priority mean wait to 0.00487 s (Cobham 0.00488 s) and raises the low class to 0.02915 s (Cobham 0.02926 s), against 0.02438 s for FCFS. Preemptive-resume reduces the high-priority wait to effectively zero. In both disciplines the load-weighted mean wait equals the FCFS value to within the confidence interval at every high-priority share, confirming the conservation law: priority redistributes delay between classes without removing any. Simulated means fall inside the 95% confidence interval of the analytical value in all but three cases, all of which are preemptive high-priority rows where the simulation observed no waiting at all against an analytical value below 10⁻⁶ s.</w:t>
      </w:r>
    </w:p>
    <w:p>
      <w:pPr>
        <w:spacing w:after="60" w:before="120"/>
      </w:pPr>
      <w:r>
        <w:rPr>
          <w:rFonts w:ascii="Times New Roman" w:hAnsi="Times New Roman" w:cs="Times New Roman"/>
          <w:b/>
          <w:sz w:val="24"/>
        </w:rPr>
        <w:t>6.4   Erlang-k Service (M/E_k/N)</w:t>
      </w:r>
    </w:p>
    <w:p>
      <w:pPr>
        <w:spacing w:after="120" w:before="0"/>
        <w:jc w:val="both"/>
      </w:pPr>
      <w:r>
        <w:rPr>
          <w:rFonts w:ascii="Times New Roman" w:hAnsi="Times New Roman" w:cs="Times New Roman"/>
          <w:sz w:val="22"/>
        </w:rPr>
        <w:t>Finally we reduce service variability: Erlang-k service is a sum of k exponential phases with rate kμ, so its mean stays 1/μ and C_s² = 1/k. We compare simulation with the Allen–Cunneen approximation [24], Wq ≈ Wq^{M/M/N}·(1 + C_s²)/2, and, for k ≤ 4, with the exact mean wait from a numerically solved CTMC, at ρ = 0.5 (λ = 30, N = 6, μ = 10) and ρ = 0.85 (λ = 51) (5000 s runs, 500 s warm-up, 20 replications).</w:t>
      </w:r>
    </w:p>
    <w:p>
      <w:pPr>
        <w:spacing w:after="80" w:before="40"/>
        <w:jc w:val="center"/>
      </w:pPr>
      <w:r>
        <w:rPr>
          <w:rFonts w:ascii="Times New Roman" w:hAnsi="Times New Roman" w:cs="Times New Roman"/>
          <w:b/>
          <w:sz w:val="19"/>
        </w:rPr>
        <w:t>Table 15:</w:t>
      </w:r>
      <w:r>
        <w:rPr>
          <w:rFonts w:ascii="Times New Roman" w:hAnsi="Times New Roman" w:cs="Times New Roman"/>
          <w:sz w:val="19"/>
        </w:rPr>
        <w:t xml:space="preserve"> Erlang-k service (mean wait in ms; mean ± 95% CI, 20 replications).</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after="20" w:before="20"/>
              <w:jc w:val="center"/>
            </w:pPr>
            <w:r/>
            <w:r>
              <w:rPr>
                <w:rFonts w:ascii="Times New Roman" w:hAnsi="Times New Roman" w:cs="Times New Roman"/>
                <w:b/>
                <w:sz w:val="19"/>
              </w:rPr>
              <w:t>ρ</w:t>
            </w:r>
          </w:p>
        </w:tc>
        <w:tc>
          <w:tcPr>
            <w:tcW w:type="dxa" w:w="1290"/>
          </w:tcPr>
          <w:p>
            <w:pPr>
              <w:spacing w:after="20" w:before="20"/>
              <w:jc w:val="center"/>
            </w:pPr>
            <w:r/>
            <w:r>
              <w:rPr>
                <w:rFonts w:ascii="Times New Roman" w:hAnsi="Times New Roman" w:cs="Times New Roman"/>
                <w:b/>
                <w:sz w:val="19"/>
              </w:rPr>
              <w:t>k</w:t>
            </w:r>
          </w:p>
        </w:tc>
        <w:tc>
          <w:tcPr>
            <w:tcW w:type="dxa" w:w="1290"/>
          </w:tcPr>
          <w:p>
            <w:pPr>
              <w:spacing w:after="20" w:before="20"/>
              <w:jc w:val="center"/>
            </w:pPr>
            <w:r/>
            <w:r>
              <w:rPr>
                <w:rFonts w:ascii="Times New Roman" w:hAnsi="Times New Roman" w:cs="Times New Roman"/>
                <w:b/>
                <w:sz w:val="19"/>
              </w:rPr>
              <w:t>C_s²</w:t>
            </w:r>
          </w:p>
        </w:tc>
        <w:tc>
          <w:tcPr>
            <w:tcW w:type="dxa" w:w="1290"/>
          </w:tcPr>
          <w:p>
            <w:pPr>
              <w:spacing w:after="20" w:before="20"/>
              <w:jc w:val="center"/>
            </w:pPr>
            <w:r/>
            <w:r>
              <w:rPr>
                <w:rFonts w:ascii="Times New Roman" w:hAnsi="Times New Roman" w:cs="Times New Roman"/>
                <w:b/>
                <w:sz w:val="19"/>
              </w:rPr>
              <w:t>Sim Wq (ms)</w:t>
            </w:r>
          </w:p>
        </w:tc>
        <w:tc>
          <w:tcPr>
            <w:tcW w:type="dxa" w:w="1290"/>
          </w:tcPr>
          <w:p>
            <w:pPr>
              <w:spacing w:after="20" w:before="20"/>
              <w:jc w:val="center"/>
            </w:pPr>
            <w:r/>
            <w:r>
              <w:rPr>
                <w:rFonts w:ascii="Times New Roman" w:hAnsi="Times New Roman" w:cs="Times New Roman"/>
                <w:b/>
                <w:sz w:val="19"/>
              </w:rPr>
              <w:t>Exact CTMC (ms)</w:t>
            </w:r>
          </w:p>
        </w:tc>
        <w:tc>
          <w:tcPr>
            <w:tcW w:type="dxa" w:w="1290"/>
          </w:tcPr>
          <w:p>
            <w:pPr>
              <w:spacing w:after="20" w:before="20"/>
              <w:jc w:val="center"/>
            </w:pPr>
            <w:r/>
            <w:r>
              <w:rPr>
                <w:rFonts w:ascii="Times New Roman" w:hAnsi="Times New Roman" w:cs="Times New Roman"/>
                <w:b/>
                <w:sz w:val="19"/>
              </w:rPr>
              <w:t>Allen–Cunneen (ms)</w:t>
            </w:r>
          </w:p>
        </w:tc>
        <w:tc>
          <w:tcPr>
            <w:tcW w:type="dxa" w:w="1290"/>
          </w:tcPr>
          <w:p>
            <w:pPr>
              <w:spacing w:after="20" w:before="20"/>
              <w:jc w:val="center"/>
            </w:pPr>
            <w:r/>
            <w:r>
              <w:rPr>
                <w:rFonts w:ascii="Times New Roman" w:hAnsi="Times New Roman" w:cs="Times New Roman"/>
                <w:b/>
                <w:sz w:val="19"/>
              </w:rPr>
              <w:t>Sim P99 wait (ms)</w:t>
            </w:r>
          </w:p>
        </w:tc>
      </w:tr>
      <w:tr>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3.315 ± 0.061</w:t>
            </w:r>
          </w:p>
        </w:tc>
        <w:tc>
          <w:tcPr>
            <w:tcW w:type="dxa" w:w="1290"/>
          </w:tcPr>
          <w:p>
            <w:pPr>
              <w:spacing w:after="20" w:before="20"/>
              <w:jc w:val="center"/>
            </w:pPr>
            <w:r/>
            <w:r>
              <w:rPr>
                <w:rFonts w:ascii="Times New Roman" w:hAnsi="Times New Roman" w:cs="Times New Roman"/>
                <w:b w:val="0"/>
                <w:sz w:val="19"/>
              </w:rPr>
              <w:t>3.305</w:t>
            </w:r>
          </w:p>
        </w:tc>
        <w:tc>
          <w:tcPr>
            <w:tcW w:type="dxa" w:w="1290"/>
          </w:tcPr>
          <w:p>
            <w:pPr>
              <w:spacing w:after="20" w:before="20"/>
              <w:jc w:val="center"/>
            </w:pPr>
            <w:r/>
            <w:r>
              <w:rPr>
                <w:rFonts w:ascii="Times New Roman" w:hAnsi="Times New Roman" w:cs="Times New Roman"/>
                <w:b w:val="0"/>
                <w:sz w:val="19"/>
              </w:rPr>
              <w:t>3.305</w:t>
            </w:r>
          </w:p>
        </w:tc>
        <w:tc>
          <w:tcPr>
            <w:tcW w:type="dxa" w:w="1290"/>
          </w:tcPr>
          <w:p>
            <w:pPr>
              <w:spacing w:after="20" w:before="20"/>
              <w:jc w:val="center"/>
            </w:pPr>
            <w:r/>
            <w:r>
              <w:rPr>
                <w:rFonts w:ascii="Times New Roman" w:hAnsi="Times New Roman" w:cs="Times New Roman"/>
                <w:b w:val="0"/>
                <w:sz w:val="19"/>
              </w:rPr>
              <w:t>76.8</w:t>
            </w:r>
          </w:p>
        </w:tc>
      </w:tr>
      <w:tr>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2</w:t>
            </w:r>
          </w:p>
        </w:tc>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2.697 ± 0.042</w:t>
            </w:r>
          </w:p>
        </w:tc>
        <w:tc>
          <w:tcPr>
            <w:tcW w:type="dxa" w:w="1290"/>
          </w:tcPr>
          <w:p>
            <w:pPr>
              <w:spacing w:after="20" w:before="20"/>
              <w:jc w:val="center"/>
            </w:pPr>
            <w:r/>
            <w:r>
              <w:rPr>
                <w:rFonts w:ascii="Times New Roman" w:hAnsi="Times New Roman" w:cs="Times New Roman"/>
                <w:b w:val="0"/>
                <w:sz w:val="19"/>
              </w:rPr>
              <w:t>2.654</w:t>
            </w:r>
          </w:p>
        </w:tc>
        <w:tc>
          <w:tcPr>
            <w:tcW w:type="dxa" w:w="1290"/>
          </w:tcPr>
          <w:p>
            <w:pPr>
              <w:spacing w:after="20" w:before="20"/>
              <w:jc w:val="center"/>
            </w:pPr>
            <w:r/>
            <w:r>
              <w:rPr>
                <w:rFonts w:ascii="Times New Roman" w:hAnsi="Times New Roman" w:cs="Times New Roman"/>
                <w:b w:val="0"/>
                <w:sz w:val="19"/>
              </w:rPr>
              <w:t>2.479</w:t>
            </w:r>
          </w:p>
        </w:tc>
        <w:tc>
          <w:tcPr>
            <w:tcW w:type="dxa" w:w="1290"/>
          </w:tcPr>
          <w:p>
            <w:pPr>
              <w:spacing w:after="20" w:before="20"/>
              <w:jc w:val="center"/>
            </w:pPr>
            <w:r/>
            <w:r>
              <w:rPr>
                <w:rFonts w:ascii="Times New Roman" w:hAnsi="Times New Roman" w:cs="Times New Roman"/>
                <w:b w:val="0"/>
                <w:sz w:val="19"/>
              </w:rPr>
              <w:t>61.2</w:t>
            </w:r>
          </w:p>
        </w:tc>
      </w:tr>
      <w:tr>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4</w:t>
            </w:r>
          </w:p>
        </w:tc>
        <w:tc>
          <w:tcPr>
            <w:tcW w:type="dxa" w:w="1290"/>
          </w:tcPr>
          <w:p>
            <w:pPr>
              <w:spacing w:after="20" w:before="20"/>
              <w:jc w:val="center"/>
            </w:pPr>
            <w:r/>
            <w:r>
              <w:rPr>
                <w:rFonts w:ascii="Times New Roman" w:hAnsi="Times New Roman" w:cs="Times New Roman"/>
                <w:b w:val="0"/>
                <w:sz w:val="19"/>
              </w:rPr>
              <w:t>0.25</w:t>
            </w:r>
          </w:p>
        </w:tc>
        <w:tc>
          <w:tcPr>
            <w:tcW w:type="dxa" w:w="1290"/>
          </w:tcPr>
          <w:p>
            <w:pPr>
              <w:spacing w:after="20" w:before="20"/>
              <w:jc w:val="center"/>
            </w:pPr>
            <w:r/>
            <w:r>
              <w:rPr>
                <w:rFonts w:ascii="Times New Roman" w:hAnsi="Times New Roman" w:cs="Times New Roman"/>
                <w:b w:val="0"/>
                <w:sz w:val="19"/>
              </w:rPr>
              <w:t>2.328 ± 0.036</w:t>
            </w:r>
          </w:p>
        </w:tc>
        <w:tc>
          <w:tcPr>
            <w:tcW w:type="dxa" w:w="1290"/>
          </w:tcPr>
          <w:p>
            <w:pPr>
              <w:spacing w:after="20" w:before="20"/>
              <w:jc w:val="center"/>
            </w:pPr>
            <w:r/>
            <w:r>
              <w:rPr>
                <w:rFonts w:ascii="Times New Roman" w:hAnsi="Times New Roman" w:cs="Times New Roman"/>
                <w:b w:val="0"/>
                <w:sz w:val="19"/>
              </w:rPr>
              <w:t>2.332</w:t>
            </w:r>
          </w:p>
        </w:tc>
        <w:tc>
          <w:tcPr>
            <w:tcW w:type="dxa" w:w="1290"/>
          </w:tcPr>
          <w:p>
            <w:pPr>
              <w:spacing w:after="20" w:before="20"/>
              <w:jc w:val="center"/>
            </w:pPr>
            <w:r/>
            <w:r>
              <w:rPr>
                <w:rFonts w:ascii="Times New Roman" w:hAnsi="Times New Roman" w:cs="Times New Roman"/>
                <w:b w:val="0"/>
                <w:sz w:val="19"/>
              </w:rPr>
              <w:t>2.065</w:t>
            </w:r>
          </w:p>
        </w:tc>
        <w:tc>
          <w:tcPr>
            <w:tcW w:type="dxa" w:w="1290"/>
          </w:tcPr>
          <w:p>
            <w:pPr>
              <w:spacing w:after="20" w:before="20"/>
              <w:jc w:val="center"/>
            </w:pPr>
            <w:r/>
            <w:r>
              <w:rPr>
                <w:rFonts w:ascii="Times New Roman" w:hAnsi="Times New Roman" w:cs="Times New Roman"/>
                <w:b w:val="0"/>
                <w:sz w:val="19"/>
              </w:rPr>
              <w:t>52.1</w:t>
            </w:r>
          </w:p>
        </w:tc>
      </w:tr>
      <w:tr>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8</w:t>
            </w:r>
          </w:p>
        </w:tc>
        <w:tc>
          <w:tcPr>
            <w:tcW w:type="dxa" w:w="1290"/>
          </w:tcPr>
          <w:p>
            <w:pPr>
              <w:spacing w:after="20" w:before="20"/>
              <w:jc w:val="center"/>
            </w:pPr>
            <w:r/>
            <w:r>
              <w:rPr>
                <w:rFonts w:ascii="Times New Roman" w:hAnsi="Times New Roman" w:cs="Times New Roman"/>
                <w:b w:val="0"/>
                <w:sz w:val="19"/>
              </w:rPr>
              <w:t>0.125</w:t>
            </w:r>
          </w:p>
        </w:tc>
        <w:tc>
          <w:tcPr>
            <w:tcW w:type="dxa" w:w="1290"/>
          </w:tcPr>
          <w:p>
            <w:pPr>
              <w:spacing w:after="20" w:before="20"/>
              <w:jc w:val="center"/>
            </w:pPr>
            <w:r/>
            <w:r>
              <w:rPr>
                <w:rFonts w:ascii="Times New Roman" w:hAnsi="Times New Roman" w:cs="Times New Roman"/>
                <w:b w:val="0"/>
                <w:sz w:val="19"/>
              </w:rPr>
              <w:t>2.157 ± 0.017</w:t>
            </w:r>
          </w:p>
        </w:tc>
        <w:tc>
          <w:tcPr>
            <w:tcW w:type="dxa" w:w="1290"/>
          </w:tcPr>
          <w:p>
            <w:pPr>
              <w:spacing w:after="20" w:before="20"/>
              <w:jc w:val="center"/>
            </w:pPr>
            <w:r/>
            <w:r>
              <w:rPr>
                <w:rFonts w:ascii="Times New Roman" w:hAnsi="Times New Roman" w:cs="Times New Roman"/>
                <w:b w:val="0"/>
                <w:sz w:val="19"/>
              </w:rPr>
              <w:t>—</w:t>
            </w:r>
          </w:p>
        </w:tc>
        <w:tc>
          <w:tcPr>
            <w:tcW w:type="dxa" w:w="1290"/>
          </w:tcPr>
          <w:p>
            <w:pPr>
              <w:spacing w:after="20" w:before="20"/>
              <w:jc w:val="center"/>
            </w:pPr>
            <w:r/>
            <w:r>
              <w:rPr>
                <w:rFonts w:ascii="Times New Roman" w:hAnsi="Times New Roman" w:cs="Times New Roman"/>
                <w:b w:val="0"/>
                <w:sz w:val="19"/>
              </w:rPr>
              <w:t>1.859</w:t>
            </w:r>
          </w:p>
        </w:tc>
        <w:tc>
          <w:tcPr>
            <w:tcW w:type="dxa" w:w="1290"/>
          </w:tcPr>
          <w:p>
            <w:pPr>
              <w:spacing w:after="20" w:before="20"/>
              <w:jc w:val="center"/>
            </w:pPr>
            <w:r/>
            <w:r>
              <w:rPr>
                <w:rFonts w:ascii="Times New Roman" w:hAnsi="Times New Roman" w:cs="Times New Roman"/>
                <w:b w:val="0"/>
                <w:sz w:val="19"/>
              </w:rPr>
              <w:t>48.1</w:t>
            </w:r>
          </w:p>
        </w:tc>
      </w:tr>
      <w:tr>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16</w:t>
            </w:r>
          </w:p>
        </w:tc>
        <w:tc>
          <w:tcPr>
            <w:tcW w:type="dxa" w:w="1290"/>
          </w:tcPr>
          <w:p>
            <w:pPr>
              <w:spacing w:after="20" w:before="20"/>
              <w:jc w:val="center"/>
            </w:pPr>
            <w:r/>
            <w:r>
              <w:rPr>
                <w:rFonts w:ascii="Times New Roman" w:hAnsi="Times New Roman" w:cs="Times New Roman"/>
                <w:b w:val="0"/>
                <w:sz w:val="19"/>
              </w:rPr>
              <w:t>0.0625</w:t>
            </w:r>
          </w:p>
        </w:tc>
        <w:tc>
          <w:tcPr>
            <w:tcW w:type="dxa" w:w="1290"/>
          </w:tcPr>
          <w:p>
            <w:pPr>
              <w:spacing w:after="20" w:before="20"/>
              <w:jc w:val="center"/>
            </w:pPr>
            <w:r/>
            <w:r>
              <w:rPr>
                <w:rFonts w:ascii="Times New Roman" w:hAnsi="Times New Roman" w:cs="Times New Roman"/>
                <w:b w:val="0"/>
                <w:sz w:val="19"/>
              </w:rPr>
              <w:t>2.086 ± 0.028</w:t>
            </w:r>
          </w:p>
        </w:tc>
        <w:tc>
          <w:tcPr>
            <w:tcW w:type="dxa" w:w="1290"/>
          </w:tcPr>
          <w:p>
            <w:pPr>
              <w:spacing w:after="20" w:before="20"/>
              <w:jc w:val="center"/>
            </w:pPr>
            <w:r/>
            <w:r>
              <w:rPr>
                <w:rFonts w:ascii="Times New Roman" w:hAnsi="Times New Roman" w:cs="Times New Roman"/>
                <w:b w:val="0"/>
                <w:sz w:val="19"/>
              </w:rPr>
              <w:t>—</w:t>
            </w:r>
          </w:p>
        </w:tc>
        <w:tc>
          <w:tcPr>
            <w:tcW w:type="dxa" w:w="1290"/>
          </w:tcPr>
          <w:p>
            <w:pPr>
              <w:spacing w:after="20" w:before="20"/>
              <w:jc w:val="center"/>
            </w:pPr>
            <w:r/>
            <w:r>
              <w:rPr>
                <w:rFonts w:ascii="Times New Roman" w:hAnsi="Times New Roman" w:cs="Times New Roman"/>
                <w:b w:val="0"/>
                <w:sz w:val="19"/>
              </w:rPr>
              <w:t>1.756</w:t>
            </w:r>
          </w:p>
        </w:tc>
        <w:tc>
          <w:tcPr>
            <w:tcW w:type="dxa" w:w="1290"/>
          </w:tcPr>
          <w:p>
            <w:pPr>
              <w:spacing w:after="20" w:before="20"/>
              <w:jc w:val="center"/>
            </w:pPr>
            <w:r/>
            <w:r>
              <w:rPr>
                <w:rFonts w:ascii="Times New Roman" w:hAnsi="Times New Roman" w:cs="Times New Roman"/>
                <w:b w:val="0"/>
                <w:sz w:val="19"/>
              </w:rPr>
              <w:t>46.6</w:t>
            </w:r>
          </w:p>
        </w:tc>
      </w:tr>
      <w:tr>
        <w:tc>
          <w:tcPr>
            <w:tcW w:type="dxa" w:w="1290"/>
          </w:tcPr>
          <w:p>
            <w:pPr>
              <w:spacing w:after="20" w:before="20"/>
              <w:jc w:val="center"/>
            </w:pPr>
            <w:r/>
            <w:r>
              <w:rPr>
                <w:rFonts w:ascii="Times New Roman" w:hAnsi="Times New Roman" w:cs="Times New Roman"/>
                <w:b w:val="0"/>
                <w:sz w:val="19"/>
              </w:rPr>
              <w:t>0.85</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1</w:t>
            </w:r>
          </w:p>
        </w:tc>
        <w:tc>
          <w:tcPr>
            <w:tcW w:type="dxa" w:w="1290"/>
          </w:tcPr>
          <w:p>
            <w:pPr>
              <w:spacing w:after="20" w:before="20"/>
              <w:jc w:val="center"/>
            </w:pPr>
            <w:r/>
            <w:r>
              <w:rPr>
                <w:rFonts w:ascii="Times New Roman" w:hAnsi="Times New Roman" w:cs="Times New Roman"/>
                <w:b w:val="0"/>
                <w:sz w:val="19"/>
              </w:rPr>
              <w:t>69.578 ± 1.239</w:t>
            </w:r>
          </w:p>
        </w:tc>
        <w:tc>
          <w:tcPr>
            <w:tcW w:type="dxa" w:w="1290"/>
          </w:tcPr>
          <w:p>
            <w:pPr>
              <w:spacing w:after="20" w:before="20"/>
              <w:jc w:val="center"/>
            </w:pPr>
            <w:r/>
            <w:r>
              <w:rPr>
                <w:rFonts w:ascii="Times New Roman" w:hAnsi="Times New Roman" w:cs="Times New Roman"/>
                <w:b w:val="0"/>
                <w:sz w:val="19"/>
              </w:rPr>
              <w:t>69.339</w:t>
            </w:r>
          </w:p>
        </w:tc>
        <w:tc>
          <w:tcPr>
            <w:tcW w:type="dxa" w:w="1290"/>
          </w:tcPr>
          <w:p>
            <w:pPr>
              <w:spacing w:after="20" w:before="20"/>
              <w:jc w:val="center"/>
            </w:pPr>
            <w:r/>
            <w:r>
              <w:rPr>
                <w:rFonts w:ascii="Times New Roman" w:hAnsi="Times New Roman" w:cs="Times New Roman"/>
                <w:b w:val="0"/>
                <w:sz w:val="19"/>
              </w:rPr>
              <w:t>69.339</w:t>
            </w:r>
          </w:p>
        </w:tc>
        <w:tc>
          <w:tcPr>
            <w:tcW w:type="dxa" w:w="1290"/>
          </w:tcPr>
          <w:p>
            <w:pPr>
              <w:spacing w:after="20" w:before="20"/>
              <w:jc w:val="center"/>
            </w:pPr>
            <w:r/>
            <w:r>
              <w:rPr>
                <w:rFonts w:ascii="Times New Roman" w:hAnsi="Times New Roman" w:cs="Times New Roman"/>
                <w:b w:val="0"/>
                <w:sz w:val="19"/>
              </w:rPr>
              <w:t>463.8</w:t>
            </w:r>
          </w:p>
        </w:tc>
      </w:tr>
      <w:tr>
        <w:tc>
          <w:tcPr>
            <w:tcW w:type="dxa" w:w="1290"/>
          </w:tcPr>
          <w:p>
            <w:pPr>
              <w:spacing w:after="20" w:before="20"/>
              <w:jc w:val="center"/>
            </w:pPr>
            <w:r/>
            <w:r>
              <w:rPr>
                <w:rFonts w:ascii="Times New Roman" w:hAnsi="Times New Roman" w:cs="Times New Roman"/>
                <w:b w:val="0"/>
                <w:sz w:val="19"/>
              </w:rPr>
              <w:t>0.85</w:t>
            </w:r>
          </w:p>
        </w:tc>
        <w:tc>
          <w:tcPr>
            <w:tcW w:type="dxa" w:w="1290"/>
          </w:tcPr>
          <w:p>
            <w:pPr>
              <w:spacing w:after="20" w:before="20"/>
              <w:jc w:val="center"/>
            </w:pPr>
            <w:r/>
            <w:r>
              <w:rPr>
                <w:rFonts w:ascii="Times New Roman" w:hAnsi="Times New Roman" w:cs="Times New Roman"/>
                <w:b w:val="0"/>
                <w:sz w:val="19"/>
              </w:rPr>
              <w:t>2</w:t>
            </w:r>
          </w:p>
        </w:tc>
        <w:tc>
          <w:tcPr>
            <w:tcW w:type="dxa" w:w="1290"/>
          </w:tcPr>
          <w:p>
            <w:pPr>
              <w:spacing w:after="20" w:before="20"/>
              <w:jc w:val="center"/>
            </w:pPr>
            <w:r/>
            <w:r>
              <w:rPr>
                <w:rFonts w:ascii="Times New Roman" w:hAnsi="Times New Roman" w:cs="Times New Roman"/>
                <w:b w:val="0"/>
                <w:sz w:val="19"/>
              </w:rPr>
              <w:t>0.5</w:t>
            </w:r>
          </w:p>
        </w:tc>
        <w:tc>
          <w:tcPr>
            <w:tcW w:type="dxa" w:w="1290"/>
          </w:tcPr>
          <w:p>
            <w:pPr>
              <w:spacing w:after="20" w:before="20"/>
              <w:jc w:val="center"/>
            </w:pPr>
            <w:r/>
            <w:r>
              <w:rPr>
                <w:rFonts w:ascii="Times New Roman" w:hAnsi="Times New Roman" w:cs="Times New Roman"/>
                <w:b w:val="0"/>
                <w:sz w:val="19"/>
              </w:rPr>
              <w:t>52.642 ± 0.906</w:t>
            </w:r>
          </w:p>
        </w:tc>
        <w:tc>
          <w:tcPr>
            <w:tcW w:type="dxa" w:w="1290"/>
          </w:tcPr>
          <w:p>
            <w:pPr>
              <w:spacing w:after="20" w:before="20"/>
              <w:jc w:val="center"/>
            </w:pPr>
            <w:r/>
            <w:r>
              <w:rPr>
                <w:rFonts w:ascii="Times New Roman" w:hAnsi="Times New Roman" w:cs="Times New Roman"/>
                <w:b w:val="0"/>
                <w:sz w:val="19"/>
              </w:rPr>
              <w:t>52.793</w:t>
            </w:r>
          </w:p>
        </w:tc>
        <w:tc>
          <w:tcPr>
            <w:tcW w:type="dxa" w:w="1290"/>
          </w:tcPr>
          <w:p>
            <w:pPr>
              <w:spacing w:after="20" w:before="20"/>
              <w:jc w:val="center"/>
            </w:pPr>
            <w:r/>
            <w:r>
              <w:rPr>
                <w:rFonts w:ascii="Times New Roman" w:hAnsi="Times New Roman" w:cs="Times New Roman"/>
                <w:b w:val="0"/>
                <w:sz w:val="19"/>
              </w:rPr>
              <w:t>52.004</w:t>
            </w:r>
          </w:p>
        </w:tc>
        <w:tc>
          <w:tcPr>
            <w:tcW w:type="dxa" w:w="1290"/>
          </w:tcPr>
          <w:p>
            <w:pPr>
              <w:spacing w:after="20" w:before="20"/>
              <w:jc w:val="center"/>
            </w:pPr>
            <w:r/>
            <w:r>
              <w:rPr>
                <w:rFonts w:ascii="Times New Roman" w:hAnsi="Times New Roman" w:cs="Times New Roman"/>
                <w:b w:val="0"/>
                <w:sz w:val="19"/>
              </w:rPr>
              <w:t>341.3</w:t>
            </w:r>
          </w:p>
        </w:tc>
      </w:tr>
      <w:tr>
        <w:tc>
          <w:tcPr>
            <w:tcW w:type="dxa" w:w="1290"/>
          </w:tcPr>
          <w:p>
            <w:pPr>
              <w:spacing w:after="20" w:before="20"/>
              <w:jc w:val="center"/>
            </w:pPr>
            <w:r/>
            <w:r>
              <w:rPr>
                <w:rFonts w:ascii="Times New Roman" w:hAnsi="Times New Roman" w:cs="Times New Roman"/>
                <w:b w:val="0"/>
                <w:sz w:val="19"/>
              </w:rPr>
              <w:t>0.85</w:t>
            </w:r>
          </w:p>
        </w:tc>
        <w:tc>
          <w:tcPr>
            <w:tcW w:type="dxa" w:w="1290"/>
          </w:tcPr>
          <w:p>
            <w:pPr>
              <w:spacing w:after="20" w:before="20"/>
              <w:jc w:val="center"/>
            </w:pPr>
            <w:r/>
            <w:r>
              <w:rPr>
                <w:rFonts w:ascii="Times New Roman" w:hAnsi="Times New Roman" w:cs="Times New Roman"/>
                <w:b w:val="0"/>
                <w:sz w:val="19"/>
              </w:rPr>
              <w:t>4</w:t>
            </w:r>
          </w:p>
        </w:tc>
        <w:tc>
          <w:tcPr>
            <w:tcW w:type="dxa" w:w="1290"/>
          </w:tcPr>
          <w:p>
            <w:pPr>
              <w:spacing w:after="20" w:before="20"/>
              <w:jc w:val="center"/>
            </w:pPr>
            <w:r/>
            <w:r>
              <w:rPr>
                <w:rFonts w:ascii="Times New Roman" w:hAnsi="Times New Roman" w:cs="Times New Roman"/>
                <w:b w:val="0"/>
                <w:sz w:val="19"/>
              </w:rPr>
              <w:t>0.25</w:t>
            </w:r>
          </w:p>
        </w:tc>
        <w:tc>
          <w:tcPr>
            <w:tcW w:type="dxa" w:w="1290"/>
          </w:tcPr>
          <w:p>
            <w:pPr>
              <w:spacing w:after="20" w:before="20"/>
              <w:jc w:val="center"/>
            </w:pPr>
            <w:r/>
            <w:r>
              <w:rPr>
                <w:rFonts w:ascii="Times New Roman" w:hAnsi="Times New Roman" w:cs="Times New Roman"/>
                <w:b w:val="0"/>
                <w:sz w:val="19"/>
              </w:rPr>
              <w:t>44.831 ± 0.578</w:t>
            </w:r>
          </w:p>
        </w:tc>
        <w:tc>
          <w:tcPr>
            <w:tcW w:type="dxa" w:w="1290"/>
          </w:tcPr>
          <w:p>
            <w:pPr>
              <w:spacing w:after="20" w:before="20"/>
              <w:jc w:val="center"/>
            </w:pPr>
            <w:r/>
            <w:r>
              <w:rPr>
                <w:rFonts w:ascii="Times New Roman" w:hAnsi="Times New Roman" w:cs="Times New Roman"/>
                <w:b w:val="0"/>
                <w:sz w:val="19"/>
              </w:rPr>
              <w:t>44.490</w:t>
            </w:r>
          </w:p>
        </w:tc>
        <w:tc>
          <w:tcPr>
            <w:tcW w:type="dxa" w:w="1290"/>
          </w:tcPr>
          <w:p>
            <w:pPr>
              <w:spacing w:after="20" w:before="20"/>
              <w:jc w:val="center"/>
            </w:pPr>
            <w:r/>
            <w:r>
              <w:rPr>
                <w:rFonts w:ascii="Times New Roman" w:hAnsi="Times New Roman" w:cs="Times New Roman"/>
                <w:b w:val="0"/>
                <w:sz w:val="19"/>
              </w:rPr>
              <w:t>43.337</w:t>
            </w:r>
          </w:p>
        </w:tc>
        <w:tc>
          <w:tcPr>
            <w:tcW w:type="dxa" w:w="1290"/>
          </w:tcPr>
          <w:p>
            <w:pPr>
              <w:spacing w:after="20" w:before="20"/>
              <w:jc w:val="center"/>
            </w:pPr>
            <w:r/>
            <w:r>
              <w:rPr>
                <w:rFonts w:ascii="Times New Roman" w:hAnsi="Times New Roman" w:cs="Times New Roman"/>
                <w:b w:val="0"/>
                <w:sz w:val="19"/>
              </w:rPr>
              <w:t>286.9</w:t>
            </w:r>
          </w:p>
        </w:tc>
      </w:tr>
      <w:tr>
        <w:tc>
          <w:tcPr>
            <w:tcW w:type="dxa" w:w="1290"/>
          </w:tcPr>
          <w:p>
            <w:pPr>
              <w:spacing w:after="20" w:before="20"/>
              <w:jc w:val="center"/>
            </w:pPr>
            <w:r/>
            <w:r>
              <w:rPr>
                <w:rFonts w:ascii="Times New Roman" w:hAnsi="Times New Roman" w:cs="Times New Roman"/>
                <w:b w:val="0"/>
                <w:sz w:val="19"/>
              </w:rPr>
              <w:t>0.85</w:t>
            </w:r>
          </w:p>
        </w:tc>
        <w:tc>
          <w:tcPr>
            <w:tcW w:type="dxa" w:w="1290"/>
          </w:tcPr>
          <w:p>
            <w:pPr>
              <w:spacing w:after="20" w:before="20"/>
              <w:jc w:val="center"/>
            </w:pPr>
            <w:r/>
            <w:r>
              <w:rPr>
                <w:rFonts w:ascii="Times New Roman" w:hAnsi="Times New Roman" w:cs="Times New Roman"/>
                <w:b w:val="0"/>
                <w:sz w:val="19"/>
              </w:rPr>
              <w:t>8</w:t>
            </w:r>
          </w:p>
        </w:tc>
        <w:tc>
          <w:tcPr>
            <w:tcW w:type="dxa" w:w="1290"/>
          </w:tcPr>
          <w:p>
            <w:pPr>
              <w:spacing w:after="20" w:before="20"/>
              <w:jc w:val="center"/>
            </w:pPr>
            <w:r/>
            <w:r>
              <w:rPr>
                <w:rFonts w:ascii="Times New Roman" w:hAnsi="Times New Roman" w:cs="Times New Roman"/>
                <w:b w:val="0"/>
                <w:sz w:val="19"/>
              </w:rPr>
              <w:t>0.125</w:t>
            </w:r>
          </w:p>
        </w:tc>
        <w:tc>
          <w:tcPr>
            <w:tcW w:type="dxa" w:w="1290"/>
          </w:tcPr>
          <w:p>
            <w:pPr>
              <w:spacing w:after="20" w:before="20"/>
              <w:jc w:val="center"/>
            </w:pPr>
            <w:r/>
            <w:r>
              <w:rPr>
                <w:rFonts w:ascii="Times New Roman" w:hAnsi="Times New Roman" w:cs="Times New Roman"/>
                <w:b w:val="0"/>
                <w:sz w:val="19"/>
              </w:rPr>
              <w:t>39.887 ± 0.596</w:t>
            </w:r>
          </w:p>
        </w:tc>
        <w:tc>
          <w:tcPr>
            <w:tcW w:type="dxa" w:w="1290"/>
          </w:tcPr>
          <w:p>
            <w:pPr>
              <w:spacing w:after="20" w:before="20"/>
              <w:jc w:val="center"/>
            </w:pPr>
            <w:r/>
            <w:r>
              <w:rPr>
                <w:rFonts w:ascii="Times New Roman" w:hAnsi="Times New Roman" w:cs="Times New Roman"/>
                <w:b w:val="0"/>
                <w:sz w:val="19"/>
              </w:rPr>
              <w:t>—</w:t>
            </w:r>
          </w:p>
        </w:tc>
        <w:tc>
          <w:tcPr>
            <w:tcW w:type="dxa" w:w="1290"/>
          </w:tcPr>
          <w:p>
            <w:pPr>
              <w:spacing w:after="20" w:before="20"/>
              <w:jc w:val="center"/>
            </w:pPr>
            <w:r/>
            <w:r>
              <w:rPr>
                <w:rFonts w:ascii="Times New Roman" w:hAnsi="Times New Roman" w:cs="Times New Roman"/>
                <w:b w:val="0"/>
                <w:sz w:val="19"/>
              </w:rPr>
              <w:t>39.003</w:t>
            </w:r>
          </w:p>
        </w:tc>
        <w:tc>
          <w:tcPr>
            <w:tcW w:type="dxa" w:w="1290"/>
          </w:tcPr>
          <w:p>
            <w:pPr>
              <w:spacing w:after="20" w:before="20"/>
              <w:jc w:val="center"/>
            </w:pPr>
            <w:r/>
            <w:r>
              <w:rPr>
                <w:rFonts w:ascii="Times New Roman" w:hAnsi="Times New Roman" w:cs="Times New Roman"/>
                <w:b w:val="0"/>
                <w:sz w:val="19"/>
              </w:rPr>
              <w:t>250.6</w:t>
            </w:r>
          </w:p>
        </w:tc>
      </w:tr>
      <w:tr>
        <w:tc>
          <w:tcPr>
            <w:tcW w:type="dxa" w:w="1290"/>
          </w:tcPr>
          <w:p>
            <w:pPr>
              <w:spacing w:after="20" w:before="20"/>
              <w:jc w:val="center"/>
            </w:pPr>
            <w:r/>
            <w:r>
              <w:rPr>
                <w:rFonts w:ascii="Times New Roman" w:hAnsi="Times New Roman" w:cs="Times New Roman"/>
                <w:b w:val="0"/>
                <w:sz w:val="19"/>
              </w:rPr>
              <w:t>0.85</w:t>
            </w:r>
          </w:p>
        </w:tc>
        <w:tc>
          <w:tcPr>
            <w:tcW w:type="dxa" w:w="1290"/>
          </w:tcPr>
          <w:p>
            <w:pPr>
              <w:spacing w:after="20" w:before="20"/>
              <w:jc w:val="center"/>
            </w:pPr>
            <w:r/>
            <w:r>
              <w:rPr>
                <w:rFonts w:ascii="Times New Roman" w:hAnsi="Times New Roman" w:cs="Times New Roman"/>
                <w:b w:val="0"/>
                <w:sz w:val="19"/>
              </w:rPr>
              <w:t>16</w:t>
            </w:r>
          </w:p>
        </w:tc>
        <w:tc>
          <w:tcPr>
            <w:tcW w:type="dxa" w:w="1290"/>
          </w:tcPr>
          <w:p>
            <w:pPr>
              <w:spacing w:after="20" w:before="20"/>
              <w:jc w:val="center"/>
            </w:pPr>
            <w:r/>
            <w:r>
              <w:rPr>
                <w:rFonts w:ascii="Times New Roman" w:hAnsi="Times New Roman" w:cs="Times New Roman"/>
                <w:b w:val="0"/>
                <w:sz w:val="19"/>
              </w:rPr>
              <w:t>0.0625</w:t>
            </w:r>
          </w:p>
        </w:tc>
        <w:tc>
          <w:tcPr>
            <w:tcW w:type="dxa" w:w="1290"/>
          </w:tcPr>
          <w:p>
            <w:pPr>
              <w:spacing w:after="20" w:before="20"/>
              <w:jc w:val="center"/>
            </w:pPr>
            <w:r/>
            <w:r>
              <w:rPr>
                <w:rFonts w:ascii="Times New Roman" w:hAnsi="Times New Roman" w:cs="Times New Roman"/>
                <w:b w:val="0"/>
                <w:sz w:val="19"/>
              </w:rPr>
              <w:t>38.177 ± 0.372</w:t>
            </w:r>
          </w:p>
        </w:tc>
        <w:tc>
          <w:tcPr>
            <w:tcW w:type="dxa" w:w="1290"/>
          </w:tcPr>
          <w:p>
            <w:pPr>
              <w:spacing w:after="20" w:before="20"/>
              <w:jc w:val="center"/>
            </w:pPr>
            <w:r/>
            <w:r>
              <w:rPr>
                <w:rFonts w:ascii="Times New Roman" w:hAnsi="Times New Roman" w:cs="Times New Roman"/>
                <w:b w:val="0"/>
                <w:sz w:val="19"/>
              </w:rPr>
              <w:t>—</w:t>
            </w:r>
          </w:p>
        </w:tc>
        <w:tc>
          <w:tcPr>
            <w:tcW w:type="dxa" w:w="1290"/>
          </w:tcPr>
          <w:p>
            <w:pPr>
              <w:spacing w:after="20" w:before="20"/>
              <w:jc w:val="center"/>
            </w:pPr>
            <w:r/>
            <w:r>
              <w:rPr>
                <w:rFonts w:ascii="Times New Roman" w:hAnsi="Times New Roman" w:cs="Times New Roman"/>
                <w:b w:val="0"/>
                <w:sz w:val="19"/>
              </w:rPr>
              <w:t>36.836</w:t>
            </w:r>
          </w:p>
        </w:tc>
        <w:tc>
          <w:tcPr>
            <w:tcW w:type="dxa" w:w="1290"/>
          </w:tcPr>
          <w:p>
            <w:pPr>
              <w:spacing w:after="20" w:before="20"/>
              <w:jc w:val="center"/>
            </w:pPr>
            <w:r/>
            <w:r>
              <w:rPr>
                <w:rFonts w:ascii="Times New Roman" w:hAnsi="Times New Roman" w:cs="Times New Roman"/>
                <w:b w:val="0"/>
                <w:sz w:val="19"/>
              </w:rPr>
              <w:t>238.5</w:t>
            </w:r>
          </w:p>
        </w:tc>
      </w:tr>
    </w:tbl>
    <w:p>
      <w:pPr>
        <w:spacing w:after="80" w:before="0"/>
      </w:pPr>
    </w:p>
    <w:p>
      <w:pPr>
        <w:spacing w:after="40" w:before="80"/>
        <w:jc w:val="center"/>
      </w:pPr>
      <w:r>
        <w:drawing>
          <wp:inline xmlns:a="http://schemas.openxmlformats.org/drawingml/2006/main" xmlns:pic="http://schemas.openxmlformats.org/drawingml/2006/picture">
            <wp:extent cx="5760720" cy="2168790"/>
            <wp:docPr id="15" name="Picture 15"/>
            <wp:cNvGraphicFramePr>
              <a:graphicFrameLocks noChangeAspect="1"/>
            </wp:cNvGraphicFramePr>
            <a:graphic>
              <a:graphicData uri="http://schemas.openxmlformats.org/drawingml/2006/picture">
                <pic:pic>
                  <pic:nvPicPr>
                    <pic:cNvPr id="0" name="fig8_erlangk.png"/>
                    <pic:cNvPicPr/>
                  </pic:nvPicPr>
                  <pic:blipFill>
                    <a:blip r:embed="rId23"/>
                    <a:stretch>
                      <a:fillRect/>
                    </a:stretch>
                  </pic:blipFill>
                  <pic:spPr>
                    <a:xfrm>
                      <a:off x="0" y="0"/>
                      <a:ext cx="5760720" cy="2168790"/>
                    </a:xfrm>
                    <a:prstGeom prst="rect"/>
                  </pic:spPr>
                </pic:pic>
              </a:graphicData>
            </a:graphic>
          </wp:inline>
        </w:drawing>
      </w:r>
    </w:p>
    <w:p>
      <w:pPr>
        <w:spacing w:after="80" w:before="40"/>
        <w:jc w:val="center"/>
      </w:pPr>
      <w:r>
        <w:rPr>
          <w:rFonts w:ascii="Times New Roman" w:hAnsi="Times New Roman" w:cs="Times New Roman"/>
          <w:b/>
          <w:sz w:val="19"/>
        </w:rPr>
        <w:t>Figure 15:</w:t>
      </w:r>
      <w:r>
        <w:rPr>
          <w:rFonts w:ascii="Times New Roman" w:hAnsi="Times New Roman" w:cs="Times New Roman"/>
          <w:sz w:val="19"/>
        </w:rPr>
        <w:t xml:space="preserve"> Mean waiting time versus number of Erlang phases at (A) ρ = 0.85 and (B) ρ = 0.5; black marks are exact CTMC values.</w:t>
      </w:r>
    </w:p>
    <w:p>
      <w:pPr>
        <w:spacing w:after="120" w:before="0"/>
        <w:jc w:val="both"/>
      </w:pPr>
      <w:r>
        <w:rPr>
          <w:rFonts w:ascii="Times New Roman" w:hAnsi="Times New Roman" w:cs="Times New Roman"/>
          <w:sz w:val="22"/>
        </w:rPr>
        <w:t>Waiting time falls monotonically with k. From k = 1 to k = 16 the mean wait drops by 37% at ρ = 0.5 and 45% at ρ = 0.85, and the P99 wait by 39% and 49%. Simulation matches the exact CTMC to within 1.6% for every k where it was computed. The Allen–Cunneen approximation is exact for k = 1 but underestimates the wait for k ≥ 2—by 11% at ρ = 0.5 and k = 4—and becomes accurate only in heavy traffic. This is the mirror image of the heavy-tail result in our companion paper: there, high service variance inflated tail latency; here, low variance compresses it.</w:t>
      </w:r>
    </w:p>
    <w:p>
      <w:pPr>
        <w:spacing w:after="80" w:before="200"/>
      </w:pPr>
      <w:r>
        <w:rPr>
          <w:rFonts w:ascii="Times New Roman" w:hAnsi="Times New Roman" w:cs="Times New Roman"/>
          <w:b/>
          <w:sz w:val="28"/>
        </w:rPr>
        <w:t>7   Discussion</w:t>
      </w:r>
    </w:p>
    <w:p>
      <w:pPr>
        <w:spacing w:after="80" w:before="40"/>
        <w:jc w:val="center"/>
      </w:pPr>
      <w:r>
        <w:rPr>
          <w:rFonts w:ascii="Times New Roman" w:hAnsi="Times New Roman" w:cs="Times New Roman"/>
          <w:b/>
          <w:sz w:val="19"/>
        </w:rPr>
        <w:t>Table 16:</w:t>
      </w:r>
      <w:r>
        <w:rPr>
          <w:rFonts w:ascii="Times New Roman" w:hAnsi="Times New Roman" w:cs="Times New Roman"/>
          <w:sz w:val="19"/>
        </w:rPr>
        <w:t xml:space="preserve"> Summary of measured effects (all values from Tables 2–15).</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20" w:before="20"/>
              <w:jc w:val="center"/>
            </w:pPr>
            <w:r/>
            <w:r>
              <w:rPr>
                <w:rFonts w:ascii="Times New Roman" w:hAnsi="Times New Roman" w:cs="Times New Roman"/>
                <w:b/>
                <w:sz w:val="19"/>
              </w:rPr>
              <w:t>Mechanism</w:t>
            </w:r>
          </w:p>
        </w:tc>
        <w:tc>
          <w:tcPr>
            <w:tcW w:type="dxa" w:w="3010"/>
          </w:tcPr>
          <w:p>
            <w:pPr>
              <w:spacing w:after="20" w:before="20"/>
              <w:jc w:val="center"/>
            </w:pPr>
            <w:r/>
            <w:r>
              <w:rPr>
                <w:rFonts w:ascii="Times New Roman" w:hAnsi="Times New Roman" w:cs="Times New Roman"/>
                <w:b/>
                <w:sz w:val="19"/>
              </w:rPr>
              <w:t>Measured effect</w:t>
            </w:r>
          </w:p>
        </w:tc>
        <w:tc>
          <w:tcPr>
            <w:tcW w:type="dxa" w:w="3010"/>
          </w:tcPr>
          <w:p>
            <w:pPr>
              <w:spacing w:after="20" w:before="20"/>
              <w:jc w:val="center"/>
            </w:pPr>
            <w:r/>
            <w:r>
              <w:rPr>
                <w:rFonts w:ascii="Times New Roman" w:hAnsi="Times New Roman" w:cs="Times New Roman"/>
                <w:b/>
                <w:sz w:val="19"/>
              </w:rPr>
              <w:t>Conditions</w:t>
            </w:r>
          </w:p>
        </w:tc>
      </w:tr>
      <w:tr>
        <w:tc>
          <w:tcPr>
            <w:tcW w:type="dxa" w:w="3010"/>
          </w:tcPr>
          <w:p>
            <w:pPr>
              <w:spacing w:after="20" w:before="20"/>
              <w:jc w:val="center"/>
            </w:pPr>
            <w:r/>
            <w:r>
              <w:rPr>
                <w:rFonts w:ascii="Times New Roman" w:hAnsi="Times New Roman" w:cs="Times New Roman"/>
                <w:b w:val="0"/>
                <w:sz w:val="19"/>
              </w:rPr>
              <w:t>Visibility timeout</w:t>
            </w:r>
          </w:p>
        </w:tc>
        <w:tc>
          <w:tcPr>
            <w:tcW w:type="dxa" w:w="3010"/>
          </w:tcPr>
          <w:p>
            <w:pPr>
              <w:spacing w:after="20" w:before="20"/>
              <w:jc w:val="center"/>
            </w:pPr>
            <w:r/>
            <w:r>
              <w:rPr>
                <w:rFonts w:ascii="Times New Roman" w:hAnsi="Times New Roman" w:cs="Times New Roman"/>
                <w:b w:val="0"/>
                <w:sz w:val="19"/>
              </w:rPr>
              <w:t>Optimum near 1 s; 0.5 s → 54% duplicates; 30 s → 3.8 s mean latency</w:t>
            </w:r>
          </w:p>
        </w:tc>
        <w:tc>
          <w:tcPr>
            <w:tcW w:type="dxa" w:w="3010"/>
          </w:tcPr>
          <w:p>
            <w:pPr>
              <w:spacing w:after="20" w:before="20"/>
              <w:jc w:val="center"/>
            </w:pPr>
            <w:r/>
            <w:r>
              <w:rPr>
                <w:rFonts w:ascii="Times New Roman" w:hAnsi="Times New Roman" w:cs="Times New Roman"/>
                <w:b w:val="0"/>
                <w:sz w:val="19"/>
              </w:rPr>
              <w:t>λ = 10, processing 0.5 s, p = 0.1</w:t>
            </w:r>
          </w:p>
        </w:tc>
      </w:tr>
      <w:tr>
        <w:tc>
          <w:tcPr>
            <w:tcW w:type="dxa" w:w="3010"/>
          </w:tcPr>
          <w:p>
            <w:pPr>
              <w:spacing w:after="20" w:before="20"/>
              <w:jc w:val="center"/>
            </w:pPr>
            <w:r/>
            <w:r>
              <w:rPr>
                <w:rFonts w:ascii="Times New Roman" w:hAnsi="Times New Roman" w:cs="Times New Roman"/>
                <w:b w:val="0"/>
                <w:sz w:val="19"/>
              </w:rPr>
              <w:t>Replication R = 1 → 2</w:t>
            </w:r>
          </w:p>
        </w:tc>
        <w:tc>
          <w:tcPr>
            <w:tcW w:type="dxa" w:w="3010"/>
          </w:tcPr>
          <w:p>
            <w:pPr>
              <w:spacing w:after="20" w:before="20"/>
              <w:jc w:val="center"/>
            </w:pPr>
            <w:r/>
            <w:r>
              <w:rPr>
                <w:rFonts w:ascii="Times New Roman" w:hAnsi="Times New Roman" w:cs="Times New Roman"/>
                <w:b w:val="0"/>
                <w:sz w:val="19"/>
              </w:rPr>
              <w:t>1st-delivery 4.92 → 0.50 s under outages; no effect without</w:t>
            </w:r>
          </w:p>
        </w:tc>
        <w:tc>
          <w:tcPr>
            <w:tcW w:type="dxa" w:w="3010"/>
          </w:tcPr>
          <w:p>
            <w:pPr>
              <w:spacing w:after="20" w:before="20"/>
              <w:jc w:val="center"/>
            </w:pPr>
            <w:r/>
            <w:r>
              <w:rPr>
                <w:rFonts w:ascii="Times New Roman" w:hAnsi="Times New Roman" w:cs="Times New Roman"/>
                <w:b w:val="0"/>
                <w:sz w:val="19"/>
              </w:rPr>
              <w:t>3 nodes, MTBF 100 s, MTTR 20 s</w:t>
            </w:r>
          </w:p>
        </w:tc>
      </w:tr>
      <w:tr>
        <w:tc>
          <w:tcPr>
            <w:tcW w:type="dxa" w:w="3010"/>
          </w:tcPr>
          <w:p>
            <w:pPr>
              <w:spacing w:after="20" w:before="20"/>
              <w:jc w:val="center"/>
            </w:pPr>
            <w:r/>
            <w:r>
              <w:rPr>
                <w:rFonts w:ascii="Times New Roman" w:hAnsi="Times New Roman" w:cs="Times New Roman"/>
                <w:b w:val="0"/>
                <w:sz w:val="19"/>
              </w:rPr>
              <w:t>In-order delivery</w:t>
            </w:r>
          </w:p>
        </w:tc>
        <w:tc>
          <w:tcPr>
            <w:tcW w:type="dxa" w:w="3010"/>
          </w:tcPr>
          <w:p>
            <w:pPr>
              <w:spacing w:after="20" w:before="20"/>
              <w:jc w:val="center"/>
            </w:pPr>
            <w:r/>
            <w:r>
              <w:rPr>
                <w:rFonts w:ascii="Times New Roman" w:hAnsi="Times New Roman" w:cs="Times New Roman"/>
                <w:b w:val="0"/>
                <w:sz w:val="19"/>
              </w:rPr>
              <w:t>+19% mean latency</w:t>
            </w:r>
          </w:p>
        </w:tc>
        <w:tc>
          <w:tcPr>
            <w:tcW w:type="dxa" w:w="3010"/>
          </w:tcPr>
          <w:p>
            <w:pPr>
              <w:spacing w:after="20" w:before="20"/>
              <w:jc w:val="center"/>
            </w:pPr>
            <w:r/>
            <w:r>
              <w:rPr>
                <w:rFonts w:ascii="Times New Roman" w:hAnsi="Times New Roman" w:cs="Times New Roman"/>
                <w:b w:val="0"/>
                <w:sz w:val="19"/>
              </w:rPr>
              <w:t>λ = 80, 10–100 ms reordering</w:t>
            </w:r>
          </w:p>
        </w:tc>
      </w:tr>
      <w:tr>
        <w:tc>
          <w:tcPr>
            <w:tcW w:type="dxa" w:w="3010"/>
          </w:tcPr>
          <w:p>
            <w:pPr>
              <w:spacing w:after="20" w:before="20"/>
              <w:jc w:val="center"/>
            </w:pPr>
            <w:r/>
            <w:r>
              <w:rPr>
                <w:rFonts w:ascii="Times New Roman" w:hAnsi="Times New Roman" w:cs="Times New Roman"/>
                <w:b w:val="0"/>
                <w:sz w:val="19"/>
              </w:rPr>
              <w:t>2PC</w:t>
            </w:r>
          </w:p>
        </w:tc>
        <w:tc>
          <w:tcPr>
            <w:tcW w:type="dxa" w:w="3010"/>
          </w:tcPr>
          <w:p>
            <w:pPr>
              <w:spacing w:after="20" w:before="20"/>
              <w:jc w:val="center"/>
            </w:pPr>
            <w:r/>
            <w:r>
              <w:rPr>
                <w:rFonts w:ascii="Times New Roman" w:hAnsi="Times New Roman" w:cs="Times New Roman"/>
                <w:b w:val="0"/>
                <w:sz w:val="19"/>
              </w:rPr>
              <w:t>61 ms/msg; capacity −42%</w:t>
            </w:r>
          </w:p>
        </w:tc>
        <w:tc>
          <w:tcPr>
            <w:tcW w:type="dxa" w:w="3010"/>
          </w:tcPr>
          <w:p>
            <w:pPr>
              <w:spacing w:after="20" w:before="20"/>
              <w:jc w:val="center"/>
            </w:pPr>
            <w:r/>
            <w:r>
              <w:rPr>
                <w:rFonts w:ascii="Times New Roman" w:hAnsi="Times New Roman" w:cs="Times New Roman"/>
                <w:b w:val="0"/>
                <w:sz w:val="19"/>
              </w:rPr>
              <w:t>n = 3, a = 0.99, T = 1 s</w:t>
            </w:r>
          </w:p>
        </w:tc>
      </w:tr>
      <w:tr>
        <w:tc>
          <w:tcPr>
            <w:tcW w:type="dxa" w:w="3010"/>
          </w:tcPr>
          <w:p>
            <w:pPr>
              <w:spacing w:after="20" w:before="20"/>
              <w:jc w:val="center"/>
            </w:pPr>
            <w:r/>
            <w:r>
              <w:rPr>
                <w:rFonts w:ascii="Times New Roman" w:hAnsi="Times New Roman" w:cs="Times New Roman"/>
                <w:b w:val="0"/>
                <w:sz w:val="19"/>
              </w:rPr>
              <w:t>Raft commit</w:t>
            </w:r>
          </w:p>
        </w:tc>
        <w:tc>
          <w:tcPr>
            <w:tcW w:type="dxa" w:w="3010"/>
          </w:tcPr>
          <w:p>
            <w:pPr>
              <w:spacing w:after="20" w:before="20"/>
              <w:jc w:val="center"/>
            </w:pPr>
            <w:r/>
            <w:r>
              <w:rPr>
                <w:rFonts w:ascii="Times New Roman" w:hAnsi="Times New Roman" w:cs="Times New Roman"/>
                <w:b w:val="0"/>
                <w:sz w:val="19"/>
              </w:rPr>
              <w:t>Capacity −7% (LAN), −36% (WAN)</w:t>
            </w:r>
          </w:p>
        </w:tc>
        <w:tc>
          <w:tcPr>
            <w:tcW w:type="dxa" w:w="3010"/>
          </w:tcPr>
          <w:p>
            <w:pPr>
              <w:spacing w:after="20" w:before="20"/>
              <w:jc w:val="center"/>
            </w:pPr>
            <w:r/>
            <w:r>
              <w:rPr>
                <w:rFonts w:ascii="Times New Roman" w:hAnsi="Times New Roman" w:cs="Times New Roman"/>
                <w:b w:val="0"/>
                <w:sz w:val="19"/>
              </w:rPr>
              <w:t>n = 3, synchronous commit</w:t>
            </w:r>
          </w:p>
        </w:tc>
      </w:tr>
      <w:tr>
        <w:tc>
          <w:tcPr>
            <w:tcW w:type="dxa" w:w="3010"/>
          </w:tcPr>
          <w:p>
            <w:pPr>
              <w:spacing w:after="20" w:before="20"/>
              <w:jc w:val="center"/>
            </w:pPr>
            <w:r/>
            <w:r>
              <w:rPr>
                <w:rFonts w:ascii="Times New Roman" w:hAnsi="Times New Roman" w:cs="Times New Roman"/>
                <w:b w:val="0"/>
                <w:sz w:val="19"/>
              </w:rPr>
              <w:t>Causal delivery</w:t>
            </w:r>
          </w:p>
        </w:tc>
        <w:tc>
          <w:tcPr>
            <w:tcW w:type="dxa" w:w="3010"/>
          </w:tcPr>
          <w:p>
            <w:pPr>
              <w:spacing w:after="20" w:before="20"/>
              <w:jc w:val="center"/>
            </w:pPr>
            <w:r/>
            <w:r>
              <w:rPr>
                <w:rFonts w:ascii="Times New Roman" w:hAnsi="Times New Roman" w:cs="Times New Roman"/>
                <w:b w:val="0"/>
                <w:sz w:val="19"/>
              </w:rPr>
              <w:t>17% held back, ~14 ms each</w:t>
            </w:r>
          </w:p>
        </w:tc>
        <w:tc>
          <w:tcPr>
            <w:tcW w:type="dxa" w:w="3010"/>
          </w:tcPr>
          <w:p>
            <w:pPr>
              <w:spacing w:after="20" w:before="20"/>
              <w:jc w:val="center"/>
            </w:pPr>
            <w:r/>
            <w:r>
              <w:rPr>
                <w:rFonts w:ascii="Times New Roman" w:hAnsi="Times New Roman" w:cs="Times New Roman"/>
                <w:b w:val="0"/>
                <w:sz w:val="19"/>
              </w:rPr>
              <w:t>P = 10, delay CV = 1</w:t>
            </w:r>
          </w:p>
        </w:tc>
      </w:tr>
      <w:tr>
        <w:tc>
          <w:tcPr>
            <w:tcW w:type="dxa" w:w="3010"/>
          </w:tcPr>
          <w:p>
            <w:pPr>
              <w:spacing w:after="20" w:before="20"/>
              <w:jc w:val="center"/>
            </w:pPr>
            <w:r/>
            <w:r>
              <w:rPr>
                <w:rFonts w:ascii="Times New Roman" w:hAnsi="Times New Roman" w:cs="Times New Roman"/>
                <w:b w:val="0"/>
                <w:sz w:val="19"/>
              </w:rPr>
              <w:t>Shared thread pool</w:t>
            </w:r>
          </w:p>
        </w:tc>
        <w:tc>
          <w:tcPr>
            <w:tcW w:type="dxa" w:w="3010"/>
          </w:tcPr>
          <w:p>
            <w:pPr>
              <w:spacing w:after="20" w:before="20"/>
              <w:jc w:val="center"/>
            </w:pPr>
            <w:r/>
            <w:r>
              <w:rPr>
                <w:rFonts w:ascii="Times New Roman" w:hAnsi="Times New Roman" w:cs="Times New Roman"/>
                <w:b w:val="0"/>
                <w:sz w:val="19"/>
              </w:rPr>
              <w:t>+10% (ρ = 0.7), 4.8× (ρ = 0.9)</w:t>
            </w:r>
          </w:p>
        </w:tc>
        <w:tc>
          <w:tcPr>
            <w:tcW w:type="dxa" w:w="3010"/>
          </w:tcPr>
          <w:p>
            <w:pPr>
              <w:spacing w:after="20" w:before="20"/>
              <w:jc w:val="center"/>
            </w:pPr>
            <w:r/>
            <w:r>
              <w:rPr>
                <w:rFonts w:ascii="Times New Roman" w:hAnsi="Times New Roman" w:cs="Times New Roman"/>
                <w:b w:val="0"/>
                <w:sz w:val="19"/>
              </w:rPr>
              <w:t>N = 20, α = 0.1</w:t>
            </w:r>
          </w:p>
        </w:tc>
      </w:tr>
      <w:tr>
        <w:tc>
          <w:tcPr>
            <w:tcW w:type="dxa" w:w="3010"/>
          </w:tcPr>
          <w:p>
            <w:pPr>
              <w:spacing w:after="20" w:before="20"/>
              <w:jc w:val="center"/>
            </w:pPr>
            <w:r/>
            <w:r>
              <w:rPr>
                <w:rFonts w:ascii="Times New Roman" w:hAnsi="Times New Roman" w:cs="Times New Roman"/>
                <w:b w:val="0"/>
                <w:sz w:val="19"/>
              </w:rPr>
              <w:t>Dedicated thread pool</w:t>
            </w:r>
          </w:p>
        </w:tc>
        <w:tc>
          <w:tcPr>
            <w:tcW w:type="dxa" w:w="3010"/>
          </w:tcPr>
          <w:p>
            <w:pPr>
              <w:spacing w:after="20" w:before="20"/>
              <w:jc w:val="center"/>
            </w:pPr>
            <w:r/>
            <w:r>
              <w:rPr>
                <w:rFonts w:ascii="Times New Roman" w:hAnsi="Times New Roman" w:cs="Times New Roman"/>
                <w:b w:val="0"/>
                <w:sz w:val="19"/>
              </w:rPr>
              <w:t>Rejects 21%–49% (Erlang-B)</w:t>
            </w:r>
          </w:p>
        </w:tc>
        <w:tc>
          <w:tcPr>
            <w:tcW w:type="dxa" w:w="3010"/>
          </w:tcPr>
          <w:p>
            <w:pPr>
              <w:spacing w:after="20" w:before="20"/>
              <w:jc w:val="center"/>
            </w:pPr>
            <w:r/>
            <w:r>
              <w:rPr>
                <w:rFonts w:ascii="Times New Roman" w:hAnsi="Times New Roman" w:cs="Times New Roman"/>
                <w:b w:val="0"/>
                <w:sz w:val="19"/>
              </w:rPr>
              <w:t>N = 20, 2 threads/connection</w:t>
            </w:r>
          </w:p>
        </w:tc>
      </w:tr>
      <w:tr>
        <w:tc>
          <w:tcPr>
            <w:tcW w:type="dxa" w:w="3010"/>
          </w:tcPr>
          <w:p>
            <w:pPr>
              <w:spacing w:after="20" w:before="20"/>
              <w:jc w:val="center"/>
            </w:pPr>
            <w:r/>
            <w:r>
              <w:rPr>
                <w:rFonts w:ascii="Times New Roman" w:hAnsi="Times New Roman" w:cs="Times New Roman"/>
                <w:b w:val="0"/>
                <w:sz w:val="19"/>
              </w:rPr>
              <w:t>Heterogeneous servers</w:t>
            </w:r>
          </w:p>
        </w:tc>
        <w:tc>
          <w:tcPr>
            <w:tcW w:type="dxa" w:w="3010"/>
          </w:tcPr>
          <w:p>
            <w:pPr>
              <w:spacing w:after="20" w:before="20"/>
              <w:jc w:val="center"/>
            </w:pPr>
            <w:r/>
            <w:r>
              <w:rPr>
                <w:rFonts w:ascii="Times New Roman" w:hAnsi="Times New Roman" w:cs="Times New Roman"/>
                <w:b w:val="0"/>
                <w:sz w:val="19"/>
              </w:rPr>
              <w:t>Per-server random dispatch unstable; capacity-aware dispatch removes penalty</w:t>
            </w:r>
          </w:p>
        </w:tc>
        <w:tc>
          <w:tcPr>
            <w:tcW w:type="dxa" w:w="3010"/>
          </w:tcPr>
          <w:p>
            <w:pPr>
              <w:spacing w:after="20" w:before="20"/>
              <w:jc w:val="center"/>
            </w:pPr>
            <w:r/>
            <w:r>
              <w:rPr>
                <w:rFonts w:ascii="Times New Roman" w:hAnsi="Times New Roman" w:cs="Times New Roman"/>
                <w:b w:val="0"/>
                <w:sz w:val="19"/>
              </w:rPr>
              <w:t>λ = 50, 5 servers</w:t>
            </w:r>
          </w:p>
        </w:tc>
      </w:tr>
      <w:tr>
        <w:tc>
          <w:tcPr>
            <w:tcW w:type="dxa" w:w="3010"/>
          </w:tcPr>
          <w:p>
            <w:pPr>
              <w:spacing w:after="20" w:before="20"/>
              <w:jc w:val="center"/>
            </w:pPr>
            <w:r/>
            <w:r>
              <w:rPr>
                <w:rFonts w:ascii="Times New Roman" w:hAnsi="Times New Roman" w:cs="Times New Roman"/>
                <w:b w:val="0"/>
                <w:sz w:val="19"/>
              </w:rPr>
              <w:t>Erlang-k k = 1 → 16</w:t>
            </w:r>
          </w:p>
        </w:tc>
        <w:tc>
          <w:tcPr>
            <w:tcW w:type="dxa" w:w="3010"/>
          </w:tcPr>
          <w:p>
            <w:pPr>
              <w:spacing w:after="20" w:before="20"/>
              <w:jc w:val="center"/>
            </w:pPr>
            <w:r/>
            <w:r>
              <w:rPr>
                <w:rFonts w:ascii="Times New Roman" w:hAnsi="Times New Roman" w:cs="Times New Roman"/>
                <w:b w:val="0"/>
                <w:sz w:val="19"/>
              </w:rPr>
              <w:t>Mean wait −45%</w:t>
            </w:r>
          </w:p>
        </w:tc>
        <w:tc>
          <w:tcPr>
            <w:tcW w:type="dxa" w:w="3010"/>
          </w:tcPr>
          <w:p>
            <w:pPr>
              <w:spacing w:after="20" w:before="20"/>
              <w:jc w:val="center"/>
            </w:pPr>
            <w:r/>
            <w:r>
              <w:rPr>
                <w:rFonts w:ascii="Times New Roman" w:hAnsi="Times New Roman" w:cs="Times New Roman"/>
                <w:b w:val="0"/>
                <w:sz w:val="19"/>
              </w:rPr>
              <w:t>ρ = 0.85</w:t>
            </w:r>
          </w:p>
        </w:tc>
      </w:tr>
    </w:tbl>
    <w:p>
      <w:pPr>
        <w:spacing w:after="80" w:before="0"/>
      </w:pPr>
    </w:p>
    <w:p>
      <w:pPr>
        <w:spacing w:after="120" w:before="0"/>
        <w:jc w:val="both"/>
      </w:pPr>
      <w:r>
        <w:rPr>
          <w:rFonts w:ascii="Times New Roman" w:hAnsi="Times New Roman" w:cs="Times New Roman"/>
          <w:sz w:val="22"/>
        </w:rPr>
        <w:t>Three observations cut across the experiments. First, timeouts dominate several costs: the 2PC vote timeout contributes half of 2PC's mean overhead and nearly all of its variance and tail, and the visibility timeout sets both the retry latency and the duplicate rate. Timeout values deserve the same tuning attention as thread counts. Second, the cost of consistency is set by network round trips relative to service time: Raft costs single digits of capacity on a LAN and over a third on a WAN, and in both 2PC and Raft a pool that is comfortably stable without the protocol can become unstable with it, so capacity planning must use the protocol-inflated service time. Third, in several cases the policy matters more than the resource: the dispatcher, not the server mix, determines whether a heterogeneous fleet is stable; a second replica captures nearly all the availability benefit of replication; and the dedicated/shared choice is a choice between rejection and delay.</w:t>
      </w:r>
    </w:p>
    <w:p>
      <w:pPr>
        <w:spacing w:after="120" w:before="0"/>
        <w:jc w:val="both"/>
      </w:pPr>
      <w:r>
        <w:rPr>
          <w:rFonts w:ascii="Times New Roman" w:hAnsi="Times New Roman" w:cs="Times New Roman"/>
          <w:b/>
          <w:sz w:val="22"/>
        </w:rPr>
        <w:t xml:space="preserve">Limitations. </w:t>
      </w:r>
      <w:r>
        <w:rPr>
          <w:rFonts w:ascii="Times New Roman" w:hAnsi="Times New Roman" w:cs="Times New Roman"/>
          <w:sz w:val="22"/>
        </w:rPr>
        <w:t>All workloads are synthetic Poisson arrivals with exponential service unless stated, so absolute numbers depend on the parameters in Table 1. The broker model polls storage nodes with a fixed back-off, injects node outages but not network partitions or message loss, and applies acknowledgements to unavailable nodes. The Raft model commits each request synchronously with no batching, pipelining, or disk writes, and is exercised without leader churn during the queueing experiments. The 2PC model does not model coordinator failure. The ordering results at ρ ≈ 0.9 are inconclusive because of the infinite-variance service distribution. Validation against production broker traces remains future work.</w:t>
      </w:r>
    </w:p>
    <w:p>
      <w:pPr>
        <w:spacing w:after="80" w:before="200"/>
      </w:pPr>
      <w:r>
        <w:rPr>
          <w:rFonts w:ascii="Times New Roman" w:hAnsi="Times New Roman" w:cs="Times New Roman"/>
          <w:b/>
          <w:sz w:val="28"/>
        </w:rPr>
        <w:t>8   Conclusion and Future Work</w:t>
      </w:r>
    </w:p>
    <w:p>
      <w:pPr>
        <w:spacing w:after="120" w:before="0"/>
        <w:jc w:val="both"/>
      </w:pPr>
      <w:r>
        <w:rPr>
          <w:rFonts w:ascii="Times New Roman" w:hAnsi="Times New Roman" w:cs="Times New Roman"/>
          <w:sz w:val="22"/>
        </w:rPr>
        <w:t>This paper complements our study of heavy-tailed service times by measuring the cost of the reliability, consistency, and threading mechanisms that production brokers layer on top of the raw queue. Every result is a replicated, seeded simulation measurement, and every model with a known closed form reproduces it. Atomic commit is the most expensive guarantee we measured (42% of capacity with default timeouts), consensus costs whatever the network round trip costs, and causal ordering and second replicas are comparatively cheap. Visibility and vote timeouts are first-order performance parameters, and for heterogeneous fleets the dispatch policy determines stability.</w:t>
      </w:r>
    </w:p>
    <w:p>
      <w:pPr>
        <w:spacing w:after="120" w:before="0"/>
        <w:jc w:val="both"/>
      </w:pPr>
      <w:r>
        <w:rPr>
          <w:rFonts w:ascii="Times New Roman" w:hAnsi="Times New Roman" w:cs="Times New Roman"/>
          <w:sz w:val="22"/>
        </w:rPr>
        <w:t>Future work includes simulating network partitions to quantify the availability side of the CAP trade-off, adding entry batching and pipelining to the Raft model, repeating the ordering experiment near saturation with more replications, combining the heavy-tailed service times of our companion paper with 2PC and consensus overheads to test whether workload variance and protocol cost compound, and validating the framework against production broker traces.</w:t>
      </w:r>
    </w:p>
    <w:p>
      <w:pPr>
        <w:spacing w:after="80" w:before="200"/>
      </w:pPr>
      <w:r>
        <w:rPr>
          <w:rFonts w:ascii="Times New Roman" w:hAnsi="Times New Roman" w:cs="Times New Roman"/>
          <w:b/>
          <w:sz w:val="28"/>
        </w:rPr>
        <w:t>References</w:t>
      </w:r>
    </w:p>
    <w:p>
      <w:pPr>
        <w:spacing w:after="60" w:before="0"/>
        <w:jc w:val="both"/>
      </w:pPr>
      <w:r>
        <w:rPr>
          <w:rFonts w:ascii="Times New Roman" w:hAnsi="Times New Roman" w:cs="Times New Roman"/>
          <w:sz w:val="20"/>
        </w:rPr>
        <w:t>[1] J. Li, Y. Cui, and Y. Ma, “Modeling message queueing services with reliability guarantee in cloud computing environment using colored Petri nets,” Mathematical Problems in Engineering, vol. 2015, Art. no. 383846, 2015.</w:t>
      </w:r>
    </w:p>
    <w:p>
      <w:pPr>
        <w:spacing w:after="60" w:before="0"/>
        <w:jc w:val="both"/>
      </w:pPr>
      <w:r>
        <w:rPr>
          <w:rFonts w:ascii="Times New Roman" w:hAnsi="Times New Roman" w:cs="Times New Roman"/>
          <w:sz w:val="20"/>
        </w:rPr>
        <w:t>[2] L. Lamport, “Time, clocks, and the ordering of events in a distributed system,” Communications of the ACM, vol. 21, no. 7, pp. 558–565, 1978.</w:t>
      </w:r>
    </w:p>
    <w:p>
      <w:pPr>
        <w:spacing w:after="60" w:before="0"/>
        <w:jc w:val="both"/>
      </w:pPr>
      <w:r>
        <w:rPr>
          <w:rFonts w:ascii="Times New Roman" w:hAnsi="Times New Roman" w:cs="Times New Roman"/>
          <w:sz w:val="20"/>
        </w:rPr>
        <w:t>[3] C. J. Fidge, “Timestamps in message-passing systems that preserve the partial ordering,” in Proc. 11th Australian Computer Science Conf., 1988, pp. 56–66.</w:t>
      </w:r>
    </w:p>
    <w:p>
      <w:pPr>
        <w:spacing w:after="60" w:before="0"/>
        <w:jc w:val="both"/>
      </w:pPr>
      <w:r>
        <w:rPr>
          <w:rFonts w:ascii="Times New Roman" w:hAnsi="Times New Roman" w:cs="Times New Roman"/>
          <w:sz w:val="20"/>
        </w:rPr>
        <w:t>[4] F. Mattern, “Virtual time and global states of distributed systems,” in Parallel and Distributed Algorithms, 1989, pp. 215–226.</w:t>
      </w:r>
    </w:p>
    <w:p>
      <w:pPr>
        <w:spacing w:after="60" w:before="0"/>
        <w:jc w:val="both"/>
      </w:pPr>
      <w:r>
        <w:rPr>
          <w:rFonts w:ascii="Times New Roman" w:hAnsi="Times New Roman" w:cs="Times New Roman"/>
          <w:sz w:val="20"/>
        </w:rPr>
        <w:t>[5] D. Ongaro and J. Ousterhout, “In search of an understandable consensus algorithm,” in Proc. USENIX Annual Technical Conf. (ATC), 2014, pp. 305–319.</w:t>
      </w:r>
    </w:p>
    <w:p>
      <w:pPr>
        <w:spacing w:after="60" w:before="0"/>
        <w:jc w:val="both"/>
      </w:pPr>
      <w:r>
        <w:rPr>
          <w:rFonts w:ascii="Times New Roman" w:hAnsi="Times New Roman" w:cs="Times New Roman"/>
          <w:sz w:val="20"/>
        </w:rPr>
        <w:t>[6] L. Lamport, “The part-time parliament,” ACM Trans. Computer Systems, vol. 16, no. 2, pp. 133–169, 1998.</w:t>
      </w:r>
    </w:p>
    <w:p>
      <w:pPr>
        <w:spacing w:after="60" w:before="0"/>
        <w:jc w:val="both"/>
      </w:pPr>
      <w:r>
        <w:rPr>
          <w:rFonts w:ascii="Times New Roman" w:hAnsi="Times New Roman" w:cs="Times New Roman"/>
          <w:sz w:val="20"/>
        </w:rPr>
        <w:t>[7] J. Gray, “Notes on data base operating systems,” in Operating Systems: An Advanced Course, LNCS 60, Springer, 1978, pp. 393–481.</w:t>
      </w:r>
    </w:p>
    <w:p>
      <w:pPr>
        <w:spacing w:after="60" w:before="0"/>
        <w:jc w:val="both"/>
      </w:pPr>
      <w:r>
        <w:rPr>
          <w:rFonts w:ascii="Times New Roman" w:hAnsi="Times New Roman" w:cs="Times New Roman"/>
          <w:sz w:val="20"/>
        </w:rPr>
        <w:t>[8] J. Gray and L. Lamport, “Consensus on transaction commit,” ACM Trans. Database Systems, vol. 31, no. 1, pp. 133–160, 2006.</w:t>
      </w:r>
    </w:p>
    <w:p>
      <w:pPr>
        <w:spacing w:after="60" w:before="0"/>
        <w:jc w:val="both"/>
      </w:pPr>
      <w:r>
        <w:rPr>
          <w:rFonts w:ascii="Times New Roman" w:hAnsi="Times New Roman" w:cs="Times New Roman"/>
          <w:sz w:val="20"/>
        </w:rPr>
        <w:t>[9] E. A. Brewer, “Towards robust distributed systems,” keynote, ACM Symp. Principles of Distributed Computing (PODC), 2000.</w:t>
      </w:r>
    </w:p>
    <w:p>
      <w:pPr>
        <w:spacing w:after="60" w:before="0"/>
        <w:jc w:val="both"/>
      </w:pPr>
      <w:r>
        <w:rPr>
          <w:rFonts w:ascii="Times New Roman" w:hAnsi="Times New Roman" w:cs="Times New Roman"/>
          <w:sz w:val="20"/>
        </w:rPr>
        <w:t>[10] S. Gilbert and N. Lynch, “Brewer’s conjecture and the feasibility of consistent, available, partition-tolerant web services,” ACM SIGACT News, vol. 33, no. 2, pp. 51–59, 2002.</w:t>
      </w:r>
    </w:p>
    <w:p>
      <w:pPr>
        <w:spacing w:after="60" w:before="0"/>
        <w:jc w:val="both"/>
      </w:pPr>
      <w:r>
        <w:rPr>
          <w:rFonts w:ascii="Times New Roman" w:hAnsi="Times New Roman" w:cs="Times New Roman"/>
          <w:sz w:val="20"/>
        </w:rPr>
        <w:t>[11] M. J. Fischer, N. A. Lynch, and M. S. Paterson, “Impossibility of distributed consensus with one faulty process,” Journal of the ACM, vol. 32, no. 2, pp. 374–382, 1985.</w:t>
      </w:r>
    </w:p>
    <w:p>
      <w:pPr>
        <w:spacing w:after="60" w:before="0"/>
        <w:jc w:val="both"/>
      </w:pPr>
      <w:r>
        <w:rPr>
          <w:rFonts w:ascii="Times New Roman" w:hAnsi="Times New Roman" w:cs="Times New Roman"/>
          <w:sz w:val="20"/>
        </w:rPr>
        <w:t>[12] W. Vogels, “Eventually consistent,” Communications of the ACM, vol. 52, no. 1, pp. 40–44, 2009.</w:t>
      </w:r>
    </w:p>
    <w:p>
      <w:pPr>
        <w:spacing w:after="60" w:before="0"/>
        <w:jc w:val="both"/>
      </w:pPr>
      <w:r>
        <w:rPr>
          <w:rFonts w:ascii="Times New Roman" w:hAnsi="Times New Roman" w:cs="Times New Roman"/>
          <w:sz w:val="20"/>
        </w:rPr>
        <w:t>[13] G. DeCandia et al., “Dynamo: Amazon’s highly available key-value store,” in Proc. ACM SOSP, 2007, pp. 205–220.</w:t>
      </w:r>
    </w:p>
    <w:p>
      <w:pPr>
        <w:spacing w:after="60" w:before="0"/>
        <w:jc w:val="both"/>
      </w:pPr>
      <w:r>
        <w:rPr>
          <w:rFonts w:ascii="Times New Roman" w:hAnsi="Times New Roman" w:cs="Times New Roman"/>
          <w:sz w:val="20"/>
        </w:rPr>
        <w:t>[14] J. Dean and L. A. Barroso, “The tail at scale,” Communications of the ACM, vol. 56, no. 2, pp. 74–80, 2013.</w:t>
      </w:r>
    </w:p>
    <w:p>
      <w:pPr>
        <w:spacing w:after="60" w:before="0"/>
        <w:jc w:val="both"/>
      </w:pPr>
      <w:r>
        <w:rPr>
          <w:rFonts w:ascii="Times New Roman" w:hAnsi="Times New Roman" w:cs="Times New Roman"/>
          <w:sz w:val="20"/>
        </w:rPr>
        <w:t>[15] L. Kleinrock, Queueing Systems, Volume 1: Theory. New York: Wiley-Interscience, 1975.</w:t>
      </w:r>
    </w:p>
    <w:p>
      <w:pPr>
        <w:spacing w:after="60" w:before="0"/>
        <w:jc w:val="both"/>
      </w:pPr>
      <w:r>
        <w:rPr>
          <w:rFonts w:ascii="Times New Roman" w:hAnsi="Times New Roman" w:cs="Times New Roman"/>
          <w:sz w:val="20"/>
        </w:rPr>
        <w:t>[16] A. K. Erlang, “Solution of some problems in the theory of probabilities of significance in automatic telephone exchanges,” Elektroteknikeren, vol. 13, pp. 5–13, 1917.</w:t>
      </w:r>
    </w:p>
    <w:p>
      <w:pPr>
        <w:spacing w:after="60" w:before="0"/>
        <w:jc w:val="both"/>
      </w:pPr>
      <w:r>
        <w:rPr>
          <w:rFonts w:ascii="Times New Roman" w:hAnsi="Times New Roman" w:cs="Times New Roman"/>
          <w:sz w:val="20"/>
        </w:rPr>
        <w:t>[17] J. D. C. Little, “A proof for the queuing formula: L = λW,” Operations Research, vol. 9, no. 3, pp. 383–387, 1961.</w:t>
      </w:r>
    </w:p>
    <w:p>
      <w:pPr>
        <w:spacing w:after="60" w:before="0"/>
        <w:jc w:val="both"/>
      </w:pPr>
      <w:r>
        <w:rPr>
          <w:rFonts w:ascii="Times New Roman" w:hAnsi="Times New Roman" w:cs="Times New Roman"/>
          <w:sz w:val="20"/>
        </w:rPr>
        <w:t>[18] M. Harchol-Balter, Performance Modeling and Design of Computer Systems: Queueing Theory in Action. Cambridge: Cambridge Univ. Press, 2013.</w:t>
      </w:r>
    </w:p>
    <w:p>
      <w:pPr>
        <w:spacing w:after="60" w:before="0"/>
        <w:jc w:val="both"/>
      </w:pPr>
      <w:r>
        <w:rPr>
          <w:rFonts w:ascii="Times New Roman" w:hAnsi="Times New Roman" w:cs="Times New Roman"/>
          <w:sz w:val="20"/>
        </w:rPr>
        <w:t>[19] Amazon Web Services, “Amazon SQS Developer Guide: Visibility timeout,” 2023. [Online]. Available: https://docs.aws.amazon.com/AWSSimpleQueueService/</w:t>
      </w:r>
    </w:p>
    <w:p>
      <w:pPr>
        <w:spacing w:after="60" w:before="0"/>
        <w:jc w:val="both"/>
      </w:pPr>
      <w:r>
        <w:rPr>
          <w:rFonts w:ascii="Times New Roman" w:hAnsi="Times New Roman" w:cs="Times New Roman"/>
          <w:sz w:val="20"/>
        </w:rPr>
        <w:t>[20] Team SimPy, “SimPy: Discrete-event simulation for Python,” 2023. [Online]. Available: https://simpy.readthedocs.io/</w:t>
      </w:r>
    </w:p>
    <w:p>
      <w:pPr>
        <w:spacing w:after="60" w:before="0"/>
        <w:jc w:val="both"/>
      </w:pPr>
      <w:r>
        <w:rPr>
          <w:rFonts w:ascii="Times New Roman" w:hAnsi="Times New Roman" w:cs="Times New Roman"/>
          <w:sz w:val="20"/>
        </w:rPr>
        <w:t>[21] D. Gross and C. M. Harris, Fundamentals of Queueing Theory, 3rd ed. New York: Wiley, 1998.</w:t>
      </w:r>
    </w:p>
    <w:p>
      <w:pPr>
        <w:spacing w:after="60" w:before="0"/>
        <w:jc w:val="both"/>
      </w:pPr>
      <w:r>
        <w:rPr>
          <w:rFonts w:ascii="Times New Roman" w:hAnsi="Times New Roman" w:cs="Times New Roman"/>
          <w:sz w:val="20"/>
        </w:rPr>
        <w:t>[22] K. Birman, A. Schiper, and P. Stephenson, “Lightweight causal and atomic group multicast,” ACM Trans. Computer Systems, vol. 9, no. 3, pp. 272–314, 1991.</w:t>
      </w:r>
    </w:p>
    <w:p>
      <w:pPr>
        <w:spacing w:after="60" w:before="0"/>
        <w:jc w:val="both"/>
      </w:pPr>
      <w:r>
        <w:rPr>
          <w:rFonts w:ascii="Times New Roman" w:hAnsi="Times New Roman" w:cs="Times New Roman"/>
          <w:sz w:val="20"/>
        </w:rPr>
        <w:t>[23] A. Cobham, “Priority assignment in waiting line problems,” Operations Research, vol. 2, no. 1, pp. 70–76, 1954.</w:t>
      </w:r>
    </w:p>
    <w:p>
      <w:pPr>
        <w:spacing w:after="60" w:before="0"/>
        <w:jc w:val="both"/>
      </w:pPr>
      <w:r>
        <w:rPr>
          <w:rFonts w:ascii="Times New Roman" w:hAnsi="Times New Roman" w:cs="Times New Roman"/>
          <w:sz w:val="20"/>
        </w:rPr>
        <w:t>[24] A. O. Allen, Probability, Statistics, and Queueing Theory with Computer Science Applications, 2nd ed. San Diego: Academic Press, 1990.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