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BBFD9" w14:textId="77777777" w:rsidR="00A02BD8" w:rsidRDefault="00A02BD8"/>
    <w:p w14:paraId="46FBB59C" w14:textId="77777777" w:rsidR="00A02BD8" w:rsidRDefault="00A02BD8"/>
    <w:p w14:paraId="4172E9FA" w14:textId="77777777" w:rsidR="00A02BD8" w:rsidRDefault="00A02BD8"/>
    <w:p w14:paraId="70870085" w14:textId="77777777" w:rsidR="00A02BD8" w:rsidRDefault="00A02BD8"/>
    <w:p w14:paraId="062BF351" w14:textId="77777777" w:rsidR="00A02BD8" w:rsidRDefault="00000000">
      <w:pPr>
        <w:jc w:val="center"/>
      </w:pPr>
      <w:r>
        <w:rPr>
          <w:b/>
          <w:color w:val="1F3A5F"/>
          <w:sz w:val="60"/>
        </w:rPr>
        <w:t>AMC RFP &amp; PORTFOLIO INSIGHT ORCHESTRATOR</w:t>
      </w:r>
    </w:p>
    <w:p w14:paraId="5F222DC9" w14:textId="77777777" w:rsidR="00A02BD8" w:rsidRDefault="00000000">
      <w:pPr>
        <w:jc w:val="center"/>
      </w:pPr>
      <w:r>
        <w:rPr>
          <w:i/>
          <w:color w:val="2E74B5"/>
          <w:sz w:val="30"/>
        </w:rPr>
        <w:t>A Multi-Agent Agentic AI System for Institutional RFP</w:t>
      </w:r>
      <w:r>
        <w:rPr>
          <w:i/>
          <w:color w:val="2E74B5"/>
          <w:sz w:val="30"/>
        </w:rPr>
        <w:br/>
        <w:t>and Portfolio Insight Automation</w:t>
      </w:r>
    </w:p>
    <w:p w14:paraId="3D435D2C" w14:textId="77777777" w:rsidR="00A02BD8" w:rsidRDefault="00A02BD8"/>
    <w:p w14:paraId="5C5A4310" w14:textId="77777777" w:rsidR="00A02BD8" w:rsidRDefault="00A02BD8"/>
    <w:p w14:paraId="0DCBB41A" w14:textId="77777777" w:rsidR="00A02BD8" w:rsidRDefault="00000000">
      <w:pPr>
        <w:jc w:val="center"/>
      </w:pPr>
      <w:r>
        <w:rPr>
          <w:b/>
          <w:color w:val="333333"/>
          <w:sz w:val="32"/>
        </w:rPr>
        <w:t>Project Report — Phase 01 &amp; Phase 02</w:t>
      </w:r>
    </w:p>
    <w:p w14:paraId="5AC90383" w14:textId="77777777" w:rsidR="00A02BD8" w:rsidRDefault="00000000">
      <w:pPr>
        <w:jc w:val="center"/>
      </w:pPr>
      <w:r>
        <w:rPr>
          <w:color w:val="555555"/>
          <w:sz w:val="24"/>
        </w:rPr>
        <w:t>Built on the AWS Strands Agents Framework</w:t>
      </w:r>
    </w:p>
    <w:p w14:paraId="6C98B006" w14:textId="77777777" w:rsidR="00A02BD8" w:rsidRDefault="00A02BD8"/>
    <w:p w14:paraId="38A5C48D" w14:textId="77777777" w:rsidR="00A02BD8" w:rsidRDefault="00A02BD8"/>
    <w:p w14:paraId="4A721E21" w14:textId="77777777" w:rsidR="00A02BD8" w:rsidRDefault="00A02BD8"/>
    <w:p w14:paraId="16FAA7B7" w14:textId="77777777" w:rsidR="00A02BD8" w:rsidRDefault="00A02BD8"/>
    <w:p w14:paraId="2900D526" w14:textId="77777777" w:rsidR="00A02BD8" w:rsidRDefault="00A02BD8"/>
    <w:p w14:paraId="1FFDD917" w14:textId="77777777" w:rsidR="00A02BD8" w:rsidRDefault="00A02BD8"/>
    <w:tbl>
      <w:tblPr>
        <w:tblW w:w="0" w:type="auto"/>
        <w:jc w:val="center"/>
        <w:tblLook w:val="04A0" w:firstRow="1" w:lastRow="0" w:firstColumn="1" w:lastColumn="0" w:noHBand="0" w:noVBand="1"/>
      </w:tblPr>
      <w:tblGrid>
        <w:gridCol w:w="2544"/>
        <w:gridCol w:w="6312"/>
      </w:tblGrid>
      <w:tr w:rsidR="00A02BD8" w14:paraId="4234FDE7" w14:textId="77777777">
        <w:trPr>
          <w:jc w:val="center"/>
        </w:trPr>
        <w:tc>
          <w:tcPr>
            <w:tcW w:w="2592" w:type="dxa"/>
          </w:tcPr>
          <w:p w14:paraId="687E095D" w14:textId="77777777" w:rsidR="00A02BD8" w:rsidRDefault="00000000">
            <w:r>
              <w:rPr>
                <w:b/>
                <w:sz w:val="21"/>
              </w:rPr>
              <w:t>Prepared for</w:t>
            </w:r>
          </w:p>
        </w:tc>
        <w:tc>
          <w:tcPr>
            <w:tcW w:w="6480" w:type="dxa"/>
          </w:tcPr>
          <w:p w14:paraId="463A35F6" w14:textId="77777777" w:rsidR="00A02BD8" w:rsidRDefault="00000000">
            <w:r>
              <w:rPr>
                <w:sz w:val="21"/>
              </w:rPr>
              <w:t>Mutual Fund Asset Management Company (AMC) Stakeholders</w:t>
            </w:r>
          </w:p>
        </w:tc>
      </w:tr>
      <w:tr w:rsidR="00A02BD8" w14:paraId="0D764C0D" w14:textId="77777777">
        <w:trPr>
          <w:jc w:val="center"/>
        </w:trPr>
        <w:tc>
          <w:tcPr>
            <w:tcW w:w="2592" w:type="dxa"/>
          </w:tcPr>
          <w:p w14:paraId="05FD511A" w14:textId="77777777" w:rsidR="00A02BD8" w:rsidRDefault="00000000">
            <w:r>
              <w:rPr>
                <w:b/>
                <w:sz w:val="21"/>
              </w:rPr>
              <w:t>Domain</w:t>
            </w:r>
          </w:p>
        </w:tc>
        <w:tc>
          <w:tcPr>
            <w:tcW w:w="6480" w:type="dxa"/>
          </w:tcPr>
          <w:p w14:paraId="621CFF2D" w14:textId="77777777" w:rsidR="00A02BD8" w:rsidRDefault="00000000">
            <w:r>
              <w:rPr>
                <w:sz w:val="21"/>
              </w:rPr>
              <w:t>Institutional RFP Response &amp; Client Portfolio Insight Automation</w:t>
            </w:r>
          </w:p>
        </w:tc>
      </w:tr>
      <w:tr w:rsidR="00A02BD8" w14:paraId="665C6128" w14:textId="77777777">
        <w:trPr>
          <w:jc w:val="center"/>
        </w:trPr>
        <w:tc>
          <w:tcPr>
            <w:tcW w:w="2592" w:type="dxa"/>
          </w:tcPr>
          <w:p w14:paraId="0E503504" w14:textId="77777777" w:rsidR="00A02BD8" w:rsidRDefault="00000000">
            <w:r>
              <w:rPr>
                <w:b/>
                <w:sz w:val="21"/>
              </w:rPr>
              <w:t>Delivery Phase</w:t>
            </w:r>
          </w:p>
        </w:tc>
        <w:tc>
          <w:tcPr>
            <w:tcW w:w="6480" w:type="dxa"/>
          </w:tcPr>
          <w:p w14:paraId="360E86F6" w14:textId="77777777" w:rsidR="00A02BD8" w:rsidRDefault="00000000">
            <w:r>
              <w:rPr>
                <w:sz w:val="21"/>
              </w:rPr>
              <w:t>Phase 01 — Development (DEV) Environment</w:t>
            </w:r>
          </w:p>
        </w:tc>
      </w:tr>
      <w:tr w:rsidR="00A02BD8" w14:paraId="39A2B2B0" w14:textId="77777777">
        <w:trPr>
          <w:jc w:val="center"/>
        </w:trPr>
        <w:tc>
          <w:tcPr>
            <w:tcW w:w="2592" w:type="dxa"/>
          </w:tcPr>
          <w:p w14:paraId="01083AEA" w14:textId="77777777" w:rsidR="00A02BD8" w:rsidRDefault="00000000">
            <w:r>
              <w:rPr>
                <w:b/>
                <w:sz w:val="21"/>
              </w:rPr>
              <w:t>Status</w:t>
            </w:r>
          </w:p>
        </w:tc>
        <w:tc>
          <w:tcPr>
            <w:tcW w:w="6480" w:type="dxa"/>
          </w:tcPr>
          <w:p w14:paraId="33C8CE64" w14:textId="77777777" w:rsidR="00A02BD8" w:rsidRDefault="00000000">
            <w:r>
              <w:rPr>
                <w:sz w:val="21"/>
              </w:rPr>
              <w:t>All 10 planned Phase 01 milestones complete</w:t>
            </w:r>
          </w:p>
        </w:tc>
      </w:tr>
      <w:tr w:rsidR="00A02BD8" w14:paraId="3676603C" w14:textId="77777777">
        <w:trPr>
          <w:jc w:val="center"/>
        </w:trPr>
        <w:tc>
          <w:tcPr>
            <w:tcW w:w="2592" w:type="dxa"/>
          </w:tcPr>
          <w:p w14:paraId="31ADDF8B" w14:textId="77777777" w:rsidR="00A02BD8" w:rsidRDefault="00000000">
            <w:r>
              <w:rPr>
                <w:b/>
                <w:sz w:val="21"/>
              </w:rPr>
              <w:t>Document Date</w:t>
            </w:r>
          </w:p>
        </w:tc>
        <w:tc>
          <w:tcPr>
            <w:tcW w:w="6480" w:type="dxa"/>
          </w:tcPr>
          <w:p w14:paraId="7665B24E" w14:textId="77777777" w:rsidR="00A02BD8" w:rsidRDefault="00000000">
            <w:r>
              <w:rPr>
                <w:sz w:val="21"/>
              </w:rPr>
              <w:t>July 2026</w:t>
            </w:r>
          </w:p>
        </w:tc>
      </w:tr>
    </w:tbl>
    <w:p w14:paraId="7656A80C" w14:textId="77777777" w:rsidR="00A02BD8" w:rsidRDefault="00000000">
      <w:r>
        <w:br w:type="page"/>
      </w:r>
    </w:p>
    <w:p w14:paraId="7579D4C9" w14:textId="77777777" w:rsidR="00A02BD8" w:rsidRDefault="00000000">
      <w:pPr>
        <w:pStyle w:val="Heading1"/>
      </w:pPr>
      <w:bookmarkStart w:id="0" w:name="_Toc234670560"/>
      <w:r>
        <w:lastRenderedPageBreak/>
        <w:t>Table of Contents</w:t>
      </w:r>
      <w:bookmarkEnd w:id="0"/>
    </w:p>
    <w:p>
      <w:pPr>
        <w:pStyle w:val="TOC1"/>
      </w:pPr>
      <w:r>
        <w:fldChar w:fldCharType="begin" w:dirty="true"/>
      </w:r>
      <w:r>
        <w:instrText xml:space="preserve"> TOC \o "1-3" \h \z \u </w:instrText>
      </w:r>
      <w:r>
        <w:fldChar w:fldCharType="separate"/>
      </w:r>
      <w:r>
        <w:t>Right-click here and choose "Update Field" (or press F9) to generate the Table of Contents.</w:t>
      </w:r>
      <w:r>
        <w:fldChar w:fldCharType="end"/>
      </w:r>
    </w:p>
    <w:p w14:paraId="5DE509BF" w14:textId="0F92F787" w:rsidR="00A02BD8" w:rsidRDefault="00000000">
      <w:r>
        <w:fldChar w:fldCharType="end"/>
      </w:r>
    </w:p>
    <w:p w14:paraId="36B3BF6D" w14:textId="77777777" w:rsidR="00A02BD8" w:rsidRDefault="00000000">
      <w:r>
        <w:br w:type="page"/>
      </w:r>
    </w:p>
    <w:p w14:paraId="28C386AD" w14:textId="77777777" w:rsidR="00A02BD8" w:rsidRDefault="00000000">
      <w:pPr>
        <w:pStyle w:val="Heading1"/>
      </w:pPr>
      <w:bookmarkStart w:id="1" w:name="_Toc234670561"/>
      <w:r>
        <w:lastRenderedPageBreak/>
        <w:t>1. Executive Summary</w:t>
      </w:r>
      <w:bookmarkEnd w:id="1"/>
    </w:p>
    <w:p w14:paraId="701258A9" w14:textId="77777777" w:rsidR="00A02BD8" w:rsidRDefault="00000000">
      <w:r>
        <w:t>Institutional Requests for Proposals (RFPs) and portfolio due-diligence queries are one of the most time- and labour-intensive workflows inside a Mutual Fund Asset Management Company (AMC). Answering a single RFP typically requires a compliance officer, a portfolio analyst, and a client-facing relationship manager to manually pull quantitative fund metrics, retrieve qualitative fund-manager commentary, cross-check every claim against regulatory disclosure rules, and iterate the draft until it is safe to send — a process that today can take days per request across several disjointed systems.</w:t>
      </w:r>
    </w:p>
    <w:p w14:paraId="0AE045FB" w14:textId="77777777" w:rsidR="00A02BD8" w:rsidRDefault="00000000">
      <w:r>
        <w:t>The AMC RFP &amp; Portfolio Insight Orchestrator automates this entire workflow end-to-end using a coordinated team of specialised AI agents, built on AWS's open-source Strands Agents framework. Rather than a single large-language-model (LLM) prompt attempting to do everything at once — an approach that is opaque, hard to govern, and prone to compliance mistakes — the system decomposes the task the same way a real AMC team would: a Quantitative Analyst agent, a Qualitative Strategy agent, a Chief Compliance Officer agent acting as an automated judge, a Revisor agent, and a Client Reporting agent, each with a single clear responsibility, collaborating through a governed, auditable workflow graph.</w:t>
      </w:r>
    </w:p>
    <w:p w14:paraId="58E967F4" w14:textId="77777777" w:rsidR="00A02BD8" w:rsidRDefault="00000000">
      <w:r>
        <w:t>The system's defining feature is a self-correcting compliance loop: every draft response is judged against the AMC's compliance rubric before it can reach a client, and if it fails, it is automatically revised and re-judged — up to a configurable limit — with a hard safety net ensuring the system can never silently release non-compliant content. In real-world testing, a query that today takes a human team hours to assemble and review was answered, compliance-checked, and formatted into a client-ready report in under 12 seconds when running on AWS Bedrock, with full traceability of every agent's reasoning and every data point's provenance.</w:t>
      </w:r>
    </w:p>
    <w:p w14:paraId="0D45D735" w14:textId="77777777" w:rsidR="00A02BD8" w:rsidRDefault="00000000">
      <w:r>
        <w:t>This document explains the business rationale, the technical architecture, the reasoning behind an agentic (multi-agent) approach versus simpler automation, the role of the Strands framework, and an illustrative view of the time and cost savings this system can deliver at scale.</w:t>
      </w:r>
    </w:p>
    <w:p w14:paraId="4B5DBE61" w14:textId="77777777" w:rsidR="00A02BD8" w:rsidRDefault="00000000">
      <w:r>
        <w:br w:type="page"/>
      </w:r>
    </w:p>
    <w:p w14:paraId="665D7CEE" w14:textId="77777777" w:rsidR="00A02BD8" w:rsidRDefault="00000000">
      <w:pPr>
        <w:pStyle w:val="Heading1"/>
      </w:pPr>
      <w:bookmarkStart w:id="2" w:name="_Toc234670562"/>
      <w:r>
        <w:lastRenderedPageBreak/>
        <w:t>2. Business Context &amp; Problem Statement</w:t>
      </w:r>
      <w:bookmarkEnd w:id="2"/>
    </w:p>
    <w:p w14:paraId="2B8EB3AB" w14:textId="77777777" w:rsidR="00A02BD8" w:rsidRDefault="00000000">
      <w:pPr>
        <w:pStyle w:val="Heading2"/>
      </w:pPr>
      <w:bookmarkStart w:id="3" w:name="_Toc234670563"/>
      <w:r>
        <w:t>2.1 The Operational Bottleneck</w:t>
      </w:r>
      <w:bookmarkEnd w:id="3"/>
    </w:p>
    <w:p w14:paraId="1C8F6E9B" w14:textId="77777777" w:rsidR="00A02BD8" w:rsidRDefault="00000000">
      <w:r>
        <w:t>AMCs are routinely asked by institutional investors, pension funds, and wealth managers to respond to RFPs and portfolio-review questionnaires covering fund performance, risk characteristics, and manager strategy. Producing a compliant, accurate answer requires synthesising three categories of information that almost always live in separate systems:</w:t>
      </w:r>
    </w:p>
    <w:p w14:paraId="4592EEB9" w14:textId="77777777" w:rsidR="00A02BD8" w:rsidRDefault="00000000">
      <w:pPr>
        <w:pStyle w:val="ListBullet"/>
      </w:pPr>
      <w:r>
        <w:rPr>
          <w:b/>
        </w:rPr>
        <w:t xml:space="preserve">Quantitative data — </w:t>
      </w:r>
      <w:r>
        <w:t>NAV, Alpha, Beta, Sharpe Ratio, Standard Deviation, Sortino Ratio, R-Squared, and trailing returns, typically sourced from a data warehouse.</w:t>
      </w:r>
    </w:p>
    <w:p w14:paraId="30DD14D0" w14:textId="77777777" w:rsidR="00A02BD8" w:rsidRDefault="00000000">
      <w:pPr>
        <w:pStyle w:val="ListBullet"/>
      </w:pPr>
      <w:r>
        <w:rPr>
          <w:b/>
        </w:rPr>
        <w:t xml:space="preserve">Qualitative narrative — </w:t>
      </w:r>
      <w:r>
        <w:t>fund manager commentary, investment-committee notes, and macroeconomic outlook, typically stored as unstructured documents or a knowledge base.</w:t>
      </w:r>
    </w:p>
    <w:p w14:paraId="2C742EBB" w14:textId="77777777" w:rsidR="00A02BD8" w:rsidRDefault="00000000">
      <w:pPr>
        <w:pStyle w:val="ListBullet"/>
      </w:pPr>
      <w:r>
        <w:rPr>
          <w:b/>
        </w:rPr>
        <w:t xml:space="preserve">Regulatory compliance — </w:t>
      </w:r>
      <w:r>
        <w:t>every claim must be checked against disclosure rules (no guarantees of future returns, mandatory past-performance disclaimers, properly hedged forward-looking statements) before it can be sent externally.</w:t>
      </w:r>
    </w:p>
    <w:p w14:paraId="00317422" w14:textId="77777777" w:rsidR="00A02BD8" w:rsidRDefault="00000000">
      <w:r>
        <w:t>Today, assembling these three inputs into one compliant, client-ready answer is a manual, sequential, multi-person process. It does not scale with RFP volume, is inconsistent between analysts, and carries real regulatory risk if a compliance check is rushed or skipped under deadline pressure.</w:t>
      </w:r>
    </w:p>
    <w:p w14:paraId="0440F8AC" w14:textId="77777777" w:rsidR="00A02BD8" w:rsidRDefault="00000000">
      <w:pPr>
        <w:pStyle w:val="Heading2"/>
      </w:pPr>
      <w:bookmarkStart w:id="4" w:name="_Toc234670564"/>
      <w:r>
        <w:t>2.2 Why This Matters Now</w:t>
      </w:r>
      <w:bookmarkEnd w:id="4"/>
    </w:p>
    <w:p w14:paraId="4B909A6E" w14:textId="77777777" w:rsidR="00A02BD8" w:rsidRDefault="00000000">
      <w:pPr>
        <w:pStyle w:val="ListBullet"/>
      </w:pPr>
      <w:r>
        <w:t>Institutional RFP volume and the complexity of due-diligence questionnaires are increasing as investors demand more granular risk transparency.</w:t>
      </w:r>
    </w:p>
    <w:p w14:paraId="05813BCD" w14:textId="77777777" w:rsidR="00A02BD8" w:rsidRDefault="00000000">
      <w:pPr>
        <w:pStyle w:val="ListBullet"/>
      </w:pPr>
      <w:r>
        <w:t>Compliance requirements are tightening, raising the cost of any inconsistency between what different analysts say about the same fund.</w:t>
      </w:r>
    </w:p>
    <w:p w14:paraId="49DFDFE5" w14:textId="77777777" w:rsidR="00A02BD8" w:rsidRDefault="00000000">
      <w:pPr>
        <w:pStyle w:val="ListBullet"/>
      </w:pPr>
      <w:r>
        <w:t>Client-facing teams are measured on response turnaround time — slow RFP responses are a competitive disadvantage in institutional sales cycles.</w:t>
      </w:r>
    </w:p>
    <w:p w14:paraId="2C9D256A" w14:textId="77777777" w:rsidR="00A02BD8" w:rsidRDefault="00000000">
      <w:pPr>
        <w:pStyle w:val="ListBullet"/>
      </w:pPr>
      <w:r>
        <w:t>Generative AI has matured to the point where language generation is no longer the bottleneck — the bottleneck is trustworthy orchestration, grounding in real data, and compliance governance, which is precisely what this system is built to solve.</w:t>
      </w:r>
    </w:p>
    <w:p w14:paraId="23B12974" w14:textId="77777777" w:rsidR="00A02BD8" w:rsidRDefault="00000000">
      <w:r>
        <w:br w:type="page"/>
      </w:r>
    </w:p>
    <w:p w14:paraId="5E9007BA" w14:textId="77777777" w:rsidR="00A02BD8" w:rsidRDefault="00000000">
      <w:pPr>
        <w:pStyle w:val="Heading1"/>
      </w:pPr>
      <w:bookmarkStart w:id="5" w:name="_Toc234670565"/>
      <w:r>
        <w:lastRenderedPageBreak/>
        <w:t>3. Proposed Solution</w:t>
      </w:r>
      <w:bookmarkEnd w:id="5"/>
    </w:p>
    <w:p w14:paraId="56855A70" w14:textId="77777777" w:rsidR="00A02BD8" w:rsidRDefault="00000000">
      <w:r>
        <w:t>The AMC RFP &amp; Portfolio Insight Orchestrator is a multi-agent system that ingests a single natural-language client question (or RFP line item) and produces a compliant, client-ready response automatically — including data retrieval, narrative synthesis, and compliance self-correction — with no manual assembly step required before human sign-off.</w:t>
      </w:r>
    </w:p>
    <w:p w14:paraId="54EB5BCB" w14:textId="77777777" w:rsidR="00A02BD8" w:rsidRDefault="00000000">
      <w:pPr>
        <w:pStyle w:val="Heading2"/>
      </w:pPr>
      <w:bookmarkStart w:id="6" w:name="_Toc234670566"/>
      <w:r>
        <w:t>3.1 What It Does, End to End</w:t>
      </w:r>
      <w:bookmarkEnd w:id="6"/>
    </w:p>
    <w:p w14:paraId="642D642B" w14:textId="77777777" w:rsidR="00A02BD8" w:rsidRDefault="00000000">
      <w:pPr>
        <w:pStyle w:val="ListBullet"/>
      </w:pPr>
      <w:r>
        <w:rPr>
          <w:b/>
        </w:rPr>
        <w:t>Ingests</w:t>
      </w:r>
      <w:r>
        <w:t xml:space="preserve"> an institutional RFP question or portfolio query in plain English.</w:t>
      </w:r>
    </w:p>
    <w:p w14:paraId="3C68B544" w14:textId="77777777" w:rsidR="00A02BD8" w:rsidRDefault="00000000">
      <w:pPr>
        <w:pStyle w:val="ListBullet"/>
      </w:pPr>
      <w:r>
        <w:rPr>
          <w:b/>
        </w:rPr>
        <w:t>Retrieves</w:t>
      </w:r>
      <w:r>
        <w:t xml:space="preserve"> exact quantitative fund metrics and relevant qualitative fund-manager commentary in parallel, from governed data sources.</w:t>
      </w:r>
    </w:p>
    <w:p w14:paraId="17FEBDE8" w14:textId="77777777" w:rsidR="00A02BD8" w:rsidRDefault="00000000">
      <w:pPr>
        <w:pStyle w:val="ListBullet"/>
      </w:pPr>
      <w:r>
        <w:rPr>
          <w:b/>
        </w:rPr>
        <w:t>Synthesises</w:t>
      </w:r>
      <w:r>
        <w:t xml:space="preserve"> a draft answer combining both.</w:t>
      </w:r>
    </w:p>
    <w:p w14:paraId="22C83CB5" w14:textId="77777777" w:rsidR="00A02BD8" w:rsidRDefault="00000000">
      <w:pPr>
        <w:pStyle w:val="ListBullet"/>
      </w:pPr>
      <w:r>
        <w:rPr>
          <w:b/>
        </w:rPr>
        <w:t>Judges</w:t>
      </w:r>
      <w:r>
        <w:t xml:space="preserve"> the draft against the AMC's compliance rubric using an automated “LLM-as-a-Judge” compliance agent.</w:t>
      </w:r>
    </w:p>
    <w:p w14:paraId="76CDB3E8" w14:textId="77777777" w:rsidR="00A02BD8" w:rsidRDefault="00000000">
      <w:pPr>
        <w:pStyle w:val="ListBullet"/>
      </w:pPr>
      <w:r>
        <w:rPr>
          <w:b/>
        </w:rPr>
        <w:t>Self-corrects</w:t>
      </w:r>
      <w:r>
        <w:t xml:space="preserve"> automatically if the draft fails compliance, revising and re-checking up to a configurable number of attempts.</w:t>
      </w:r>
    </w:p>
    <w:p w14:paraId="4C7BC869" w14:textId="77777777" w:rsidR="00A02BD8" w:rsidRDefault="00000000">
      <w:pPr>
        <w:pStyle w:val="ListBullet"/>
      </w:pPr>
      <w:r>
        <w:rPr>
          <w:b/>
        </w:rPr>
        <w:t>Escalates safely</w:t>
      </w:r>
      <w:r>
        <w:t xml:space="preserve"> to a “requires manual review” holding message if compliance cannot be achieved automatically — the system is designed to never let unapproved content reach a client.</w:t>
      </w:r>
    </w:p>
    <w:p w14:paraId="43C44B2C" w14:textId="77777777" w:rsidR="00A02BD8" w:rsidRDefault="00000000">
      <w:pPr>
        <w:pStyle w:val="ListBullet"/>
      </w:pPr>
      <w:r>
        <w:rPr>
          <w:b/>
        </w:rPr>
        <w:t>Delivers</w:t>
      </w:r>
      <w:r>
        <w:t xml:space="preserve"> a polished, structured, client-ready report — via a command-line tool for internal testing today, and a REST API for integration into client-facing portals.</w:t>
      </w:r>
    </w:p>
    <w:p w14:paraId="5C84A775" w14:textId="77777777" w:rsidR="00A02BD8" w:rsidRDefault="00000000">
      <w:pPr>
        <w:pStyle w:val="Heading2"/>
      </w:pPr>
      <w:bookmarkStart w:id="7" w:name="_Toc234670567"/>
      <w:r>
        <w:t>3.2 What Makes It Different From a Simple Chatbot</w:t>
      </w:r>
      <w:bookmarkEnd w:id="7"/>
    </w:p>
    <w:p w14:paraId="6819107D" w14:textId="77777777" w:rsidR="00A02BD8" w:rsidRDefault="00000000">
      <w:r>
        <w:t>A single chat-style LLM call could technically “answer” an RFP question, but it would have no reliable way to guarantee the numbers are real (versus hallucinated), no systematic compliance check, no ability to iteratively fix a flagged issue, and no audit trail of how the answer was produced. This system is architected specifically to close those four gaps, which is the core justification for an agentic, multi-step design rather than a single prompt — covered in detail in Section 4.</w:t>
      </w:r>
    </w:p>
    <w:p w14:paraId="249A7536" w14:textId="77777777" w:rsidR="00A02BD8" w:rsidRDefault="00000000">
      <w:r>
        <w:br w:type="page"/>
      </w:r>
    </w:p>
    <w:p w14:paraId="548F5E60" w14:textId="77777777" w:rsidR="00A02BD8" w:rsidRDefault="00000000">
      <w:pPr>
        <w:pStyle w:val="Heading1"/>
      </w:pPr>
      <w:bookmarkStart w:id="8" w:name="_Toc234670568"/>
      <w:r>
        <w:lastRenderedPageBreak/>
        <w:t>4. Why an Agentic AI Approach</w:t>
      </w:r>
      <w:bookmarkEnd w:id="8"/>
    </w:p>
    <w:p w14:paraId="1B2466D6" w14:textId="77777777" w:rsidR="00A02BD8" w:rsidRDefault="00000000">
      <w:r>
        <w:t>“Agentic AI” refers to systems where one or more AI agents autonomously plan, use tools, and take multi-step action toward a goal — as opposed to a single prompt-and-response LLM call. This project deliberately uses a multi-agent, tool-using, self-correcting architecture instead of a single large prompt, for concrete engineering and governance reasons:</w:t>
      </w:r>
    </w:p>
    <w:p w14:paraId="5E89F10A" w14:textId="77777777" w:rsidR="00A02BD8" w:rsidRDefault="00000000">
      <w:pPr>
        <w:pStyle w:val="Heading2"/>
      </w:pPr>
      <w:bookmarkStart w:id="9" w:name="_Toc234670569"/>
      <w:r>
        <w:t>4.1 Task Decomposition Mirrors How the Work Actually Gets Done</w:t>
      </w:r>
      <w:bookmarkEnd w:id="9"/>
    </w:p>
    <w:p w14:paraId="6CF0E98B" w14:textId="77777777" w:rsidR="00A02BD8" w:rsidRDefault="00000000">
      <w:r>
        <w:t>A real AMC response to an RFP is produced by several specialists, not one generalist. Mirroring that division of labour in software — a Quant agent that only pulls numbers, a Qual agent that only retrieves narrative, a Compliance agent that only judges — means each agent's instructions are short, unambiguous, and testable in isolation, which produces materially more reliable output than asking one model to juggle data retrieval, writing, and compliance review simultaneously.</w:t>
      </w:r>
    </w:p>
    <w:p w14:paraId="713C5C53" w14:textId="77777777" w:rsidR="00A02BD8" w:rsidRDefault="00000000">
      <w:pPr>
        <w:pStyle w:val="Heading2"/>
      </w:pPr>
      <w:bookmarkStart w:id="10" w:name="_Toc234670570"/>
      <w:r>
        <w:t>4.2 Grounding Eliminates Hallucination Risk</w:t>
      </w:r>
      <w:bookmarkEnd w:id="10"/>
    </w:p>
    <w:p w14:paraId="33AECC79" w14:textId="77777777" w:rsidR="00A02BD8" w:rsidRDefault="00000000">
      <w:r>
        <w:t>Every quantitative figure in the final response is retrieved from a governed data source via a tool call — never recalled from the model's memory. Agents are explicitly instructed to state “no data found” rather than estimate. This is only possible because the system is built around tool-calling agents with access to real data systems, not a single free-text generation step.</w:t>
      </w:r>
    </w:p>
    <w:p w14:paraId="53E6FC39" w14:textId="77777777" w:rsidR="00A02BD8" w:rsidRDefault="00000000">
      <w:pPr>
        <w:pStyle w:val="Heading2"/>
      </w:pPr>
      <w:bookmarkStart w:id="11" w:name="_Toc234670571"/>
      <w:r>
        <w:t>4.3 Self-Correction Is a First-Class Capability, Not an Afterthought</w:t>
      </w:r>
      <w:bookmarkEnd w:id="11"/>
    </w:p>
    <w:p w14:paraId="5F66EE5F" w14:textId="77777777" w:rsidR="00A02BD8" w:rsidRDefault="00000000">
      <w:r>
        <w:t>The compliance loop — Compliance Judge → Revisor → re-check — is the single most important governance feature of this system, and it is structurally impossible to build with a one-shot prompt. An agentic graph lets the system route a rejected draft back to a specialised Revisor agent, then re-submit it for judgement, as many times as policy allows, before ever showing content to a human reviewer or a client.</w:t>
      </w:r>
    </w:p>
    <w:p w14:paraId="0AD3A049" w14:textId="77777777" w:rsidR="00A02BD8" w:rsidRDefault="00000000">
      <w:pPr>
        <w:pStyle w:val="Heading2"/>
      </w:pPr>
      <w:bookmarkStart w:id="12" w:name="_Toc234670572"/>
      <w:r>
        <w:t>4.4 Deterministic, Auditable Decision Points</w:t>
      </w:r>
      <w:bookmarkEnd w:id="12"/>
    </w:p>
    <w:p w14:paraId="73B8C7F7" w14:textId="77777777" w:rsidR="00A02BD8" w:rsidRDefault="00000000">
      <w:r>
        <w:t>The Compliance agent does not return free-text opinion — it returns a structured, schema-validated verdict (APPROVED or REJECTED, with the specific rubric violations and suggested edits) that the surrounding workflow logic can route on deterministically. This is what allows a human overseeing the system to trust its routing decisions rather than re-reading every model response to figure out what happened.</w:t>
      </w:r>
    </w:p>
    <w:p w14:paraId="12DC3875" w14:textId="77777777" w:rsidR="00A02BD8" w:rsidRDefault="00000000">
      <w:pPr>
        <w:pStyle w:val="Heading2"/>
      </w:pPr>
      <w:bookmarkStart w:id="13" w:name="_Toc234670573"/>
      <w:r>
        <w:t>4.5 Full Observability and Traceability</w:t>
      </w:r>
      <w:bookmarkEnd w:id="13"/>
    </w:p>
    <w:p w14:paraId="256E9F5F" w14:textId="77777777" w:rsidR="00A02BD8" w:rsidRDefault="00000000">
      <w:r>
        <w:t xml:space="preserve">Every agent invocation and every tool call is logged as structured, correlated data (trace ID, request ID, duration, tool name, outcome) — giving compliance and engineering teams a </w:t>
      </w:r>
      <w:r>
        <w:lastRenderedPageBreak/>
        <w:t>complete audit trail of exactly which data was retrieved, what each agent concluded, and why a response was approved or escalated. This is a governance requirement in financial services that a single opaque LLM call cannot satisfy.</w:t>
      </w:r>
    </w:p>
    <w:p w14:paraId="1FE4C233" w14:textId="77777777" w:rsidR="00A02BD8" w:rsidRDefault="00000000">
      <w:pPr>
        <w:pStyle w:val="Heading2"/>
      </w:pPr>
      <w:bookmarkStart w:id="14" w:name="_Toc234670574"/>
      <w:r>
        <w:t>4.6 Safety Net That Never Silently Fails</w:t>
      </w:r>
      <w:bookmarkEnd w:id="14"/>
    </w:p>
    <w:p w14:paraId="25FAEB55" w14:textId="77777777" w:rsidR="00A02BD8" w:rsidRDefault="00000000">
      <w:r>
        <w:t>The system has two independent termination layers: a graceful cap on compliance re-check attempts (which forces a safe “requires manual review” message rather than an endless loop), and a hard, non-negotiable execution ceiling as a last-resort safety net. Content that is not APPROVED can never be assembled into a client-facing report — the Synthesizer agent's two branches are architecturally separate and never blended.</w:t>
      </w:r>
    </w:p>
    <w:p w14:paraId="2622D653" w14:textId="77777777" w:rsidR="00A02BD8" w:rsidRDefault="00000000">
      <w:r>
        <w:br w:type="page"/>
      </w:r>
    </w:p>
    <w:p w14:paraId="2184FBB5" w14:textId="77777777" w:rsidR="00A02BD8" w:rsidRDefault="00000000">
      <w:pPr>
        <w:pStyle w:val="Heading1"/>
      </w:pPr>
      <w:bookmarkStart w:id="15" w:name="_Toc234670575"/>
      <w:r>
        <w:lastRenderedPageBreak/>
        <w:t>5. System Architecture &amp; Agent Collaboration</w:t>
      </w:r>
      <w:bookmarkEnd w:id="15"/>
    </w:p>
    <w:p w14:paraId="05B90229" w14:textId="77777777" w:rsidR="00A02BD8" w:rsidRDefault="00000000">
      <w:r>
        <w:t>The system is built as a directed graph of five specialised agents. Two agents run in parallel as entry points, feeding a compliance judge that can loop back through a revision agent before the final report is assembled. The diagram below shows the flow exactly as implemented.</w:t>
      </w:r>
    </w:p>
    <w:p w14:paraId="522B7D39" w14:textId="016C82B1" w:rsidR="000F2A79" w:rsidRDefault="000F2A79">
      <w:r>
        <w:rPr>
          <w:noProof/>
        </w:rPr>
        <w:drawing>
          <wp:inline distT="0" distB="0" distL="0" distR="0" wp14:anchorId="3ADE6564" wp14:editId="10799BC6">
            <wp:extent cx="5486400" cy="2992755"/>
            <wp:effectExtent l="0" t="0" r="0" b="0"/>
            <wp:docPr id="1440227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27354" name="Picture 1440227354"/>
                    <pic:cNvPicPr/>
                  </pic:nvPicPr>
                  <pic:blipFill>
                    <a:blip r:embed="rId6"/>
                    <a:stretch>
                      <a:fillRect/>
                    </a:stretch>
                  </pic:blipFill>
                  <pic:spPr>
                    <a:xfrm>
                      <a:off x="0" y="0"/>
                      <a:ext cx="5486400" cy="2992755"/>
                    </a:xfrm>
                    <a:prstGeom prst="rect">
                      <a:avLst/>
                    </a:prstGeom>
                  </pic:spPr>
                </pic:pic>
              </a:graphicData>
            </a:graphic>
          </wp:inline>
        </w:drawing>
      </w:r>
    </w:p>
    <w:tbl>
      <w:tblPr>
        <w:tblW w:w="0" w:type="auto"/>
        <w:jc w:val="center"/>
        <w:tblLook w:val="04A0" w:firstRow="1" w:lastRow="0" w:firstColumn="1" w:lastColumn="0" w:noHBand="0" w:noVBand="1"/>
      </w:tblPr>
      <w:tblGrid>
        <w:gridCol w:w="8640"/>
      </w:tblGrid>
      <w:tr w:rsidR="00A02BD8" w14:paraId="4D7B724F" w14:textId="77777777">
        <w:trPr>
          <w:jc w:val="center"/>
        </w:trPr>
        <w:tc>
          <w:tcPr>
            <w:tcW w:w="8640" w:type="dxa"/>
            <w:shd w:val="clear" w:color="auto" w:fill="F2F2F2"/>
          </w:tcPr>
          <w:p w14:paraId="2594833D" w14:textId="77777777" w:rsidR="00A02BD8" w:rsidRDefault="00000000">
            <w:r>
              <w:rPr>
                <w:rFonts w:ascii="Consolas" w:hAnsi="Consolas"/>
                <w:color w:val="202020"/>
                <w:sz w:val="19"/>
              </w:rPr>
              <w:t>quant_data_pull -----+------------------------+---------------+</w:t>
            </w:r>
            <w:r>
              <w:rPr>
                <w:rFonts w:ascii="Consolas" w:hAnsi="Consolas"/>
                <w:color w:val="202020"/>
                <w:sz w:val="19"/>
              </w:rPr>
              <w:br/>
              <w:t xml:space="preserve">                      |                        |               |</w:t>
            </w:r>
            <w:r>
              <w:rPr>
                <w:rFonts w:ascii="Consolas" w:hAnsi="Consolas"/>
                <w:color w:val="202020"/>
                <w:sz w:val="19"/>
              </w:rPr>
              <w:br/>
              <w:t>qual_narrative_pull --+--&gt; compliance_check     |               |</w:t>
            </w:r>
            <w:r>
              <w:rPr>
                <w:rFonts w:ascii="Consolas" w:hAnsi="Consolas"/>
                <w:color w:val="202020"/>
                <w:sz w:val="19"/>
              </w:rPr>
              <w:br/>
              <w:t xml:space="preserve">                      |         |                |               |</w:t>
            </w:r>
            <w:r>
              <w:rPr>
                <w:rFonts w:ascii="Consolas" w:hAnsi="Consolas"/>
                <w:color w:val="202020"/>
                <w:sz w:val="19"/>
              </w:rPr>
              <w:br/>
              <w:t xml:space="preserve">                      |  (all edges below share the SAME condition -</w:t>
            </w:r>
            <w:r>
              <w:rPr>
                <w:rFonts w:ascii="Consolas" w:hAnsi="Consolas"/>
                <w:color w:val="202020"/>
                <w:sz w:val="19"/>
              </w:rPr>
              <w:br/>
              <w:t xml:space="preserve">                      |   a node becomes ready only once           |</w:t>
            </w:r>
            <w:r>
              <w:rPr>
                <w:rFonts w:ascii="Consolas" w:hAnsi="Consolas"/>
                <w:color w:val="202020"/>
                <w:sz w:val="19"/>
              </w:rPr>
              <w:br/>
              <w:t xml:space="preserve">                      |   compliance_check has actually run)       |</w:t>
            </w:r>
            <w:r>
              <w:rPr>
                <w:rFonts w:ascii="Consolas" w:hAnsi="Consolas"/>
                <w:color w:val="202020"/>
                <w:sz w:val="19"/>
              </w:rPr>
              <w:br/>
              <w:t xml:space="preserve">                      |         v                                  |</w:t>
            </w:r>
            <w:r>
              <w:rPr>
                <w:rFonts w:ascii="Consolas" w:hAnsi="Consolas"/>
                <w:color w:val="202020"/>
                <w:sz w:val="19"/>
              </w:rPr>
              <w:br/>
              <w:t xml:space="preserve">                      +--(needs revision)--&gt; revise_draft ---------+</w:t>
            </w:r>
            <w:r>
              <w:rPr>
                <w:rFonts w:ascii="Consolas" w:hAnsi="Consolas"/>
                <w:color w:val="202020"/>
                <w:sz w:val="19"/>
              </w:rPr>
              <w:br/>
              <w:t xml:space="preserve">                      +--(ready to synthesize)--&gt; final_synthesis</w:t>
            </w:r>
            <w:r>
              <w:rPr>
                <w:rFonts w:ascii="Consolas" w:hAnsi="Consolas"/>
                <w:color w:val="202020"/>
                <w:sz w:val="19"/>
              </w:rPr>
              <w:br/>
              <w:t xml:space="preserve"> </w:t>
            </w:r>
            <w:r>
              <w:rPr>
                <w:rFonts w:ascii="Consolas" w:hAnsi="Consolas"/>
                <w:color w:val="202020"/>
                <w:sz w:val="19"/>
              </w:rPr>
              <w:br/>
              <w:t xml:space="preserve">                      compliance_check &lt;----------------------------</w:t>
            </w:r>
            <w:r>
              <w:rPr>
                <w:rFonts w:ascii="Consolas" w:hAnsi="Consolas"/>
                <w:color w:val="202020"/>
                <w:sz w:val="19"/>
              </w:rPr>
              <w:br/>
              <w:t xml:space="preserve">                      (loop-back edge from revise_draft)</w:t>
            </w:r>
          </w:p>
        </w:tc>
      </w:tr>
    </w:tbl>
    <w:p w14:paraId="13DD0E8E" w14:textId="77777777" w:rsidR="00A02BD8" w:rsidRDefault="00A02BD8"/>
    <w:p w14:paraId="22840680" w14:textId="77777777" w:rsidR="00A02BD8" w:rsidRDefault="00000000">
      <w:pPr>
        <w:spacing w:after="280"/>
      </w:pPr>
      <w:r>
        <w:rPr>
          <w:i/>
          <w:color w:val="555555"/>
          <w:sz w:val="18"/>
        </w:rPr>
        <w:t>Figure 1 — RFP Orchestrator agent graph. quant_data_pull and qual_narrative_pull run in parallel; compliance_check judges the draft; revise_draft and final_synthesis are mutually exclusive downstream branches.</w:t>
      </w:r>
    </w:p>
    <w:p w14:paraId="3DFA16B8" w14:textId="77777777" w:rsidR="00A02BD8" w:rsidRDefault="00000000">
      <w:pPr>
        <w:pStyle w:val="Heading2"/>
      </w:pPr>
      <w:bookmarkStart w:id="16" w:name="_Toc234670576"/>
      <w:r>
        <w:t>5.1 The Five Agents</w:t>
      </w:r>
      <w:bookmarkEnd w:id="16"/>
    </w:p>
    <w:tbl>
      <w:tblPr>
        <w:tblStyle w:val="TableGrid"/>
        <w:tblW w:w="0" w:type="auto"/>
        <w:jc w:val="center"/>
        <w:tblLook w:val="04A0" w:firstRow="1" w:lastRow="0" w:firstColumn="1" w:lastColumn="0" w:noHBand="0" w:noVBand="1"/>
      </w:tblPr>
      <w:tblGrid>
        <w:gridCol w:w="2096"/>
        <w:gridCol w:w="2018"/>
        <w:gridCol w:w="2362"/>
        <w:gridCol w:w="2380"/>
      </w:tblGrid>
      <w:tr w:rsidR="00A02BD8" w14:paraId="2B77DD1B" w14:textId="77777777">
        <w:trPr>
          <w:jc w:val="center"/>
        </w:trPr>
        <w:tc>
          <w:tcPr>
            <w:tcW w:w="2160" w:type="dxa"/>
            <w:shd w:val="clear" w:color="auto" w:fill="1F3A5F"/>
          </w:tcPr>
          <w:p w14:paraId="3E466FDA" w14:textId="77777777" w:rsidR="00A02BD8" w:rsidRDefault="00000000">
            <w:r>
              <w:rPr>
                <w:b/>
                <w:color w:val="FFFFFF"/>
                <w:sz w:val="20"/>
              </w:rPr>
              <w:t>Agent (Node)</w:t>
            </w:r>
          </w:p>
        </w:tc>
        <w:tc>
          <w:tcPr>
            <w:tcW w:w="2304" w:type="dxa"/>
            <w:shd w:val="clear" w:color="auto" w:fill="1F3A5F"/>
          </w:tcPr>
          <w:p w14:paraId="2F3DE453" w14:textId="77777777" w:rsidR="00A02BD8" w:rsidRDefault="00000000">
            <w:r>
              <w:rPr>
                <w:b/>
                <w:color w:val="FFFFFF"/>
                <w:sz w:val="20"/>
              </w:rPr>
              <w:t>Purpose</w:t>
            </w:r>
          </w:p>
        </w:tc>
        <w:tc>
          <w:tcPr>
            <w:tcW w:w="2304" w:type="dxa"/>
            <w:shd w:val="clear" w:color="auto" w:fill="1F3A5F"/>
          </w:tcPr>
          <w:p w14:paraId="746D0DBB" w14:textId="77777777" w:rsidR="00A02BD8" w:rsidRDefault="00000000">
            <w:r>
              <w:rPr>
                <w:b/>
                <w:color w:val="FFFFFF"/>
                <w:sz w:val="20"/>
              </w:rPr>
              <w:t>Tool(s) Used</w:t>
            </w:r>
          </w:p>
        </w:tc>
        <w:tc>
          <w:tcPr>
            <w:tcW w:w="2736" w:type="dxa"/>
            <w:shd w:val="clear" w:color="auto" w:fill="1F3A5F"/>
          </w:tcPr>
          <w:p w14:paraId="16B4A703" w14:textId="77777777" w:rsidR="00A02BD8" w:rsidRDefault="00000000">
            <w:r>
              <w:rPr>
                <w:b/>
                <w:color w:val="FFFFFF"/>
                <w:sz w:val="20"/>
              </w:rPr>
              <w:t>Output</w:t>
            </w:r>
          </w:p>
        </w:tc>
      </w:tr>
      <w:tr w:rsidR="00A02BD8" w14:paraId="68477393" w14:textId="77777777">
        <w:trPr>
          <w:jc w:val="center"/>
        </w:trPr>
        <w:tc>
          <w:tcPr>
            <w:tcW w:w="2160" w:type="dxa"/>
          </w:tcPr>
          <w:p w14:paraId="306A256F" w14:textId="77777777" w:rsidR="00A02BD8" w:rsidRDefault="00000000">
            <w:r>
              <w:rPr>
                <w:sz w:val="20"/>
              </w:rPr>
              <w:t>Quantitative Analyst</w:t>
            </w:r>
            <w:r>
              <w:rPr>
                <w:sz w:val="20"/>
              </w:rPr>
              <w:br/>
            </w:r>
            <w:r>
              <w:rPr>
                <w:sz w:val="20"/>
              </w:rPr>
              <w:lastRenderedPageBreak/>
              <w:t>(quant_data_pull)</w:t>
            </w:r>
          </w:p>
        </w:tc>
        <w:tc>
          <w:tcPr>
            <w:tcW w:w="2304" w:type="dxa"/>
          </w:tcPr>
          <w:p w14:paraId="732AD7E1" w14:textId="77777777" w:rsidR="00A02BD8" w:rsidRDefault="00000000">
            <w:r>
              <w:rPr>
                <w:sz w:val="20"/>
              </w:rPr>
              <w:lastRenderedPageBreak/>
              <w:t xml:space="preserve">Retrieve exact </w:t>
            </w:r>
            <w:r>
              <w:rPr>
                <w:sz w:val="20"/>
              </w:rPr>
              <w:lastRenderedPageBreak/>
              <w:t>numerical fund performance data</w:t>
            </w:r>
          </w:p>
        </w:tc>
        <w:tc>
          <w:tcPr>
            <w:tcW w:w="2304" w:type="dxa"/>
          </w:tcPr>
          <w:p w14:paraId="4DA8DAA8" w14:textId="77777777" w:rsidR="00A02BD8" w:rsidRDefault="00000000">
            <w:r>
              <w:rPr>
                <w:sz w:val="20"/>
              </w:rPr>
              <w:lastRenderedPageBreak/>
              <w:t xml:space="preserve">get_fund_performance </w:t>
            </w:r>
            <w:r>
              <w:rPr>
                <w:sz w:val="20"/>
              </w:rPr>
              <w:lastRenderedPageBreak/>
              <w:t>(structured data lookup)</w:t>
            </w:r>
          </w:p>
        </w:tc>
        <w:tc>
          <w:tcPr>
            <w:tcW w:w="2736" w:type="dxa"/>
          </w:tcPr>
          <w:p w14:paraId="61D94C0D" w14:textId="77777777" w:rsidR="00A02BD8" w:rsidRDefault="00000000">
            <w:r>
              <w:rPr>
                <w:sz w:val="20"/>
              </w:rPr>
              <w:lastRenderedPageBreak/>
              <w:t xml:space="preserve">NAV, Alpha, Beta, </w:t>
            </w:r>
            <w:r>
              <w:rPr>
                <w:sz w:val="20"/>
              </w:rPr>
              <w:lastRenderedPageBreak/>
              <w:t>Sharpe/Sortino Ratio, Standard Deviation, R-Squared, 1Y/3Y returns</w:t>
            </w:r>
          </w:p>
        </w:tc>
      </w:tr>
      <w:tr w:rsidR="00A02BD8" w14:paraId="0CD9EDB8" w14:textId="77777777">
        <w:trPr>
          <w:jc w:val="center"/>
        </w:trPr>
        <w:tc>
          <w:tcPr>
            <w:tcW w:w="2160" w:type="dxa"/>
          </w:tcPr>
          <w:p w14:paraId="1829BAFA" w14:textId="77777777" w:rsidR="00A02BD8" w:rsidRDefault="00000000">
            <w:r>
              <w:rPr>
                <w:sz w:val="20"/>
              </w:rPr>
              <w:lastRenderedPageBreak/>
              <w:t>Qualitative Strategy</w:t>
            </w:r>
            <w:r>
              <w:rPr>
                <w:sz w:val="20"/>
              </w:rPr>
              <w:br/>
              <w:t>(qual_narrative_pull)</w:t>
            </w:r>
          </w:p>
        </w:tc>
        <w:tc>
          <w:tcPr>
            <w:tcW w:w="2304" w:type="dxa"/>
          </w:tcPr>
          <w:p w14:paraId="13F6C3DE" w14:textId="77777777" w:rsidR="00A02BD8" w:rsidRDefault="00000000">
            <w:r>
              <w:rPr>
                <w:sz w:val="20"/>
              </w:rPr>
              <w:t>Retrieve fund-manager commentary &amp; macro outlook</w:t>
            </w:r>
          </w:p>
        </w:tc>
        <w:tc>
          <w:tcPr>
            <w:tcW w:w="2304" w:type="dxa"/>
          </w:tcPr>
          <w:p w14:paraId="7CC4D437" w14:textId="77777777" w:rsidR="00A02BD8" w:rsidRDefault="00000000">
            <w:r>
              <w:rPr>
                <w:sz w:val="20"/>
              </w:rPr>
              <w:t>search_fund_commentary (vector / RAG search)</w:t>
            </w:r>
          </w:p>
        </w:tc>
        <w:tc>
          <w:tcPr>
            <w:tcW w:w="2736" w:type="dxa"/>
          </w:tcPr>
          <w:p w14:paraId="260E4781" w14:textId="77777777" w:rsidR="00A02BD8" w:rsidRDefault="00000000">
            <w:r>
              <w:rPr>
                <w:sz w:val="20"/>
              </w:rPr>
              <w:t>Synthesised narrative grounded only in retrieved commentary</w:t>
            </w:r>
          </w:p>
        </w:tc>
      </w:tr>
      <w:tr w:rsidR="00A02BD8" w14:paraId="02F67F9E" w14:textId="77777777">
        <w:trPr>
          <w:jc w:val="center"/>
        </w:trPr>
        <w:tc>
          <w:tcPr>
            <w:tcW w:w="2160" w:type="dxa"/>
          </w:tcPr>
          <w:p w14:paraId="1F8154C2" w14:textId="77777777" w:rsidR="00A02BD8" w:rsidRDefault="00000000">
            <w:r>
              <w:rPr>
                <w:sz w:val="20"/>
              </w:rPr>
              <w:t>Chief Compliance Officer</w:t>
            </w:r>
            <w:r>
              <w:rPr>
                <w:sz w:val="20"/>
              </w:rPr>
              <w:br/>
              <w:t>(compliance_check)</w:t>
            </w:r>
          </w:p>
        </w:tc>
        <w:tc>
          <w:tcPr>
            <w:tcW w:w="2304" w:type="dxa"/>
          </w:tcPr>
          <w:p w14:paraId="3F9D50B2" w14:textId="77777777" w:rsidR="00A02BD8" w:rsidRDefault="00000000">
            <w:r>
              <w:rPr>
                <w:sz w:val="20"/>
              </w:rPr>
              <w:t>Judge the draft against the compliance rubric (“LLM-as-a-Judge”)</w:t>
            </w:r>
          </w:p>
        </w:tc>
        <w:tc>
          <w:tcPr>
            <w:tcW w:w="2304" w:type="dxa"/>
          </w:tcPr>
          <w:p w14:paraId="112D9BAD" w14:textId="77777777" w:rsidR="00A02BD8" w:rsidRDefault="00000000">
            <w:r>
              <w:rPr>
                <w:sz w:val="20"/>
              </w:rPr>
              <w:t>Structured-output validator (ComplianceVerdict schema)</w:t>
            </w:r>
          </w:p>
        </w:tc>
        <w:tc>
          <w:tcPr>
            <w:tcW w:w="2736" w:type="dxa"/>
          </w:tcPr>
          <w:p w14:paraId="1DB9FB9D" w14:textId="77777777" w:rsidR="00A02BD8" w:rsidRDefault="00000000">
            <w:r>
              <w:rPr>
                <w:sz w:val="20"/>
              </w:rPr>
              <w:t>APPROVED / REJECTED verdict, violations list, suggested edits, verbatim judged text</w:t>
            </w:r>
          </w:p>
        </w:tc>
      </w:tr>
      <w:tr w:rsidR="00A02BD8" w14:paraId="374FACDC" w14:textId="77777777">
        <w:trPr>
          <w:jc w:val="center"/>
        </w:trPr>
        <w:tc>
          <w:tcPr>
            <w:tcW w:w="2160" w:type="dxa"/>
          </w:tcPr>
          <w:p w14:paraId="458A921C" w14:textId="77777777" w:rsidR="00A02BD8" w:rsidRDefault="00000000">
            <w:r>
              <w:rPr>
                <w:sz w:val="20"/>
              </w:rPr>
              <w:t>Revisor</w:t>
            </w:r>
            <w:r>
              <w:rPr>
                <w:sz w:val="20"/>
              </w:rPr>
              <w:br/>
              <w:t>(revise_draft)</w:t>
            </w:r>
          </w:p>
        </w:tc>
        <w:tc>
          <w:tcPr>
            <w:tcW w:w="2304" w:type="dxa"/>
          </w:tcPr>
          <w:p w14:paraId="7014217A" w14:textId="77777777" w:rsidR="00A02BD8" w:rsidRDefault="00000000">
            <w:r>
              <w:rPr>
                <w:sz w:val="20"/>
              </w:rPr>
              <w:t>Rewrite a rejected draft to resolve every violation, without touching the numbers</w:t>
            </w:r>
          </w:p>
        </w:tc>
        <w:tc>
          <w:tcPr>
            <w:tcW w:w="2304" w:type="dxa"/>
          </w:tcPr>
          <w:p w14:paraId="4F5525FA" w14:textId="77777777" w:rsidR="00A02BD8" w:rsidRDefault="00000000">
            <w:r>
              <w:rPr>
                <w:sz w:val="20"/>
              </w:rPr>
              <w:t>None (pure language revision)</w:t>
            </w:r>
          </w:p>
        </w:tc>
        <w:tc>
          <w:tcPr>
            <w:tcW w:w="2736" w:type="dxa"/>
          </w:tcPr>
          <w:p w14:paraId="109ECDF3" w14:textId="77777777" w:rsidR="00A02BD8" w:rsidRDefault="00000000">
            <w:r>
              <w:rPr>
                <w:sz w:val="20"/>
              </w:rPr>
              <w:t>Corrected draft, ready for re-judgement</w:t>
            </w:r>
          </w:p>
        </w:tc>
      </w:tr>
      <w:tr w:rsidR="00A02BD8" w14:paraId="6AC55B14" w14:textId="77777777">
        <w:trPr>
          <w:jc w:val="center"/>
        </w:trPr>
        <w:tc>
          <w:tcPr>
            <w:tcW w:w="2160" w:type="dxa"/>
          </w:tcPr>
          <w:p w14:paraId="06A735A3" w14:textId="77777777" w:rsidR="00A02BD8" w:rsidRDefault="00000000">
            <w:r>
              <w:rPr>
                <w:sz w:val="20"/>
              </w:rPr>
              <w:t>Client Reporting</w:t>
            </w:r>
            <w:r>
              <w:rPr>
                <w:sz w:val="20"/>
              </w:rPr>
              <w:br/>
              <w:t>(final_synthesis)</w:t>
            </w:r>
          </w:p>
        </w:tc>
        <w:tc>
          <w:tcPr>
            <w:tcW w:w="2304" w:type="dxa"/>
          </w:tcPr>
          <w:p w14:paraId="57C16D27" w14:textId="77777777" w:rsidR="00A02BD8" w:rsidRDefault="00000000">
            <w:r>
              <w:rPr>
                <w:sz w:val="20"/>
              </w:rPr>
              <w:t>Produce the final client-facing report, or the safe escalation message</w:t>
            </w:r>
          </w:p>
        </w:tc>
        <w:tc>
          <w:tcPr>
            <w:tcW w:w="2304" w:type="dxa"/>
          </w:tcPr>
          <w:p w14:paraId="32856130" w14:textId="77777777" w:rsidR="00A02BD8" w:rsidRDefault="00000000">
            <w:r>
              <w:rPr>
                <w:sz w:val="20"/>
              </w:rPr>
              <w:t>None (formatting / assembly)</w:t>
            </w:r>
          </w:p>
        </w:tc>
        <w:tc>
          <w:tcPr>
            <w:tcW w:w="2736" w:type="dxa"/>
          </w:tcPr>
          <w:p w14:paraId="41EE371E" w14:textId="77777777" w:rsidR="00A02BD8" w:rsidRDefault="00000000">
            <w:r>
              <w:rPr>
                <w:sz w:val="20"/>
              </w:rPr>
              <w:t>Full structured report (APPROVED) or the fixed escalation holding message (anything else)</w:t>
            </w:r>
          </w:p>
        </w:tc>
      </w:tr>
    </w:tbl>
    <w:p w14:paraId="3043FEA9" w14:textId="77777777" w:rsidR="00A02BD8" w:rsidRDefault="00A02BD8"/>
    <w:p w14:paraId="3B8D5E8E" w14:textId="77777777" w:rsidR="00A02BD8" w:rsidRDefault="00000000">
      <w:pPr>
        <w:pStyle w:val="Heading2"/>
      </w:pPr>
      <w:bookmarkStart w:id="17" w:name="_Toc234670577"/>
      <w:r>
        <w:t>5.2 The Self-Correcting Compliance Loop</w:t>
      </w:r>
      <w:bookmarkEnd w:id="17"/>
    </w:p>
    <w:p w14:paraId="39713A2A" w14:textId="77777777" w:rsidR="00A02BD8" w:rsidRDefault="00000000">
      <w:r>
        <w:t>This is the system's core governance mechanism. Every draft — whether the Compliance agent's own first-pass synthesis, or the Revisor's rewrite — is judged against a five-rule compliance rubric covering: (1) no guarantees of future returns, (2) mandatory past-performance disclaimer whenever performance figures are quoted, (3) flagging of promissory language, (4) proper hedged framing of any forward-looking statement, and (5) balanced risk contextualisation for higher-risk funds. A REJECTED verdict routes automatically to the Revisor, which corrects only the flagged issues and preserves every number exactly, before the corrected draft is re-submitted to the Compliance agent.</w:t>
      </w:r>
    </w:p>
    <w:p w14:paraId="47D12929" w14:textId="77777777" w:rsidR="00A02BD8" w:rsidRDefault="00000000">
      <w:r>
        <w:t>This cycle is capped by a configurable maximum number of attempts (default: 3). If compliance still cannot be achieved within that budget, the system does not send a best-effort answer — it deterministically routes to a fixed, pre-approved escalation message stating that the request requires manual compliance review, and flags this outcome explicitly in the response metadata (“escalated: true”) so it is never silently mistaken for a successful answer.</w:t>
      </w:r>
    </w:p>
    <w:p w14:paraId="3E24E3CF" w14:textId="77777777" w:rsidR="00A02BD8" w:rsidRDefault="00000000">
      <w:pPr>
        <w:pStyle w:val="Heading2"/>
      </w:pPr>
      <w:bookmarkStart w:id="18" w:name="_Toc234670578"/>
      <w:r>
        <w:t>5.3 Grounded Data Layer</w:t>
      </w:r>
      <w:bookmarkEnd w:id="18"/>
    </w:p>
    <w:p w14:paraId="284454D7" w14:textId="77777777" w:rsidR="00A02BD8" w:rsidRDefault="00000000">
      <w:r>
        <w:t xml:space="preserve">Quantitative data is served from a governed structured store (SQLite in development, designed to swap to an enterprise data warehouse such as Snowflake or Redshift in production with zero </w:t>
      </w:r>
      <w:r>
        <w:lastRenderedPageBreak/>
        <w:t>agent code changes). Qualitative commentary is served from a vector database (ChromaDB in development, designed to swap to Amazon OpenSearch in production) enabling semantic retrieval of the most relevant fund manager notes for a given question. Both layers are intentionally kept independent of the AI framework, so they are testable and auditable without needing a live LLM.</w:t>
      </w:r>
    </w:p>
    <w:p w14:paraId="6077915F" w14:textId="77777777" w:rsidR="00A02BD8" w:rsidRDefault="00000000">
      <w:r>
        <w:br w:type="page"/>
      </w:r>
    </w:p>
    <w:p w14:paraId="6610DE79" w14:textId="77777777" w:rsidR="00A02BD8" w:rsidRDefault="00000000">
      <w:pPr>
        <w:pStyle w:val="Heading1"/>
      </w:pPr>
      <w:bookmarkStart w:id="19" w:name="_Toc234670579"/>
      <w:r>
        <w:lastRenderedPageBreak/>
        <w:t>6. Why the AWS Strands Agents Framework</w:t>
      </w:r>
      <w:bookmarkEnd w:id="19"/>
    </w:p>
    <w:p w14:paraId="3033B68D" w14:textId="77777777" w:rsidR="00A02BD8" w:rsidRDefault="00000000">
      <w:r>
        <w:t>Strands Agents is an open-source, model-driven agent framework, built and open-sourced by AWS, purpose-built for production-grade agentic systems rather than prototype chatbots. It was selected for this project for five concrete reasons.</w:t>
      </w:r>
    </w:p>
    <w:p w14:paraId="4AEF1CF5" w14:textId="77777777" w:rsidR="00A02BD8" w:rsidRDefault="00000000">
      <w:pPr>
        <w:pStyle w:val="Heading2"/>
      </w:pPr>
      <w:bookmarkStart w:id="20" w:name="_Toc234670580"/>
      <w:r>
        <w:t>6.1 Native Multi-Agent Graph Orchestration</w:t>
      </w:r>
      <w:bookmarkEnd w:id="20"/>
    </w:p>
    <w:p w14:paraId="5236C5C2" w14:textId="77777777" w:rsidR="00A02BD8" w:rsidRDefault="00000000">
      <w:r>
        <w:t>Strands provides a first-class Graph construct (GraphBuilder) supporting cyclic graphs with conditional edges, execution ordering, per-node results, and built-in safety limits (execution timeout, maximum node executions). This is exactly the primitive needed for the compliance self-correction loop, without hand-rolling custom orchestration logic that would be harder to reason about and harder to make safe.</w:t>
      </w:r>
    </w:p>
    <w:p w14:paraId="1A4D8CC1" w14:textId="77777777" w:rsidR="00A02BD8" w:rsidRDefault="00000000">
      <w:pPr>
        <w:pStyle w:val="Heading2"/>
      </w:pPr>
      <w:bookmarkStart w:id="21" w:name="_Toc234670581"/>
      <w:r>
        <w:t>6.2 Reliable Structured Output for Governance Decisions</w:t>
      </w:r>
      <w:bookmarkEnd w:id="21"/>
    </w:p>
    <w:p w14:paraId="2C1D8375" w14:textId="77777777" w:rsidR="00A02BD8" w:rsidRDefault="00000000">
      <w:r>
        <w:t>Strands lets an agent be configured with a Pydantic schema (structured_output_model) so its final answer is a validated, typed object rather than free text. This is what makes the Compliance agent's APPROVED/REJECTED verdict something the surrounding code can route on deterministically, instead of trying to parse an opinion out of prose.</w:t>
      </w:r>
    </w:p>
    <w:p w14:paraId="0348F3F4" w14:textId="77777777" w:rsidR="00A02BD8" w:rsidRDefault="00000000">
      <w:pPr>
        <w:pStyle w:val="Heading2"/>
      </w:pPr>
      <w:bookmarkStart w:id="22" w:name="_Toc234670582"/>
      <w:r>
        <w:t>6.3 Model-Agnostic by Design</w:t>
      </w:r>
      <w:bookmarkEnd w:id="22"/>
    </w:p>
    <w:p w14:paraId="20C37FF4" w14:textId="77777777" w:rsidR="00A02BD8" w:rsidRDefault="00000000">
      <w:r>
        <w:t>Strands cleanly separates the agent's logic (system prompt, tools, structured output schema) from the underlying model provider. This project takes direct advantage of that: a single factory function is the only place in the codebase that references a concrete model class, so the system can run entirely on a free, local, open-weight model (Ollama, for zero-cost development) or on AWS Bedrock's managed, enterprise-grade models (for production quality and speed), with a one-line configuration change and zero changes to any agent's code.</w:t>
      </w:r>
    </w:p>
    <w:p w14:paraId="071082D9" w14:textId="77777777" w:rsidR="00A02BD8" w:rsidRDefault="00000000">
      <w:pPr>
        <w:pStyle w:val="Heading2"/>
      </w:pPr>
      <w:bookmarkStart w:id="23" w:name="_Toc234670583"/>
      <w:r>
        <w:t>6.4 Built-In Observability Hooks</w:t>
      </w:r>
      <w:bookmarkEnd w:id="23"/>
    </w:p>
    <w:p w14:paraId="1F7862BA" w14:textId="77777777" w:rsidR="00A02BD8" w:rsidRDefault="00000000">
      <w:r>
        <w:t>Strands exposes lifecycle hooks (before/after an agent invocation, before/after a tool call) that this project uses to emit structured, correlated logs for every agent action, with no logging logic embedded inside any agent's business prompt. This keeps the agents themselves simple while still producing full audit trails.</w:t>
      </w:r>
    </w:p>
    <w:p w14:paraId="68702D45" w14:textId="77777777" w:rsidR="00A02BD8" w:rsidRDefault="00000000">
      <w:pPr>
        <w:pStyle w:val="Heading2"/>
      </w:pPr>
      <w:bookmarkStart w:id="24" w:name="_Toc234670584"/>
      <w:r>
        <w:t>6.5 Production-Ready, AWS-Native Path to Scale</w:t>
      </w:r>
      <w:bookmarkEnd w:id="24"/>
    </w:p>
    <w:p w14:paraId="328596A5" w14:textId="77777777" w:rsidR="00A02BD8" w:rsidRDefault="00000000">
      <w:r>
        <w:t>Because Strands is AWS's own framework, it integrates natively with Amazon Bedrock for model hosting and deploys onto standard AWS compute without a re-platforming exercise — this was proven directly in Phase 02 (Section 13), which stood the system up on Amazon Bedrock AgentCore and live-verified it end-to-end in the cloud, with zero changes to the agent code itself.</w:t>
      </w:r>
    </w:p>
    <w:p w14:paraId="49F104F8" w14:textId="77777777" w:rsidR="00A02BD8" w:rsidRDefault="00000000">
      <w:pPr>
        <w:pStyle w:val="Heading2"/>
      </w:pPr>
      <w:bookmarkStart w:id="25" w:name="_Toc234670585"/>
      <w:r>
        <w:lastRenderedPageBreak/>
        <w:t>6.6 How Strands Works, Technically</w:t>
      </w:r>
      <w:bookmarkEnd w:id="25"/>
    </w:p>
    <w:p w14:paraId="3E586D71" w14:textId="77777777" w:rsidR="00A02BD8" w:rsidRDefault="00000000">
      <w:r>
        <w:t>Each Strands Agent runs an internal event loop: it sends the conversation and its available tools to the configured model; if the model responds with a tool call, Strands executes that tool and feeds the result back to the model automatically, repeating until the model produces a final answer (or, when a structured output schema is configured, until it has produced a schema-valid result). The Graph orchestrator wraps multiple Agents as nodes in this same pattern at a higher level: it evaluates each edge's condition against the current graph state after every completed batch of nodes, only advancing to downstream nodes once their dependencies (and any governance conditions, such as “has compliance already run”) are satisfied. This two-level design — an event loop inside each agent, and a conditional graph across agents — is what allows a compliance loop to exist safely: the graph, not any single model call, is what enforces that unapproved content can never reach the final report.</w:t>
      </w:r>
    </w:p>
    <w:p w14:paraId="616B6F9A" w14:textId="77777777" w:rsidR="00A02BD8" w:rsidRDefault="00000000">
      <w:r>
        <w:br w:type="page"/>
      </w:r>
    </w:p>
    <w:p w14:paraId="71A541D5" w14:textId="77777777" w:rsidR="00A02BD8" w:rsidRDefault="00000000">
      <w:pPr>
        <w:pStyle w:val="Heading1"/>
      </w:pPr>
      <w:bookmarkStart w:id="26" w:name="_Toc234670586"/>
      <w:r>
        <w:lastRenderedPageBreak/>
        <w:t>7. Technical Implementation Details</w:t>
      </w:r>
      <w:bookmarkEnd w:id="26"/>
    </w:p>
    <w:p w14:paraId="6BDB6EE1" w14:textId="77777777" w:rsidR="00A02BD8" w:rsidRDefault="00000000">
      <w:pPr>
        <w:pStyle w:val="Heading2"/>
      </w:pPr>
      <w:bookmarkStart w:id="27" w:name="_Toc234670587"/>
      <w:r>
        <w:t>7.1 Technology Stack</w:t>
      </w:r>
      <w:bookmarkEnd w:id="27"/>
    </w:p>
    <w:tbl>
      <w:tblPr>
        <w:tblStyle w:val="TableGrid"/>
        <w:tblW w:w="0" w:type="auto"/>
        <w:jc w:val="center"/>
        <w:tblLook w:val="04A0" w:firstRow="1" w:lastRow="0" w:firstColumn="1" w:lastColumn="0" w:noHBand="0" w:noVBand="1"/>
      </w:tblPr>
      <w:tblGrid>
        <w:gridCol w:w="2758"/>
        <w:gridCol w:w="6098"/>
      </w:tblGrid>
      <w:tr w:rsidR="00A02BD8" w14:paraId="17BDB8D6" w14:textId="77777777">
        <w:trPr>
          <w:jc w:val="center"/>
        </w:trPr>
        <w:tc>
          <w:tcPr>
            <w:tcW w:w="2880" w:type="dxa"/>
            <w:shd w:val="clear" w:color="auto" w:fill="1F3A5F"/>
          </w:tcPr>
          <w:p w14:paraId="5C399A28" w14:textId="77777777" w:rsidR="00A02BD8" w:rsidRDefault="00000000">
            <w:r>
              <w:rPr>
                <w:b/>
                <w:color w:val="FFFFFF"/>
                <w:sz w:val="20"/>
              </w:rPr>
              <w:t>Layer</w:t>
            </w:r>
          </w:p>
        </w:tc>
        <w:tc>
          <w:tcPr>
            <w:tcW w:w="6624" w:type="dxa"/>
            <w:shd w:val="clear" w:color="auto" w:fill="1F3A5F"/>
          </w:tcPr>
          <w:p w14:paraId="28DBEA71" w14:textId="77777777" w:rsidR="00A02BD8" w:rsidRDefault="00000000">
            <w:r>
              <w:rPr>
                <w:b/>
                <w:color w:val="FFFFFF"/>
                <w:sz w:val="20"/>
              </w:rPr>
              <w:t>Choice</w:t>
            </w:r>
          </w:p>
        </w:tc>
      </w:tr>
      <w:tr w:rsidR="00A02BD8" w14:paraId="6278D12F" w14:textId="77777777">
        <w:trPr>
          <w:jc w:val="center"/>
        </w:trPr>
        <w:tc>
          <w:tcPr>
            <w:tcW w:w="2880" w:type="dxa"/>
          </w:tcPr>
          <w:p w14:paraId="64689DAA" w14:textId="77777777" w:rsidR="00A02BD8" w:rsidRDefault="00000000">
            <w:r>
              <w:rPr>
                <w:sz w:val="20"/>
              </w:rPr>
              <w:t>Agent framework</w:t>
            </w:r>
          </w:p>
        </w:tc>
        <w:tc>
          <w:tcPr>
            <w:tcW w:w="6624" w:type="dxa"/>
          </w:tcPr>
          <w:p w14:paraId="1C757E3E" w14:textId="77777777" w:rsidR="00A02BD8" w:rsidRDefault="00000000">
            <w:r>
              <w:rPr>
                <w:sz w:val="20"/>
              </w:rPr>
              <w:t>AWS Strands Agents (v1.47)</w:t>
            </w:r>
          </w:p>
        </w:tc>
      </w:tr>
      <w:tr w:rsidR="00A02BD8" w14:paraId="6C203349" w14:textId="77777777">
        <w:trPr>
          <w:jc w:val="center"/>
        </w:trPr>
        <w:tc>
          <w:tcPr>
            <w:tcW w:w="2880" w:type="dxa"/>
          </w:tcPr>
          <w:p w14:paraId="4FFDEEE9" w14:textId="77777777" w:rsidR="00A02BD8" w:rsidRDefault="00000000">
            <w:r>
              <w:rPr>
                <w:sz w:val="20"/>
              </w:rPr>
              <w:t>Language / packaging</w:t>
            </w:r>
          </w:p>
        </w:tc>
        <w:tc>
          <w:tcPr>
            <w:tcW w:w="6624" w:type="dxa"/>
          </w:tcPr>
          <w:p w14:paraId="5BC33DA1" w14:textId="77777777" w:rsidR="00A02BD8" w:rsidRDefault="00000000">
            <w:r>
              <w:rPr>
                <w:sz w:val="20"/>
              </w:rPr>
              <w:t>Python 3.12+, managed with uv (src-layout package)</w:t>
            </w:r>
          </w:p>
        </w:tc>
      </w:tr>
      <w:tr w:rsidR="00A02BD8" w14:paraId="5B25274D" w14:textId="77777777">
        <w:trPr>
          <w:jc w:val="center"/>
        </w:trPr>
        <w:tc>
          <w:tcPr>
            <w:tcW w:w="2880" w:type="dxa"/>
          </w:tcPr>
          <w:p w14:paraId="2A5C63A5" w14:textId="77777777" w:rsidR="00A02BD8" w:rsidRDefault="00000000">
            <w:r>
              <w:rPr>
                <w:sz w:val="20"/>
              </w:rPr>
              <w:t>LLM provider — development</w:t>
            </w:r>
          </w:p>
        </w:tc>
        <w:tc>
          <w:tcPr>
            <w:tcW w:w="6624" w:type="dxa"/>
          </w:tcPr>
          <w:p w14:paraId="3567689D" w14:textId="77777777" w:rsidR="00A02BD8" w:rsidRDefault="00000000">
            <w:r>
              <w:rPr>
                <w:sz w:val="20"/>
              </w:rPr>
              <w:t>Ollama (local, free) — qwen2.5:7b-instruct, or AWS Bedrock (Anthropic Claude) as a per-run, configurable alternative</w:t>
            </w:r>
          </w:p>
        </w:tc>
      </w:tr>
      <w:tr w:rsidR="00A02BD8" w14:paraId="113373B8" w14:textId="77777777">
        <w:trPr>
          <w:jc w:val="center"/>
        </w:trPr>
        <w:tc>
          <w:tcPr>
            <w:tcW w:w="2880" w:type="dxa"/>
          </w:tcPr>
          <w:p w14:paraId="3B618DC3" w14:textId="77777777" w:rsidR="00A02BD8" w:rsidRDefault="00000000">
            <w:r>
              <w:rPr>
                <w:sz w:val="20"/>
              </w:rPr>
              <w:t>LLM provider — staging/production</w:t>
            </w:r>
          </w:p>
        </w:tc>
        <w:tc>
          <w:tcPr>
            <w:tcW w:w="6624" w:type="dxa"/>
          </w:tcPr>
          <w:p w14:paraId="2888550C" w14:textId="77777777" w:rsidR="00A02BD8" w:rsidRDefault="00000000">
            <w:r>
              <w:rPr>
                <w:sz w:val="20"/>
              </w:rPr>
              <w:t>AWS Bedrock (always — a governance requirement, not a preference)</w:t>
            </w:r>
          </w:p>
        </w:tc>
      </w:tr>
      <w:tr w:rsidR="00A02BD8" w14:paraId="675642F3" w14:textId="77777777">
        <w:trPr>
          <w:jc w:val="center"/>
        </w:trPr>
        <w:tc>
          <w:tcPr>
            <w:tcW w:w="2880" w:type="dxa"/>
          </w:tcPr>
          <w:p w14:paraId="7DEB22D2" w14:textId="77777777" w:rsidR="00A02BD8" w:rsidRDefault="00000000">
            <w:r>
              <w:rPr>
                <w:sz w:val="20"/>
              </w:rPr>
              <w:t>Quantitative data store</w:t>
            </w:r>
          </w:p>
        </w:tc>
        <w:tc>
          <w:tcPr>
            <w:tcW w:w="6624" w:type="dxa"/>
          </w:tcPr>
          <w:p w14:paraId="40A3CF58" w14:textId="77777777" w:rsidR="00A02BD8" w:rsidRDefault="00000000">
            <w:r>
              <w:rPr>
                <w:sz w:val="20"/>
              </w:rPr>
              <w:t>SQLite (development) → Snowflake/Redshift-shaped for production</w:t>
            </w:r>
          </w:p>
        </w:tc>
      </w:tr>
      <w:tr w:rsidR="00A02BD8" w14:paraId="1B6CD459" w14:textId="77777777">
        <w:trPr>
          <w:jc w:val="center"/>
        </w:trPr>
        <w:tc>
          <w:tcPr>
            <w:tcW w:w="2880" w:type="dxa"/>
          </w:tcPr>
          <w:p w14:paraId="73535843" w14:textId="77777777" w:rsidR="00A02BD8" w:rsidRDefault="00000000">
            <w:r>
              <w:rPr>
                <w:sz w:val="20"/>
              </w:rPr>
              <w:t>Qualitative data store (RAG)</w:t>
            </w:r>
          </w:p>
        </w:tc>
        <w:tc>
          <w:tcPr>
            <w:tcW w:w="6624" w:type="dxa"/>
          </w:tcPr>
          <w:p w14:paraId="5F6E096F" w14:textId="77777777" w:rsidR="00A02BD8" w:rsidRDefault="00000000">
            <w:r>
              <w:rPr>
                <w:sz w:val="20"/>
              </w:rPr>
              <w:t>ChromaDB, persistent on-disk vector store (development) → Amazon OpenSearch for production</w:t>
            </w:r>
          </w:p>
        </w:tc>
      </w:tr>
      <w:tr w:rsidR="00A02BD8" w14:paraId="50240554" w14:textId="77777777">
        <w:trPr>
          <w:jc w:val="center"/>
        </w:trPr>
        <w:tc>
          <w:tcPr>
            <w:tcW w:w="2880" w:type="dxa"/>
          </w:tcPr>
          <w:p w14:paraId="391B18D3" w14:textId="77777777" w:rsidR="00A02BD8" w:rsidRDefault="00000000">
            <w:r>
              <w:rPr>
                <w:sz w:val="20"/>
              </w:rPr>
              <w:t>API layer</w:t>
            </w:r>
          </w:p>
        </w:tc>
        <w:tc>
          <w:tcPr>
            <w:tcW w:w="6624" w:type="dxa"/>
          </w:tcPr>
          <w:p w14:paraId="5F941CDC" w14:textId="77777777" w:rsidR="00A02BD8" w:rsidRDefault="00000000">
            <w:r>
              <w:rPr>
                <w:sz w:val="20"/>
              </w:rPr>
              <w:t>FastAPI (REST), with liveness (/health) and readiness (/health/ready) endpoints</w:t>
            </w:r>
          </w:p>
        </w:tc>
      </w:tr>
      <w:tr w:rsidR="00A02BD8" w14:paraId="1DF62CE4" w14:textId="77777777">
        <w:trPr>
          <w:jc w:val="center"/>
        </w:trPr>
        <w:tc>
          <w:tcPr>
            <w:tcW w:w="2880" w:type="dxa"/>
          </w:tcPr>
          <w:p w14:paraId="10ED4674" w14:textId="77777777" w:rsidR="00A02BD8" w:rsidRDefault="00000000">
            <w:r>
              <w:rPr>
                <w:sz w:val="20"/>
              </w:rPr>
              <w:t>Logging &amp; observability</w:t>
            </w:r>
          </w:p>
        </w:tc>
        <w:tc>
          <w:tcPr>
            <w:tcW w:w="6624" w:type="dxa"/>
          </w:tcPr>
          <w:p w14:paraId="79B488EF" w14:textId="77777777" w:rsidR="00A02BD8" w:rsidRDefault="00000000">
            <w:r>
              <w:rPr>
                <w:sz w:val="20"/>
              </w:rPr>
              <w:t>structlog structured JSON logging, trace/request-ID correlation across every agent and tool call</w:t>
            </w:r>
          </w:p>
        </w:tc>
      </w:tr>
      <w:tr w:rsidR="00A02BD8" w14:paraId="754A79C7" w14:textId="77777777">
        <w:trPr>
          <w:jc w:val="center"/>
        </w:trPr>
        <w:tc>
          <w:tcPr>
            <w:tcW w:w="2880" w:type="dxa"/>
          </w:tcPr>
          <w:p w14:paraId="0824E83F" w14:textId="77777777" w:rsidR="00A02BD8" w:rsidRDefault="00000000">
            <w:r>
              <w:rPr>
                <w:sz w:val="20"/>
              </w:rPr>
              <w:t>Testing</w:t>
            </w:r>
          </w:p>
        </w:tc>
        <w:tc>
          <w:tcPr>
            <w:tcW w:w="6624" w:type="dxa"/>
          </w:tcPr>
          <w:p w14:paraId="0AEE5BF5" w14:textId="77777777" w:rsidR="00A02BD8" w:rsidRDefault="00000000">
            <w:r>
              <w:rPr>
                <w:sz w:val="20"/>
              </w:rPr>
              <w:t>pytest — fast unit suite (no LLM required) plus a live integration suite against a real model</w:t>
            </w:r>
          </w:p>
        </w:tc>
      </w:tr>
    </w:tbl>
    <w:p w14:paraId="452EB4D7" w14:textId="77777777" w:rsidR="00A02BD8" w:rsidRDefault="00A02BD8"/>
    <w:p w14:paraId="2BDC652A" w14:textId="77777777" w:rsidR="00A02BD8" w:rsidRDefault="00000000">
      <w:pPr>
        <w:pStyle w:val="Heading2"/>
      </w:pPr>
      <w:bookmarkStart w:id="28" w:name="_Toc234670588"/>
      <w:r>
        <w:t>7.2 Environment Strategy</w:t>
      </w:r>
      <w:bookmarkEnd w:id="28"/>
    </w:p>
    <w:p w14:paraId="4121B38E" w14:textId="77777777" w:rsidR="00A02BD8" w:rsidRDefault="00000000">
      <w:r>
        <w:t>The system is designed for a clean promotion path across three environments — Development, Staging, and Production — differentiated purely by configuration, never by code:</w:t>
      </w:r>
    </w:p>
    <w:p w14:paraId="44F22A60" w14:textId="77777777" w:rsidR="00A02BD8" w:rsidRDefault="00000000">
      <w:pPr>
        <w:pStyle w:val="ListBullet"/>
      </w:pPr>
      <w:r>
        <w:rPr>
          <w:b/>
        </w:rPr>
        <w:t xml:space="preserve">Development — </w:t>
      </w:r>
      <w:r>
        <w:t>100% local and free by default (Ollama, SQLite, on-disk ChromaDB), with an opt-in switch to run against real AWS Bedrock for faster iteration or quality evaluation on specific use cases, without needing a separate environment.</w:t>
      </w:r>
    </w:p>
    <w:p w14:paraId="19506BE9" w14:textId="77777777" w:rsidR="00A02BD8" w:rsidRDefault="00000000">
      <w:pPr>
        <w:pStyle w:val="ListBullet"/>
      </w:pPr>
      <w:r>
        <w:rPr>
          <w:b/>
        </w:rPr>
        <w:t xml:space="preserve">Staging / Production — </w:t>
      </w:r>
      <w:r>
        <w:t>always AWS Bedrock for the LLM (a compliance and reliability requirement), with the data layer promoted to enterprise-grade systems (data warehouse and managed search).</w:t>
      </w:r>
    </w:p>
    <w:p w14:paraId="3D48849D" w14:textId="77777777" w:rsidR="00A02BD8" w:rsidRDefault="00000000">
      <w:pPr>
        <w:pStyle w:val="Heading2"/>
      </w:pPr>
      <w:bookmarkStart w:id="29" w:name="_Toc234670589"/>
      <w:r>
        <w:lastRenderedPageBreak/>
        <w:t>7.3 API Surface</w:t>
      </w:r>
      <w:bookmarkEnd w:id="29"/>
    </w:p>
    <w:p w14:paraId="22145301" w14:textId="77777777" w:rsidR="00A02BD8" w:rsidRDefault="00000000">
      <w:pPr>
        <w:pStyle w:val="ListBullet"/>
      </w:pPr>
      <w:r>
        <w:rPr>
          <w:b/>
        </w:rPr>
        <w:t xml:space="preserve">POST /api/v1/rfp — </w:t>
      </w:r>
      <w:r>
        <w:t>submit a client question, receive a structured outcome (succeeded, response text, number of compliance attempts used, whether the request was escalated, and overall graph status).</w:t>
      </w:r>
    </w:p>
    <w:p w14:paraId="00C10A49" w14:textId="77777777" w:rsidR="00A02BD8" w:rsidRDefault="00000000">
      <w:pPr>
        <w:pStyle w:val="ListBullet"/>
      </w:pPr>
      <w:r>
        <w:rPr>
          <w:b/>
        </w:rPr>
        <w:t xml:space="preserve">GET /health — </w:t>
      </w:r>
      <w:r>
        <w:t>liveness check — confirms the service process is running.</w:t>
      </w:r>
    </w:p>
    <w:p w14:paraId="08B4397C" w14:textId="77777777" w:rsidR="00A02BD8" w:rsidRDefault="00000000">
      <w:pPr>
        <w:pStyle w:val="ListBullet"/>
      </w:pPr>
      <w:r>
        <w:rPr>
          <w:b/>
        </w:rPr>
        <w:t xml:space="preserve">GET /health/ready — </w:t>
      </w:r>
      <w:r>
        <w:t>readiness check — confirms the active model provider is actually reachable and the data stores are writable, so traffic can be automatically routed away from an unhealthy instance.</w:t>
      </w:r>
    </w:p>
    <w:p w14:paraId="050E0EE9" w14:textId="77777777" w:rsidR="00A02BD8" w:rsidRDefault="00000000">
      <w:pPr>
        <w:pStyle w:val="Heading2"/>
      </w:pPr>
      <w:bookmarkStart w:id="30" w:name="_Toc234670590"/>
      <w:r>
        <w:t>7.4 Reliability Engineering</w:t>
      </w:r>
      <w:bookmarkEnd w:id="30"/>
    </w:p>
    <w:p w14:paraId="075EBCDA" w14:textId="77777777" w:rsidR="00A02BD8" w:rsidRDefault="00000000">
      <w:r>
        <w:t>Two production-hardening features are worth calling out specifically, because they were discovered and fixed through direct, empirical testing rather than assumed to work:</w:t>
      </w:r>
    </w:p>
    <w:p w14:paraId="587FBBDE" w14:textId="77777777" w:rsidR="00A02BD8" w:rsidRDefault="00000000">
      <w:pPr>
        <w:pStyle w:val="ListBullet"/>
      </w:pPr>
      <w:r>
        <w:rPr>
          <w:b/>
        </w:rPr>
        <w:t xml:space="preserve">Automatic retry on structured-output failures — </w:t>
      </w:r>
      <w:r>
        <w:t>the compliance agent transparently retries, from a clean state, if the underlying model fails to produce a valid structured verdict, before the safety-net escalation path takes over.</w:t>
      </w:r>
    </w:p>
    <w:p w14:paraId="37570C7A" w14:textId="77777777" w:rsidR="00A02BD8" w:rsidRDefault="00000000">
      <w:pPr>
        <w:pStyle w:val="ListBullet"/>
      </w:pPr>
      <w:r>
        <w:rPr>
          <w:b/>
        </w:rPr>
        <w:t xml:space="preserve">Root-caused, documented model-provider limitation — </w:t>
      </w:r>
      <w:r>
        <w:t>a local, open-weight model was found to intermittently fail to reliably invoke its structured-output tool; this was traced to a provider-level limitation (lack of guaranteed tool-choice enforcement), clearly documented, and is a limitation the AWS Bedrock / Claude path measurably does not share (see Section 8).</w:t>
      </w:r>
    </w:p>
    <w:p w14:paraId="218677CB" w14:textId="77777777" w:rsidR="00A02BD8" w:rsidRDefault="00000000">
      <w:pPr>
        <w:pStyle w:val="Heading2"/>
      </w:pPr>
      <w:bookmarkStart w:id="31" w:name="_Toc234670591"/>
      <w:r>
        <w:t>7.5 Quality Assurance</w:t>
      </w:r>
      <w:bookmarkEnd w:id="31"/>
    </w:p>
    <w:p w14:paraId="3EAE678F" w14:textId="77777777" w:rsidR="00A02BD8" w:rsidRDefault="00000000">
      <w:r>
        <w:t>The system is covered by a fast unit-test suite (over 40 tests, no live model required, suitable for a continuous-integration gate) and a live integration-test suite that exercises the real agent graph against a running model, including two dedicated hardening scenarios: a forced single-attempt-budget test proving a rejected draft can never bypass compliance simply because attempts run out, and an unseeded-ticker test proving the system reports missing data honestly rather than fabricating figures.</w:t>
      </w:r>
    </w:p>
    <w:p w14:paraId="43C7B75C" w14:textId="77777777" w:rsidR="00A02BD8" w:rsidRDefault="00000000">
      <w:r>
        <w:br w:type="page"/>
      </w:r>
    </w:p>
    <w:p w14:paraId="5FD2192A" w14:textId="77777777" w:rsidR="00A02BD8" w:rsidRDefault="00000000">
      <w:pPr>
        <w:pStyle w:val="Heading1"/>
      </w:pPr>
      <w:bookmarkStart w:id="32" w:name="_Toc234670592"/>
      <w:r>
        <w:lastRenderedPageBreak/>
        <w:t>8. Sample End-to-End Execution — Case Study</w:t>
      </w:r>
      <w:bookmarkEnd w:id="32"/>
    </w:p>
    <w:p w14:paraId="1A1C4ACF" w14:textId="77777777" w:rsidR="00A02BD8" w:rsidRDefault="00000000">
      <w:r>
        <w:t>The following is a real, unedited trace from a production-representative run against AWS Bedrock (Anthropic Claude 3.5 Sonnet), included to make the system's behaviour concrete rather than theoretical.</w:t>
      </w:r>
    </w:p>
    <w:p w14:paraId="4A6EA5EA" w14:textId="77777777" w:rsidR="00A02BD8" w:rsidRDefault="00000000">
      <w:pPr>
        <w:pStyle w:val="Heading2"/>
      </w:pPr>
      <w:bookmarkStart w:id="33" w:name="_Toc234670593"/>
      <w:r>
        <w:t>8.1 The Question</w:t>
      </w:r>
      <w:bookmarkEnd w:id="33"/>
    </w:p>
    <w:tbl>
      <w:tblPr>
        <w:tblW w:w="0" w:type="auto"/>
        <w:jc w:val="center"/>
        <w:tblLook w:val="04A0" w:firstRow="1" w:lastRow="0" w:firstColumn="1" w:lastColumn="0" w:noHBand="0" w:noVBand="1"/>
      </w:tblPr>
      <w:tblGrid>
        <w:gridCol w:w="8640"/>
      </w:tblGrid>
      <w:tr w:rsidR="00A02BD8" w14:paraId="5432C34E" w14:textId="77777777">
        <w:trPr>
          <w:jc w:val="center"/>
        </w:trPr>
        <w:tc>
          <w:tcPr>
            <w:tcW w:w="8640" w:type="dxa"/>
            <w:shd w:val="clear" w:color="auto" w:fill="F2F2F2"/>
          </w:tcPr>
          <w:p w14:paraId="11DFDD20" w14:textId="77777777" w:rsidR="00A02BD8" w:rsidRDefault="00000000">
            <w:r>
              <w:rPr>
                <w:rFonts w:ascii="Consolas" w:hAnsi="Consolas"/>
                <w:color w:val="202020"/>
                <w:sz w:val="19"/>
              </w:rPr>
              <w:t>"Please provide the current risk metrics for the Fixed Income Core Bond</w:t>
            </w:r>
            <w:r>
              <w:rPr>
                <w:rFonts w:ascii="Consolas" w:hAnsi="Consolas"/>
                <w:color w:val="202020"/>
                <w:sz w:val="19"/>
              </w:rPr>
              <w:br/>
              <w:t>Fund (INC2) and its current macroeconomic strategy."</w:t>
            </w:r>
          </w:p>
        </w:tc>
      </w:tr>
    </w:tbl>
    <w:p w14:paraId="3A7B6765" w14:textId="77777777" w:rsidR="00A02BD8" w:rsidRDefault="00A02BD8"/>
    <w:p w14:paraId="2B3A6249" w14:textId="77777777" w:rsidR="00A02BD8" w:rsidRDefault="00000000">
      <w:pPr>
        <w:pStyle w:val="Heading2"/>
      </w:pPr>
      <w:bookmarkStart w:id="34" w:name="_Toc234670594"/>
      <w:r>
        <w:t>8.2 What Happened, Step by Step</w:t>
      </w:r>
      <w:bookmarkEnd w:id="34"/>
    </w:p>
    <w:tbl>
      <w:tblPr>
        <w:tblStyle w:val="TableGrid"/>
        <w:tblW w:w="0" w:type="auto"/>
        <w:jc w:val="center"/>
        <w:tblLook w:val="04A0" w:firstRow="1" w:lastRow="0" w:firstColumn="1" w:lastColumn="0" w:noHBand="0" w:noVBand="1"/>
      </w:tblPr>
      <w:tblGrid>
        <w:gridCol w:w="588"/>
        <w:gridCol w:w="1861"/>
        <w:gridCol w:w="5290"/>
        <w:gridCol w:w="1117"/>
      </w:tblGrid>
      <w:tr w:rsidR="00A02BD8" w14:paraId="4F35CC5A" w14:textId="77777777">
        <w:trPr>
          <w:jc w:val="center"/>
        </w:trPr>
        <w:tc>
          <w:tcPr>
            <w:tcW w:w="576" w:type="dxa"/>
            <w:shd w:val="clear" w:color="auto" w:fill="1F3A5F"/>
          </w:tcPr>
          <w:p w14:paraId="79D96721" w14:textId="77777777" w:rsidR="00A02BD8" w:rsidRDefault="00000000">
            <w:r>
              <w:rPr>
                <w:b/>
                <w:color w:val="FFFFFF"/>
                <w:sz w:val="20"/>
              </w:rPr>
              <w:t>Step</w:t>
            </w:r>
          </w:p>
        </w:tc>
        <w:tc>
          <w:tcPr>
            <w:tcW w:w="1872" w:type="dxa"/>
            <w:shd w:val="clear" w:color="auto" w:fill="1F3A5F"/>
          </w:tcPr>
          <w:p w14:paraId="24564A50" w14:textId="77777777" w:rsidR="00A02BD8" w:rsidRDefault="00000000">
            <w:r>
              <w:rPr>
                <w:b/>
                <w:color w:val="FFFFFF"/>
                <w:sz w:val="20"/>
              </w:rPr>
              <w:t>Agent</w:t>
            </w:r>
          </w:p>
        </w:tc>
        <w:tc>
          <w:tcPr>
            <w:tcW w:w="5904" w:type="dxa"/>
            <w:shd w:val="clear" w:color="auto" w:fill="1F3A5F"/>
          </w:tcPr>
          <w:p w14:paraId="1D6D9324" w14:textId="77777777" w:rsidR="00A02BD8" w:rsidRDefault="00000000">
            <w:r>
              <w:rPr>
                <w:b/>
                <w:color w:val="FFFFFF"/>
                <w:sz w:val="20"/>
              </w:rPr>
              <w:t>What Happened</w:t>
            </w:r>
          </w:p>
        </w:tc>
        <w:tc>
          <w:tcPr>
            <w:tcW w:w="1152" w:type="dxa"/>
            <w:shd w:val="clear" w:color="auto" w:fill="1F3A5F"/>
          </w:tcPr>
          <w:p w14:paraId="0FB288C6" w14:textId="77777777" w:rsidR="00A02BD8" w:rsidRDefault="00000000">
            <w:r>
              <w:rPr>
                <w:b/>
                <w:color w:val="FFFFFF"/>
                <w:sz w:val="20"/>
              </w:rPr>
              <w:t>Duration</w:t>
            </w:r>
          </w:p>
        </w:tc>
      </w:tr>
      <w:tr w:rsidR="00A02BD8" w14:paraId="4BA8EFED" w14:textId="77777777">
        <w:trPr>
          <w:jc w:val="center"/>
        </w:trPr>
        <w:tc>
          <w:tcPr>
            <w:tcW w:w="576" w:type="dxa"/>
          </w:tcPr>
          <w:p w14:paraId="5DED69EB" w14:textId="77777777" w:rsidR="00A02BD8" w:rsidRDefault="00000000">
            <w:r>
              <w:rPr>
                <w:sz w:val="20"/>
              </w:rPr>
              <w:t>1</w:t>
            </w:r>
          </w:p>
        </w:tc>
        <w:tc>
          <w:tcPr>
            <w:tcW w:w="1872" w:type="dxa"/>
          </w:tcPr>
          <w:p w14:paraId="78053250" w14:textId="77777777" w:rsidR="00A02BD8" w:rsidRDefault="00000000">
            <w:r>
              <w:rPr>
                <w:sz w:val="20"/>
              </w:rPr>
              <w:t>quant_data_pull</w:t>
            </w:r>
          </w:p>
        </w:tc>
        <w:tc>
          <w:tcPr>
            <w:tcW w:w="5904" w:type="dxa"/>
          </w:tcPr>
          <w:p w14:paraId="7A680E03" w14:textId="77777777" w:rsidR="00A02BD8" w:rsidRDefault="00000000">
            <w:r>
              <w:rPr>
                <w:sz w:val="20"/>
              </w:rPr>
              <w:t>Called get_fund_performance and returned NAV, Alpha, Beta, Sharpe, Std. Dev., Sortino, R², and 1Y/3Y returns for INC2 — and correctly declined to answer the macro-strategy portion, which is outside its remit.</w:t>
            </w:r>
          </w:p>
        </w:tc>
        <w:tc>
          <w:tcPr>
            <w:tcW w:w="1152" w:type="dxa"/>
          </w:tcPr>
          <w:p w14:paraId="04EE791D" w14:textId="77777777" w:rsidR="00A02BD8" w:rsidRDefault="00000000">
            <w:r>
              <w:rPr>
                <w:sz w:val="20"/>
              </w:rPr>
              <w:t>3.50 s</w:t>
            </w:r>
          </w:p>
        </w:tc>
      </w:tr>
      <w:tr w:rsidR="00A02BD8" w14:paraId="7D86821C" w14:textId="77777777">
        <w:trPr>
          <w:jc w:val="center"/>
        </w:trPr>
        <w:tc>
          <w:tcPr>
            <w:tcW w:w="576" w:type="dxa"/>
          </w:tcPr>
          <w:p w14:paraId="2B093F40" w14:textId="77777777" w:rsidR="00A02BD8" w:rsidRDefault="00000000">
            <w:r>
              <w:rPr>
                <w:sz w:val="20"/>
              </w:rPr>
              <w:t>2</w:t>
            </w:r>
          </w:p>
        </w:tc>
        <w:tc>
          <w:tcPr>
            <w:tcW w:w="1872" w:type="dxa"/>
          </w:tcPr>
          <w:p w14:paraId="1CCC4029" w14:textId="77777777" w:rsidR="00A02BD8" w:rsidRDefault="00000000">
            <w:r>
              <w:rPr>
                <w:sz w:val="20"/>
              </w:rPr>
              <w:t>qual_narrative_pull</w:t>
            </w:r>
          </w:p>
        </w:tc>
        <w:tc>
          <w:tcPr>
            <w:tcW w:w="5904" w:type="dxa"/>
          </w:tcPr>
          <w:p w14:paraId="62C62A6D" w14:textId="77777777" w:rsidR="00A02BD8" w:rsidRDefault="00000000">
            <w:r>
              <w:rPr>
                <w:sz w:val="20"/>
              </w:rPr>
              <w:t>Called search_fund_commentary and synthesised the fund's duration-risk management strategy from retrieved manager commentary — ran in parallel with Step 1.</w:t>
            </w:r>
          </w:p>
        </w:tc>
        <w:tc>
          <w:tcPr>
            <w:tcW w:w="1152" w:type="dxa"/>
          </w:tcPr>
          <w:p w14:paraId="67568704" w14:textId="77777777" w:rsidR="00A02BD8" w:rsidRDefault="00000000">
            <w:r>
              <w:rPr>
                <w:sz w:val="20"/>
              </w:rPr>
              <w:t>4.81 s</w:t>
            </w:r>
          </w:p>
        </w:tc>
      </w:tr>
      <w:tr w:rsidR="00A02BD8" w14:paraId="294398DF" w14:textId="77777777">
        <w:trPr>
          <w:jc w:val="center"/>
        </w:trPr>
        <w:tc>
          <w:tcPr>
            <w:tcW w:w="576" w:type="dxa"/>
          </w:tcPr>
          <w:p w14:paraId="2C3A6E53" w14:textId="77777777" w:rsidR="00A02BD8" w:rsidRDefault="00000000">
            <w:r>
              <w:rPr>
                <w:sz w:val="20"/>
              </w:rPr>
              <w:t>3</w:t>
            </w:r>
          </w:p>
        </w:tc>
        <w:tc>
          <w:tcPr>
            <w:tcW w:w="1872" w:type="dxa"/>
          </w:tcPr>
          <w:p w14:paraId="58A72D42" w14:textId="77777777" w:rsidR="00A02BD8" w:rsidRDefault="00000000">
            <w:r>
              <w:rPr>
                <w:sz w:val="20"/>
              </w:rPr>
              <w:t>compliance_check</w:t>
            </w:r>
          </w:p>
        </w:tc>
        <w:tc>
          <w:tcPr>
            <w:tcW w:w="5904" w:type="dxa"/>
          </w:tcPr>
          <w:p w14:paraId="20802547" w14:textId="77777777" w:rsidR="00A02BD8" w:rsidRDefault="00000000">
            <w:r>
              <w:rPr>
                <w:sz w:val="20"/>
              </w:rPr>
              <w:t>Synthesised a draft from Steps 1–2, added the mandatory disclaimer, properly hedged the forward-looking statement, and returned an APPROVED verdict on the first attempt.</w:t>
            </w:r>
          </w:p>
        </w:tc>
        <w:tc>
          <w:tcPr>
            <w:tcW w:w="1152" w:type="dxa"/>
          </w:tcPr>
          <w:p w14:paraId="6F22E8A3" w14:textId="77777777" w:rsidR="00A02BD8" w:rsidRDefault="00000000">
            <w:r>
              <w:rPr>
                <w:sz w:val="20"/>
              </w:rPr>
              <w:t>4.71 s</w:t>
            </w:r>
          </w:p>
        </w:tc>
      </w:tr>
      <w:tr w:rsidR="00A02BD8" w14:paraId="110F9873" w14:textId="77777777">
        <w:trPr>
          <w:jc w:val="center"/>
        </w:trPr>
        <w:tc>
          <w:tcPr>
            <w:tcW w:w="576" w:type="dxa"/>
          </w:tcPr>
          <w:p w14:paraId="214C6CF8" w14:textId="77777777" w:rsidR="00A02BD8" w:rsidRDefault="00000000">
            <w:r>
              <w:rPr>
                <w:sz w:val="20"/>
              </w:rPr>
              <w:t>4</w:t>
            </w:r>
          </w:p>
        </w:tc>
        <w:tc>
          <w:tcPr>
            <w:tcW w:w="1872" w:type="dxa"/>
          </w:tcPr>
          <w:p w14:paraId="0BFD244A" w14:textId="77777777" w:rsidR="00A02BD8" w:rsidRDefault="00000000">
            <w:r>
              <w:rPr>
                <w:sz w:val="20"/>
              </w:rPr>
              <w:t>revise_draft</w:t>
            </w:r>
          </w:p>
        </w:tc>
        <w:tc>
          <w:tcPr>
            <w:tcW w:w="5904" w:type="dxa"/>
          </w:tcPr>
          <w:p w14:paraId="0965D539" w14:textId="77777777" w:rsidR="00A02BD8" w:rsidRDefault="00000000">
            <w:r>
              <w:rPr>
                <w:sz w:val="20"/>
              </w:rPr>
              <w:t>Not triggered — the first-pass draft was already compliant.</w:t>
            </w:r>
          </w:p>
        </w:tc>
        <w:tc>
          <w:tcPr>
            <w:tcW w:w="1152" w:type="dxa"/>
          </w:tcPr>
          <w:p w14:paraId="22B190E0" w14:textId="77777777" w:rsidR="00A02BD8" w:rsidRDefault="00000000">
            <w:r>
              <w:rPr>
                <w:sz w:val="20"/>
              </w:rPr>
              <w:t>—</w:t>
            </w:r>
          </w:p>
        </w:tc>
      </w:tr>
      <w:tr w:rsidR="00A02BD8" w14:paraId="33716656" w14:textId="77777777">
        <w:trPr>
          <w:jc w:val="center"/>
        </w:trPr>
        <w:tc>
          <w:tcPr>
            <w:tcW w:w="576" w:type="dxa"/>
          </w:tcPr>
          <w:p w14:paraId="1E583AA9" w14:textId="77777777" w:rsidR="00A02BD8" w:rsidRDefault="00000000">
            <w:r>
              <w:rPr>
                <w:sz w:val="20"/>
              </w:rPr>
              <w:t>5</w:t>
            </w:r>
          </w:p>
        </w:tc>
        <w:tc>
          <w:tcPr>
            <w:tcW w:w="1872" w:type="dxa"/>
          </w:tcPr>
          <w:p w14:paraId="39CF38CA" w14:textId="77777777" w:rsidR="00A02BD8" w:rsidRDefault="00000000">
            <w:r>
              <w:rPr>
                <w:sz w:val="20"/>
              </w:rPr>
              <w:t>final_synthesis</w:t>
            </w:r>
          </w:p>
        </w:tc>
        <w:tc>
          <w:tcPr>
            <w:tcW w:w="5904" w:type="dxa"/>
          </w:tcPr>
          <w:p w14:paraId="5DC27D97" w14:textId="77777777" w:rsidR="00A02BD8" w:rsidRDefault="00000000">
            <w:r>
              <w:rPr>
                <w:sz w:val="20"/>
              </w:rPr>
              <w:t>Assembled the final three-section client report (Quantitative Metrics / Manager Strategy Commentary / Compliance Disclosures).</w:t>
            </w:r>
          </w:p>
        </w:tc>
        <w:tc>
          <w:tcPr>
            <w:tcW w:w="1152" w:type="dxa"/>
          </w:tcPr>
          <w:p w14:paraId="0958EC64" w14:textId="77777777" w:rsidR="00A02BD8" w:rsidRDefault="00000000">
            <w:r>
              <w:rPr>
                <w:sz w:val="20"/>
              </w:rPr>
              <w:t>2.12 s</w:t>
            </w:r>
          </w:p>
        </w:tc>
      </w:tr>
    </w:tbl>
    <w:p w14:paraId="206FB8F3" w14:textId="77777777" w:rsidR="00A02BD8" w:rsidRDefault="00A02BD8"/>
    <w:p w14:paraId="79171598" w14:textId="77777777" w:rsidR="00A02BD8" w:rsidRDefault="00000000">
      <w:pPr>
        <w:pStyle w:val="Heading2"/>
      </w:pPr>
      <w:bookmarkStart w:id="35" w:name="_Toc234670595"/>
      <w:r>
        <w:t>8.3 Result</w:t>
      </w:r>
      <w:bookmarkEnd w:id="35"/>
    </w:p>
    <w:tbl>
      <w:tblPr>
        <w:tblStyle w:val="TableGrid"/>
        <w:tblW w:w="0" w:type="auto"/>
        <w:jc w:val="center"/>
        <w:tblLook w:val="04A0" w:firstRow="1" w:lastRow="0" w:firstColumn="1" w:lastColumn="0" w:noHBand="0" w:noVBand="1"/>
      </w:tblPr>
      <w:tblGrid>
        <w:gridCol w:w="3513"/>
        <w:gridCol w:w="5343"/>
      </w:tblGrid>
      <w:tr w:rsidR="00A02BD8" w14:paraId="3765D66B" w14:textId="77777777">
        <w:trPr>
          <w:jc w:val="center"/>
        </w:trPr>
        <w:tc>
          <w:tcPr>
            <w:tcW w:w="3744" w:type="dxa"/>
            <w:shd w:val="clear" w:color="auto" w:fill="1F3A5F"/>
          </w:tcPr>
          <w:p w14:paraId="05A467D3" w14:textId="77777777" w:rsidR="00A02BD8" w:rsidRDefault="00000000">
            <w:r>
              <w:rPr>
                <w:b/>
                <w:color w:val="FFFFFF"/>
                <w:sz w:val="20"/>
              </w:rPr>
              <w:t>Metric</w:t>
            </w:r>
          </w:p>
        </w:tc>
        <w:tc>
          <w:tcPr>
            <w:tcW w:w="5760" w:type="dxa"/>
            <w:shd w:val="clear" w:color="auto" w:fill="1F3A5F"/>
          </w:tcPr>
          <w:p w14:paraId="0F2FCA05" w14:textId="77777777" w:rsidR="00A02BD8" w:rsidRDefault="00000000">
            <w:r>
              <w:rPr>
                <w:b/>
                <w:color w:val="FFFFFF"/>
                <w:sz w:val="20"/>
              </w:rPr>
              <w:t>Result</w:t>
            </w:r>
          </w:p>
        </w:tc>
      </w:tr>
      <w:tr w:rsidR="00A02BD8" w14:paraId="7C16B11A" w14:textId="77777777">
        <w:trPr>
          <w:jc w:val="center"/>
        </w:trPr>
        <w:tc>
          <w:tcPr>
            <w:tcW w:w="3744" w:type="dxa"/>
          </w:tcPr>
          <w:p w14:paraId="58DF8DFA" w14:textId="77777777" w:rsidR="00A02BD8" w:rsidRDefault="00000000">
            <w:r>
              <w:rPr>
                <w:sz w:val="20"/>
              </w:rPr>
              <w:t>Total end-to-end time</w:t>
            </w:r>
          </w:p>
        </w:tc>
        <w:tc>
          <w:tcPr>
            <w:tcW w:w="5760" w:type="dxa"/>
          </w:tcPr>
          <w:p w14:paraId="13569820" w14:textId="77777777" w:rsidR="00A02BD8" w:rsidRDefault="00000000">
            <w:r>
              <w:rPr>
                <w:sz w:val="20"/>
              </w:rPr>
              <w:t>11.64 seconds</w:t>
            </w:r>
          </w:p>
        </w:tc>
      </w:tr>
      <w:tr w:rsidR="00A02BD8" w14:paraId="1C45CEA1" w14:textId="77777777">
        <w:trPr>
          <w:jc w:val="center"/>
        </w:trPr>
        <w:tc>
          <w:tcPr>
            <w:tcW w:w="3744" w:type="dxa"/>
          </w:tcPr>
          <w:p w14:paraId="0D953C77" w14:textId="77777777" w:rsidR="00A02BD8" w:rsidRDefault="00000000">
            <w:r>
              <w:rPr>
                <w:sz w:val="20"/>
              </w:rPr>
              <w:t>Compliance attempts needed</w:t>
            </w:r>
          </w:p>
        </w:tc>
        <w:tc>
          <w:tcPr>
            <w:tcW w:w="5760" w:type="dxa"/>
          </w:tcPr>
          <w:p w14:paraId="313D6B30" w14:textId="77777777" w:rsidR="00A02BD8" w:rsidRDefault="00000000">
            <w:r>
              <w:rPr>
                <w:sz w:val="20"/>
              </w:rPr>
              <w:t>1 (approved on first pass)</w:t>
            </w:r>
          </w:p>
        </w:tc>
      </w:tr>
      <w:tr w:rsidR="00A02BD8" w14:paraId="2E17AC2B" w14:textId="77777777">
        <w:trPr>
          <w:jc w:val="center"/>
        </w:trPr>
        <w:tc>
          <w:tcPr>
            <w:tcW w:w="3744" w:type="dxa"/>
          </w:tcPr>
          <w:p w14:paraId="3D14C730" w14:textId="77777777" w:rsidR="00A02BD8" w:rsidRDefault="00000000">
            <w:r>
              <w:rPr>
                <w:sz w:val="20"/>
              </w:rPr>
              <w:t>Escalated to manual review?</w:t>
            </w:r>
          </w:p>
        </w:tc>
        <w:tc>
          <w:tcPr>
            <w:tcW w:w="5760" w:type="dxa"/>
          </w:tcPr>
          <w:p w14:paraId="612A47F7" w14:textId="77777777" w:rsidR="00A02BD8" w:rsidRDefault="00000000">
            <w:r>
              <w:rPr>
                <w:sz w:val="20"/>
              </w:rPr>
              <w:t>No</w:t>
            </w:r>
          </w:p>
        </w:tc>
      </w:tr>
      <w:tr w:rsidR="00A02BD8" w14:paraId="1EFAA030" w14:textId="77777777">
        <w:trPr>
          <w:jc w:val="center"/>
        </w:trPr>
        <w:tc>
          <w:tcPr>
            <w:tcW w:w="3744" w:type="dxa"/>
          </w:tcPr>
          <w:p w14:paraId="5D34B480" w14:textId="77777777" w:rsidR="00A02BD8" w:rsidRDefault="00000000">
            <w:r>
              <w:rPr>
                <w:sz w:val="20"/>
              </w:rPr>
              <w:t>Data accuracy</w:t>
            </w:r>
          </w:p>
        </w:tc>
        <w:tc>
          <w:tcPr>
            <w:tcW w:w="5760" w:type="dxa"/>
          </w:tcPr>
          <w:p w14:paraId="49FD8C42" w14:textId="77777777" w:rsidR="00A02BD8" w:rsidRDefault="00000000">
            <w:r>
              <w:rPr>
                <w:sz w:val="20"/>
              </w:rPr>
              <w:t xml:space="preserve">Every figure traced exactly to the governed source data — zero </w:t>
            </w:r>
            <w:r>
              <w:rPr>
                <w:sz w:val="20"/>
              </w:rPr>
              <w:lastRenderedPageBreak/>
              <w:t>fabrication</w:t>
            </w:r>
          </w:p>
        </w:tc>
      </w:tr>
    </w:tbl>
    <w:p w14:paraId="0FE00D9C" w14:textId="77777777" w:rsidR="00A02BD8" w:rsidRDefault="00A02BD8"/>
    <w:p w14:paraId="2176C7AE" w14:textId="77777777" w:rsidR="00A02BD8" w:rsidRDefault="00000000">
      <w:r>
        <w:t>For comparison, the equivalent query on a free, local, CPU-only model has taken 5–10+ minutes in prior testing on this same system — the agent orchestration logic is identical; only the model provider changes. This is the concrete, measured basis for the cost/time analysis in Section 9.</w:t>
      </w:r>
    </w:p>
    <w:p w14:paraId="64D725EA" w14:textId="77777777" w:rsidR="00A02BD8" w:rsidRDefault="00000000">
      <w:r>
        <w:br w:type="page"/>
      </w:r>
    </w:p>
    <w:p w14:paraId="2CD67BB1" w14:textId="77777777" w:rsidR="00A02BD8" w:rsidRDefault="00000000">
      <w:pPr>
        <w:pStyle w:val="Heading1"/>
      </w:pPr>
      <w:bookmarkStart w:id="36" w:name="_Toc234670596"/>
      <w:r>
        <w:lastRenderedPageBreak/>
        <w:t>9. Business Value — Cost &amp; Human Work-Hours Savings</w:t>
      </w:r>
      <w:bookmarkEnd w:id="36"/>
    </w:p>
    <w:p w14:paraId="3B540E8A" w14:textId="77777777" w:rsidR="00A02BD8" w:rsidRDefault="00000000">
      <w:r>
        <w:t>The figures below are an illustrative ROI model built on reasonable, clearly stated assumptions about a mid-sized AMC's RFP workload. They are intended as a decision-support framework, not an audited financial projection — actual savings should be validated against the specific AMC's real RFP volume, staff allocation, and loaded labour cost.</w:t>
      </w:r>
    </w:p>
    <w:p w14:paraId="22BEAAC9" w14:textId="77777777" w:rsidR="00A02BD8" w:rsidRDefault="00000000">
      <w:pPr>
        <w:pStyle w:val="Heading2"/>
      </w:pPr>
      <w:bookmarkStart w:id="37" w:name="_Toc234670597"/>
      <w:r>
        <w:t>9.1 Baseline: Manual Process (Today)</w:t>
      </w:r>
      <w:bookmarkEnd w:id="37"/>
    </w:p>
    <w:tbl>
      <w:tblPr>
        <w:tblStyle w:val="TableGrid"/>
        <w:tblW w:w="0" w:type="auto"/>
        <w:jc w:val="center"/>
        <w:tblLook w:val="04A0" w:firstRow="1" w:lastRow="0" w:firstColumn="1" w:lastColumn="0" w:noHBand="0" w:noVBand="1"/>
      </w:tblPr>
      <w:tblGrid>
        <w:gridCol w:w="4130"/>
        <w:gridCol w:w="1889"/>
        <w:gridCol w:w="2837"/>
      </w:tblGrid>
      <w:tr w:rsidR="00A02BD8" w14:paraId="30925215" w14:textId="77777777">
        <w:trPr>
          <w:jc w:val="center"/>
        </w:trPr>
        <w:tc>
          <w:tcPr>
            <w:tcW w:w="4464" w:type="dxa"/>
            <w:shd w:val="clear" w:color="auto" w:fill="1F3A5F"/>
          </w:tcPr>
          <w:p w14:paraId="07AAB505" w14:textId="77777777" w:rsidR="00A02BD8" w:rsidRDefault="00000000">
            <w:r>
              <w:rPr>
                <w:b/>
                <w:color w:val="FFFFFF"/>
                <w:sz w:val="20"/>
              </w:rPr>
              <w:t>Activity</w:t>
            </w:r>
          </w:p>
        </w:tc>
        <w:tc>
          <w:tcPr>
            <w:tcW w:w="2016" w:type="dxa"/>
            <w:shd w:val="clear" w:color="auto" w:fill="1F3A5F"/>
          </w:tcPr>
          <w:p w14:paraId="3AEF25AF" w14:textId="77777777" w:rsidR="00A02BD8" w:rsidRDefault="00000000">
            <w:r>
              <w:rPr>
                <w:b/>
                <w:color w:val="FFFFFF"/>
                <w:sz w:val="20"/>
              </w:rPr>
              <w:t>Typical Time</w:t>
            </w:r>
          </w:p>
        </w:tc>
        <w:tc>
          <w:tcPr>
            <w:tcW w:w="3024" w:type="dxa"/>
            <w:shd w:val="clear" w:color="auto" w:fill="1F3A5F"/>
          </w:tcPr>
          <w:p w14:paraId="03856C24" w14:textId="77777777" w:rsidR="00A02BD8" w:rsidRDefault="00000000">
            <w:r>
              <w:rPr>
                <w:b/>
                <w:color w:val="FFFFFF"/>
                <w:sz w:val="20"/>
              </w:rPr>
              <w:t>Typical Owner</w:t>
            </w:r>
          </w:p>
        </w:tc>
      </w:tr>
      <w:tr w:rsidR="00A02BD8" w14:paraId="75D4B573" w14:textId="77777777">
        <w:trPr>
          <w:jc w:val="center"/>
        </w:trPr>
        <w:tc>
          <w:tcPr>
            <w:tcW w:w="4464" w:type="dxa"/>
          </w:tcPr>
          <w:p w14:paraId="7863C186" w14:textId="77777777" w:rsidR="00A02BD8" w:rsidRDefault="00000000">
            <w:r>
              <w:rPr>
                <w:sz w:val="20"/>
              </w:rPr>
              <w:t>Gather quantitative metrics across systems</w:t>
            </w:r>
          </w:p>
        </w:tc>
        <w:tc>
          <w:tcPr>
            <w:tcW w:w="2016" w:type="dxa"/>
          </w:tcPr>
          <w:p w14:paraId="26041FFA" w14:textId="77777777" w:rsidR="00A02BD8" w:rsidRDefault="00000000">
            <w:r>
              <w:rPr>
                <w:sz w:val="20"/>
              </w:rPr>
              <w:t>0.5 – 1.0 hrs</w:t>
            </w:r>
          </w:p>
        </w:tc>
        <w:tc>
          <w:tcPr>
            <w:tcW w:w="3024" w:type="dxa"/>
          </w:tcPr>
          <w:p w14:paraId="074B7BB0" w14:textId="77777777" w:rsidR="00A02BD8" w:rsidRDefault="00000000">
            <w:r>
              <w:rPr>
                <w:sz w:val="20"/>
              </w:rPr>
              <w:t>Portfolio / Data Analyst</w:t>
            </w:r>
          </w:p>
        </w:tc>
      </w:tr>
      <w:tr w:rsidR="00A02BD8" w14:paraId="53176C29" w14:textId="77777777">
        <w:trPr>
          <w:jc w:val="center"/>
        </w:trPr>
        <w:tc>
          <w:tcPr>
            <w:tcW w:w="4464" w:type="dxa"/>
          </w:tcPr>
          <w:p w14:paraId="7C41E48D" w14:textId="77777777" w:rsidR="00A02BD8" w:rsidRDefault="00000000">
            <w:r>
              <w:rPr>
                <w:sz w:val="20"/>
              </w:rPr>
              <w:t>Retrieve &amp; read qualitative commentary</w:t>
            </w:r>
          </w:p>
        </w:tc>
        <w:tc>
          <w:tcPr>
            <w:tcW w:w="2016" w:type="dxa"/>
          </w:tcPr>
          <w:p w14:paraId="06E9E518" w14:textId="77777777" w:rsidR="00A02BD8" w:rsidRDefault="00000000">
            <w:r>
              <w:rPr>
                <w:sz w:val="20"/>
              </w:rPr>
              <w:t>0.5 – 1.0 hrs</w:t>
            </w:r>
          </w:p>
        </w:tc>
        <w:tc>
          <w:tcPr>
            <w:tcW w:w="3024" w:type="dxa"/>
          </w:tcPr>
          <w:p w14:paraId="56068489" w14:textId="77777777" w:rsidR="00A02BD8" w:rsidRDefault="00000000">
            <w:r>
              <w:rPr>
                <w:sz w:val="20"/>
              </w:rPr>
              <w:t>Portfolio Analyst</w:t>
            </w:r>
          </w:p>
        </w:tc>
      </w:tr>
      <w:tr w:rsidR="00A02BD8" w14:paraId="46703120" w14:textId="77777777">
        <w:trPr>
          <w:jc w:val="center"/>
        </w:trPr>
        <w:tc>
          <w:tcPr>
            <w:tcW w:w="4464" w:type="dxa"/>
          </w:tcPr>
          <w:p w14:paraId="449D4C6B" w14:textId="77777777" w:rsidR="00A02BD8" w:rsidRDefault="00000000">
            <w:r>
              <w:rPr>
                <w:sz w:val="20"/>
              </w:rPr>
              <w:t>Draft the response</w:t>
            </w:r>
          </w:p>
        </w:tc>
        <w:tc>
          <w:tcPr>
            <w:tcW w:w="2016" w:type="dxa"/>
          </w:tcPr>
          <w:p w14:paraId="61897172" w14:textId="77777777" w:rsidR="00A02BD8" w:rsidRDefault="00000000">
            <w:r>
              <w:rPr>
                <w:sz w:val="20"/>
              </w:rPr>
              <w:t>1.0 – 1.5 hrs</w:t>
            </w:r>
          </w:p>
        </w:tc>
        <w:tc>
          <w:tcPr>
            <w:tcW w:w="3024" w:type="dxa"/>
          </w:tcPr>
          <w:p w14:paraId="70D214AD" w14:textId="77777777" w:rsidR="00A02BD8" w:rsidRDefault="00000000">
            <w:r>
              <w:rPr>
                <w:sz w:val="20"/>
              </w:rPr>
              <w:t>Relationship Manager / Analyst</w:t>
            </w:r>
          </w:p>
        </w:tc>
      </w:tr>
      <w:tr w:rsidR="00A02BD8" w14:paraId="2C696CAE" w14:textId="77777777">
        <w:trPr>
          <w:jc w:val="center"/>
        </w:trPr>
        <w:tc>
          <w:tcPr>
            <w:tcW w:w="4464" w:type="dxa"/>
          </w:tcPr>
          <w:p w14:paraId="59197144" w14:textId="77777777" w:rsidR="00A02BD8" w:rsidRDefault="00000000">
            <w:r>
              <w:rPr>
                <w:sz w:val="20"/>
              </w:rPr>
              <w:t>Compliance review &amp; requested edits (often 1–2 cycles)</w:t>
            </w:r>
          </w:p>
        </w:tc>
        <w:tc>
          <w:tcPr>
            <w:tcW w:w="2016" w:type="dxa"/>
          </w:tcPr>
          <w:p w14:paraId="401B12F9" w14:textId="77777777" w:rsidR="00A02BD8" w:rsidRDefault="00000000">
            <w:r>
              <w:rPr>
                <w:sz w:val="20"/>
              </w:rPr>
              <w:t>1.0 – 2.0 hrs</w:t>
            </w:r>
          </w:p>
        </w:tc>
        <w:tc>
          <w:tcPr>
            <w:tcW w:w="3024" w:type="dxa"/>
          </w:tcPr>
          <w:p w14:paraId="69B3A90E" w14:textId="77777777" w:rsidR="00A02BD8" w:rsidRDefault="00000000">
            <w:r>
              <w:rPr>
                <w:sz w:val="20"/>
              </w:rPr>
              <w:t>Compliance Officer</w:t>
            </w:r>
          </w:p>
        </w:tc>
      </w:tr>
      <w:tr w:rsidR="00A02BD8" w14:paraId="1CDE7B66" w14:textId="77777777">
        <w:trPr>
          <w:jc w:val="center"/>
        </w:trPr>
        <w:tc>
          <w:tcPr>
            <w:tcW w:w="4464" w:type="dxa"/>
          </w:tcPr>
          <w:p w14:paraId="637B2CF2" w14:textId="77777777" w:rsidR="00A02BD8" w:rsidRDefault="00000000">
            <w:r>
              <w:rPr>
                <w:sz w:val="20"/>
              </w:rPr>
              <w:t>Final polish &amp; sign-off</w:t>
            </w:r>
          </w:p>
        </w:tc>
        <w:tc>
          <w:tcPr>
            <w:tcW w:w="2016" w:type="dxa"/>
          </w:tcPr>
          <w:p w14:paraId="077822AC" w14:textId="77777777" w:rsidR="00A02BD8" w:rsidRDefault="00000000">
            <w:r>
              <w:rPr>
                <w:sz w:val="20"/>
              </w:rPr>
              <w:t>0.5 hrs</w:t>
            </w:r>
          </w:p>
        </w:tc>
        <w:tc>
          <w:tcPr>
            <w:tcW w:w="3024" w:type="dxa"/>
          </w:tcPr>
          <w:p w14:paraId="26D6E366" w14:textId="77777777" w:rsidR="00A02BD8" w:rsidRDefault="00000000">
            <w:r>
              <w:rPr>
                <w:sz w:val="20"/>
              </w:rPr>
              <w:t>Relationship Manager</w:t>
            </w:r>
          </w:p>
        </w:tc>
      </w:tr>
    </w:tbl>
    <w:p w14:paraId="1E30CC80" w14:textId="77777777" w:rsidR="00A02BD8" w:rsidRDefault="00A02BD8"/>
    <w:p w14:paraId="5122192D" w14:textId="77777777" w:rsidR="00A02BD8" w:rsidRDefault="00000000">
      <w:r>
        <w:t>Illustrative total: roughly 3.5 – 6.0 person-hours of specialised staff time per RFP question, frequently spread across multiple business days due to hand-offs between roles.</w:t>
      </w:r>
    </w:p>
    <w:p w14:paraId="242CA28D" w14:textId="77777777" w:rsidR="00A02BD8" w:rsidRDefault="00000000">
      <w:pPr>
        <w:pStyle w:val="Heading2"/>
      </w:pPr>
      <w:bookmarkStart w:id="38" w:name="_Toc234670598"/>
      <w:r>
        <w:t>9.2 With the AMC RFP &amp; Portfolio Insight Orchestrator</w:t>
      </w:r>
      <w:bookmarkEnd w:id="38"/>
    </w:p>
    <w:tbl>
      <w:tblPr>
        <w:tblStyle w:val="TableGrid"/>
        <w:tblW w:w="0" w:type="auto"/>
        <w:jc w:val="center"/>
        <w:tblLook w:val="04A0" w:firstRow="1" w:lastRow="0" w:firstColumn="1" w:lastColumn="0" w:noHBand="0" w:noVBand="1"/>
      </w:tblPr>
      <w:tblGrid>
        <w:gridCol w:w="4117"/>
        <w:gridCol w:w="1897"/>
        <w:gridCol w:w="2842"/>
      </w:tblGrid>
      <w:tr w:rsidR="00A02BD8" w14:paraId="33448C7D" w14:textId="77777777">
        <w:trPr>
          <w:jc w:val="center"/>
        </w:trPr>
        <w:tc>
          <w:tcPr>
            <w:tcW w:w="4464" w:type="dxa"/>
            <w:shd w:val="clear" w:color="auto" w:fill="1F3A5F"/>
          </w:tcPr>
          <w:p w14:paraId="5F64AE79" w14:textId="77777777" w:rsidR="00A02BD8" w:rsidRDefault="00000000">
            <w:r>
              <w:rPr>
                <w:b/>
                <w:color w:val="FFFFFF"/>
                <w:sz w:val="20"/>
              </w:rPr>
              <w:t>Activity</w:t>
            </w:r>
          </w:p>
        </w:tc>
        <w:tc>
          <w:tcPr>
            <w:tcW w:w="2016" w:type="dxa"/>
            <w:shd w:val="clear" w:color="auto" w:fill="1F3A5F"/>
          </w:tcPr>
          <w:p w14:paraId="34863B17" w14:textId="77777777" w:rsidR="00A02BD8" w:rsidRDefault="00000000">
            <w:r>
              <w:rPr>
                <w:b/>
                <w:color w:val="FFFFFF"/>
                <w:sz w:val="20"/>
              </w:rPr>
              <w:t>Typical Time</w:t>
            </w:r>
          </w:p>
        </w:tc>
        <w:tc>
          <w:tcPr>
            <w:tcW w:w="3024" w:type="dxa"/>
            <w:shd w:val="clear" w:color="auto" w:fill="1F3A5F"/>
          </w:tcPr>
          <w:p w14:paraId="1C95A0BF" w14:textId="77777777" w:rsidR="00A02BD8" w:rsidRDefault="00000000">
            <w:r>
              <w:rPr>
                <w:b/>
                <w:color w:val="FFFFFF"/>
                <w:sz w:val="20"/>
              </w:rPr>
              <w:t>Typical Owner</w:t>
            </w:r>
          </w:p>
        </w:tc>
      </w:tr>
      <w:tr w:rsidR="00A02BD8" w14:paraId="626CB878" w14:textId="77777777">
        <w:trPr>
          <w:jc w:val="center"/>
        </w:trPr>
        <w:tc>
          <w:tcPr>
            <w:tcW w:w="4464" w:type="dxa"/>
          </w:tcPr>
          <w:p w14:paraId="67CE6DBA" w14:textId="77777777" w:rsidR="00A02BD8" w:rsidRDefault="00000000">
            <w:r>
              <w:rPr>
                <w:sz w:val="20"/>
              </w:rPr>
              <w:t>Automated data retrieval, drafting, and compliance self-correction</w:t>
            </w:r>
          </w:p>
        </w:tc>
        <w:tc>
          <w:tcPr>
            <w:tcW w:w="2016" w:type="dxa"/>
          </w:tcPr>
          <w:p w14:paraId="75545BFF" w14:textId="77777777" w:rsidR="00A02BD8" w:rsidRDefault="00000000">
            <w:r>
              <w:rPr>
                <w:sz w:val="20"/>
              </w:rPr>
              <w:t>Seconds to ~2 minutes</w:t>
            </w:r>
          </w:p>
        </w:tc>
        <w:tc>
          <w:tcPr>
            <w:tcW w:w="3024" w:type="dxa"/>
          </w:tcPr>
          <w:p w14:paraId="405A4743" w14:textId="77777777" w:rsidR="00A02BD8" w:rsidRDefault="00000000">
            <w:r>
              <w:rPr>
                <w:sz w:val="20"/>
              </w:rPr>
              <w:t>The system (unattended)</w:t>
            </w:r>
          </w:p>
        </w:tc>
      </w:tr>
      <w:tr w:rsidR="00A02BD8" w14:paraId="383606E1" w14:textId="77777777">
        <w:trPr>
          <w:jc w:val="center"/>
        </w:trPr>
        <w:tc>
          <w:tcPr>
            <w:tcW w:w="4464" w:type="dxa"/>
          </w:tcPr>
          <w:p w14:paraId="7FEDB958" w14:textId="77777777" w:rsidR="00A02BD8" w:rsidRDefault="00000000">
            <w:r>
              <w:rPr>
                <w:sz w:val="20"/>
              </w:rPr>
              <w:t>Human review &amp; final sign-off of an already-compliant draft</w:t>
            </w:r>
          </w:p>
        </w:tc>
        <w:tc>
          <w:tcPr>
            <w:tcW w:w="2016" w:type="dxa"/>
          </w:tcPr>
          <w:p w14:paraId="5DEC586F" w14:textId="77777777" w:rsidR="00A02BD8" w:rsidRDefault="00000000">
            <w:r>
              <w:rPr>
                <w:sz w:val="20"/>
              </w:rPr>
              <w:t>5 – 15 minutes</w:t>
            </w:r>
          </w:p>
        </w:tc>
        <w:tc>
          <w:tcPr>
            <w:tcW w:w="3024" w:type="dxa"/>
          </w:tcPr>
          <w:p w14:paraId="4F0970B7" w14:textId="77777777" w:rsidR="00A02BD8" w:rsidRDefault="00000000">
            <w:r>
              <w:rPr>
                <w:sz w:val="20"/>
              </w:rPr>
              <w:t>Relationship Manager / Compliance Officer (spot-check, not first-draft authoring)</w:t>
            </w:r>
          </w:p>
        </w:tc>
      </w:tr>
    </w:tbl>
    <w:p w14:paraId="0BB2BCE2" w14:textId="77777777" w:rsidR="00A02BD8" w:rsidRDefault="00A02BD8"/>
    <w:p w14:paraId="6304E717" w14:textId="77777777" w:rsidR="00A02BD8" w:rsidRDefault="00000000">
      <w:r>
        <w:t>Illustrative total: roughly 0.1 – 0.3 person-hours of human time per RFP question — a reduction of approximately 90–95% in specialised staff time per request, with the response itself available for review in seconds to low minutes instead of days.</w:t>
      </w:r>
    </w:p>
    <w:p w14:paraId="4E225803" w14:textId="77777777" w:rsidR="00A02BD8" w:rsidRDefault="00000000">
      <w:pPr>
        <w:pStyle w:val="Heading2"/>
      </w:pPr>
      <w:bookmarkStart w:id="39" w:name="_Toc234670599"/>
      <w:r>
        <w:lastRenderedPageBreak/>
        <w:t>9.3 Illustrative Annualised Impact</w:t>
      </w:r>
      <w:bookmarkEnd w:id="39"/>
    </w:p>
    <w:p w14:paraId="16975232" w14:textId="77777777" w:rsidR="00A02BD8" w:rsidRDefault="00000000">
      <w:r>
        <w:t>Using a conservative illustrative volume and a blended fully-loaded hourly cost for compliance/analyst staff:</w:t>
      </w:r>
    </w:p>
    <w:tbl>
      <w:tblPr>
        <w:tblStyle w:val="TableGrid"/>
        <w:tblW w:w="0" w:type="auto"/>
        <w:jc w:val="center"/>
        <w:tblLook w:val="04A0" w:firstRow="1" w:lastRow="0" w:firstColumn="1" w:lastColumn="0" w:noHBand="0" w:noVBand="1"/>
      </w:tblPr>
      <w:tblGrid>
        <w:gridCol w:w="4560"/>
        <w:gridCol w:w="4296"/>
      </w:tblGrid>
      <w:tr w:rsidR="00A02BD8" w14:paraId="34E8F824" w14:textId="77777777">
        <w:trPr>
          <w:jc w:val="center"/>
        </w:trPr>
        <w:tc>
          <w:tcPr>
            <w:tcW w:w="4896" w:type="dxa"/>
            <w:shd w:val="clear" w:color="auto" w:fill="1F3A5F"/>
          </w:tcPr>
          <w:p w14:paraId="4638F93E" w14:textId="77777777" w:rsidR="00A02BD8" w:rsidRDefault="00000000">
            <w:r>
              <w:rPr>
                <w:b/>
                <w:color w:val="FFFFFF"/>
                <w:sz w:val="20"/>
              </w:rPr>
              <w:t>Metric</w:t>
            </w:r>
          </w:p>
        </w:tc>
        <w:tc>
          <w:tcPr>
            <w:tcW w:w="4608" w:type="dxa"/>
            <w:shd w:val="clear" w:color="auto" w:fill="1F3A5F"/>
          </w:tcPr>
          <w:p w14:paraId="12BE9864" w14:textId="77777777" w:rsidR="00A02BD8" w:rsidRDefault="00000000">
            <w:r>
              <w:rPr>
                <w:b/>
                <w:color w:val="FFFFFF"/>
                <w:sz w:val="20"/>
              </w:rPr>
              <w:t>Illustrative Value</w:t>
            </w:r>
          </w:p>
        </w:tc>
      </w:tr>
      <w:tr w:rsidR="00A02BD8" w14:paraId="5998FED3" w14:textId="77777777">
        <w:trPr>
          <w:jc w:val="center"/>
        </w:trPr>
        <w:tc>
          <w:tcPr>
            <w:tcW w:w="4896" w:type="dxa"/>
          </w:tcPr>
          <w:p w14:paraId="68843F50" w14:textId="77777777" w:rsidR="00A02BD8" w:rsidRDefault="00000000">
            <w:r>
              <w:rPr>
                <w:sz w:val="20"/>
              </w:rPr>
              <w:t>Assumed RFP / portfolio-query volume</w:t>
            </w:r>
          </w:p>
        </w:tc>
        <w:tc>
          <w:tcPr>
            <w:tcW w:w="4608" w:type="dxa"/>
          </w:tcPr>
          <w:p w14:paraId="347DCFC8" w14:textId="77777777" w:rsidR="00A02BD8" w:rsidRDefault="00000000">
            <w:r>
              <w:rPr>
                <w:sz w:val="20"/>
              </w:rPr>
              <w:t>50 requests / month (600 / year)</w:t>
            </w:r>
          </w:p>
        </w:tc>
      </w:tr>
      <w:tr w:rsidR="00A02BD8" w14:paraId="789AAD08" w14:textId="77777777">
        <w:trPr>
          <w:jc w:val="center"/>
        </w:trPr>
        <w:tc>
          <w:tcPr>
            <w:tcW w:w="4896" w:type="dxa"/>
          </w:tcPr>
          <w:p w14:paraId="5D74D651" w14:textId="77777777" w:rsidR="00A02BD8" w:rsidRDefault="00000000">
            <w:r>
              <w:rPr>
                <w:sz w:val="20"/>
              </w:rPr>
              <w:t>Assumed blended loaded staff cost</w:t>
            </w:r>
          </w:p>
        </w:tc>
        <w:tc>
          <w:tcPr>
            <w:tcW w:w="4608" w:type="dxa"/>
          </w:tcPr>
          <w:p w14:paraId="664ED051" w14:textId="77777777" w:rsidR="00A02BD8" w:rsidRDefault="00000000">
            <w:r>
              <w:rPr>
                <w:sz w:val="20"/>
              </w:rPr>
              <w:t>$90 / hour</w:t>
            </w:r>
          </w:p>
        </w:tc>
      </w:tr>
      <w:tr w:rsidR="00A02BD8" w14:paraId="0505B3A6" w14:textId="77777777">
        <w:trPr>
          <w:jc w:val="center"/>
        </w:trPr>
        <w:tc>
          <w:tcPr>
            <w:tcW w:w="4896" w:type="dxa"/>
          </w:tcPr>
          <w:p w14:paraId="60ED048A" w14:textId="77777777" w:rsidR="00A02BD8" w:rsidRDefault="00000000">
            <w:r>
              <w:rPr>
                <w:sz w:val="20"/>
              </w:rPr>
              <w:t>Manual process — hours per request (midpoint)</w:t>
            </w:r>
          </w:p>
        </w:tc>
        <w:tc>
          <w:tcPr>
            <w:tcW w:w="4608" w:type="dxa"/>
          </w:tcPr>
          <w:p w14:paraId="7FD40D0D" w14:textId="77777777" w:rsidR="00A02BD8" w:rsidRDefault="00000000">
            <w:r>
              <w:rPr>
                <w:sz w:val="20"/>
              </w:rPr>
              <w:t>~4.75 hours</w:t>
            </w:r>
          </w:p>
        </w:tc>
      </w:tr>
      <w:tr w:rsidR="00A02BD8" w14:paraId="5E32D7E5" w14:textId="77777777">
        <w:trPr>
          <w:jc w:val="center"/>
        </w:trPr>
        <w:tc>
          <w:tcPr>
            <w:tcW w:w="4896" w:type="dxa"/>
          </w:tcPr>
          <w:p w14:paraId="46C98799" w14:textId="77777777" w:rsidR="00A02BD8" w:rsidRDefault="00000000">
            <w:r>
              <w:rPr>
                <w:sz w:val="20"/>
              </w:rPr>
              <w:t>Automated process — hours per request (midpoint)</w:t>
            </w:r>
          </w:p>
        </w:tc>
        <w:tc>
          <w:tcPr>
            <w:tcW w:w="4608" w:type="dxa"/>
          </w:tcPr>
          <w:p w14:paraId="3C63DD70" w14:textId="77777777" w:rsidR="00A02BD8" w:rsidRDefault="00000000">
            <w:r>
              <w:rPr>
                <w:sz w:val="20"/>
              </w:rPr>
              <w:t>~0.2 hours</w:t>
            </w:r>
          </w:p>
        </w:tc>
      </w:tr>
      <w:tr w:rsidR="00A02BD8" w14:paraId="0958381E" w14:textId="77777777">
        <w:trPr>
          <w:jc w:val="center"/>
        </w:trPr>
        <w:tc>
          <w:tcPr>
            <w:tcW w:w="4896" w:type="dxa"/>
          </w:tcPr>
          <w:p w14:paraId="5F914D99" w14:textId="77777777" w:rsidR="00A02BD8" w:rsidRDefault="00000000">
            <w:r>
              <w:rPr>
                <w:sz w:val="20"/>
              </w:rPr>
              <w:t>Hours saved per request</w:t>
            </w:r>
          </w:p>
        </w:tc>
        <w:tc>
          <w:tcPr>
            <w:tcW w:w="4608" w:type="dxa"/>
          </w:tcPr>
          <w:p w14:paraId="645AC584" w14:textId="77777777" w:rsidR="00A02BD8" w:rsidRDefault="00000000">
            <w:r>
              <w:rPr>
                <w:sz w:val="20"/>
              </w:rPr>
              <w:t>~4.55 hours</w:t>
            </w:r>
          </w:p>
        </w:tc>
      </w:tr>
      <w:tr w:rsidR="00A02BD8" w14:paraId="38100FF6" w14:textId="77777777">
        <w:trPr>
          <w:jc w:val="center"/>
        </w:trPr>
        <w:tc>
          <w:tcPr>
            <w:tcW w:w="4896" w:type="dxa"/>
          </w:tcPr>
          <w:p w14:paraId="186D7E3D" w14:textId="77777777" w:rsidR="00A02BD8" w:rsidRDefault="00000000">
            <w:r>
              <w:rPr>
                <w:sz w:val="20"/>
              </w:rPr>
              <w:t>Hours saved per year (at assumed volume)</w:t>
            </w:r>
          </w:p>
        </w:tc>
        <w:tc>
          <w:tcPr>
            <w:tcW w:w="4608" w:type="dxa"/>
          </w:tcPr>
          <w:p w14:paraId="3B90AB80" w14:textId="77777777" w:rsidR="00A02BD8" w:rsidRDefault="00000000">
            <w:r>
              <w:rPr>
                <w:sz w:val="20"/>
              </w:rPr>
              <w:t>~2,730 hours</w:t>
            </w:r>
          </w:p>
        </w:tc>
      </w:tr>
      <w:tr w:rsidR="00A02BD8" w14:paraId="08ED390A" w14:textId="77777777">
        <w:trPr>
          <w:jc w:val="center"/>
        </w:trPr>
        <w:tc>
          <w:tcPr>
            <w:tcW w:w="4896" w:type="dxa"/>
          </w:tcPr>
          <w:p w14:paraId="5B412EA0" w14:textId="77777777" w:rsidR="00A02BD8" w:rsidRDefault="00000000">
            <w:r>
              <w:rPr>
                <w:sz w:val="20"/>
              </w:rPr>
              <w:t>Illustrative annual cost saving</w:t>
            </w:r>
          </w:p>
        </w:tc>
        <w:tc>
          <w:tcPr>
            <w:tcW w:w="4608" w:type="dxa"/>
          </w:tcPr>
          <w:p w14:paraId="6EA69D4B" w14:textId="77777777" w:rsidR="00A02BD8" w:rsidRDefault="00000000">
            <w:r>
              <w:rPr>
                <w:sz w:val="20"/>
              </w:rPr>
              <w:t>~$245,700</w:t>
            </w:r>
          </w:p>
        </w:tc>
      </w:tr>
    </w:tbl>
    <w:p w14:paraId="0FB1F29A" w14:textId="77777777" w:rsidR="00A02BD8" w:rsidRDefault="00A02BD8"/>
    <w:p w14:paraId="38B4B9BD" w14:textId="77777777" w:rsidR="00A02BD8" w:rsidRDefault="00000000">
      <w:r>
        <w:t>These figures scale linearly with actual RFP volume — an AMC handling 150 requests/month would see roughly three times this impact. Beyond direct cost, the qualitative benefits are significant: faster institutional sales-cycle turnaround, consistent compliance language across every response regardless of which analyst originally worked it, and freed-up analyst and compliance capacity that can be redirected to higher-judgement work instead of manual drafting and cross-checking.</w:t>
      </w:r>
    </w:p>
    <w:p w14:paraId="08465F8E" w14:textId="77777777" w:rsidR="00A02BD8" w:rsidRDefault="00000000">
      <w:r>
        <w:br w:type="page"/>
      </w:r>
    </w:p>
    <w:p w14:paraId="0ECC808A" w14:textId="77777777" w:rsidR="00A02BD8" w:rsidRDefault="00000000">
      <w:pPr>
        <w:pStyle w:val="Heading1"/>
      </w:pPr>
      <w:bookmarkStart w:id="40" w:name="_Toc234670600"/>
      <w:r>
        <w:lastRenderedPageBreak/>
        <w:t>10. Compliance, Risk &amp; Governance</w:t>
      </w:r>
      <w:bookmarkEnd w:id="40"/>
    </w:p>
    <w:p w14:paraId="566BD937" w14:textId="77777777" w:rsidR="00A02BD8" w:rsidRDefault="00000000">
      <w:r>
        <w:t>Given the regulated nature of investment communications, governance was treated as a first-class design requirement rather than an add-on, and is enforced structurally rather than by policy alone.</w:t>
      </w:r>
    </w:p>
    <w:p w14:paraId="0278FDD5" w14:textId="77777777" w:rsidR="00A02BD8" w:rsidRDefault="00000000">
      <w:pPr>
        <w:pStyle w:val="ListBullet"/>
      </w:pPr>
      <w:r>
        <w:rPr>
          <w:b/>
        </w:rPr>
        <w:t xml:space="preserve">Automated rubric enforcement — </w:t>
      </w:r>
      <w:r>
        <w:t>every response is checked against a five-rule compliance rubric (no guarantees, mandatory past-performance disclaimer, promissory-language flagging, hedged forward-looking statements, and balanced risk contextualisation) before it can be finalised.</w:t>
      </w:r>
    </w:p>
    <w:p w14:paraId="76AE889A" w14:textId="77777777" w:rsidR="00A02BD8" w:rsidRDefault="00000000">
      <w:pPr>
        <w:pStyle w:val="ListBullet"/>
      </w:pPr>
      <w:r>
        <w:rPr>
          <w:b/>
        </w:rPr>
        <w:t xml:space="preserve">Fail-safe by construction — </w:t>
      </w:r>
      <w:r>
        <w:t>the system's Client Reporting agent has exactly two mutually-exclusive branches — an approved report, or a fixed, pre-approved escalation message — and cannot blend the two or invent a third path.</w:t>
      </w:r>
    </w:p>
    <w:p w14:paraId="20BB6CF1" w14:textId="77777777" w:rsidR="00A02BD8" w:rsidRDefault="00000000">
      <w:pPr>
        <w:pStyle w:val="ListBullet"/>
      </w:pPr>
      <w:r>
        <w:rPr>
          <w:b/>
        </w:rPr>
        <w:t xml:space="preserve">Bounded, observable self-correction — </w:t>
      </w:r>
      <w:r>
        <w:t>the revision loop is capped at a configurable number of attempts; if compliance genuinely cannot be reached automatically, the system escalates for human review rather than guessing.</w:t>
      </w:r>
    </w:p>
    <w:p w14:paraId="514F20CF" w14:textId="77777777" w:rsidR="00A02BD8" w:rsidRDefault="00000000">
      <w:pPr>
        <w:pStyle w:val="ListBullet"/>
      </w:pPr>
      <w:r>
        <w:rPr>
          <w:b/>
        </w:rPr>
        <w:t xml:space="preserve">Full audit trail — </w:t>
      </w:r>
      <w:r>
        <w:t>every agent decision, every tool call, and every compliance verdict is captured in structured, correlated logs, enabling after-the-fact review of exactly how any given response was produced.</w:t>
      </w:r>
    </w:p>
    <w:p w14:paraId="63AA7512" w14:textId="77777777" w:rsidR="00A02BD8" w:rsidRDefault="00000000">
      <w:pPr>
        <w:pStyle w:val="ListBullet"/>
      </w:pPr>
      <w:r>
        <w:rPr>
          <w:b/>
        </w:rPr>
        <w:t xml:space="preserve">Data provenance — </w:t>
      </w:r>
      <w:r>
        <w:t>all quantitative and qualitative content is retrieved from governed systems via explicit tool calls, never generated from a model's unverified memory.</w:t>
      </w:r>
    </w:p>
    <w:p w14:paraId="1D5A2582" w14:textId="77777777" w:rsidR="00A02BD8" w:rsidRDefault="00000000">
      <w:r>
        <w:br w:type="page"/>
      </w:r>
    </w:p>
    <w:p w14:paraId="265DAA45" w14:textId="77777777" w:rsidR="00A02BD8" w:rsidRDefault="00000000">
      <w:pPr>
        <w:pStyle w:val="Heading1"/>
      </w:pPr>
      <w:bookmarkStart w:id="41" w:name="_Toc234670601"/>
      <w:r>
        <w:lastRenderedPageBreak/>
        <w:t>11. Advantages of This Agentic AI System</w:t>
      </w:r>
      <w:bookmarkEnd w:id="41"/>
    </w:p>
    <w:p w14:paraId="7259DBD3" w14:textId="77777777" w:rsidR="00A02BD8" w:rsidRDefault="00000000">
      <w:pPr>
        <w:pStyle w:val="ListBullet"/>
      </w:pPr>
      <w:r>
        <w:rPr>
          <w:b/>
        </w:rPr>
        <w:t xml:space="preserve">Speed at scale — </w:t>
      </w:r>
      <w:r>
        <w:t>responses that took hours to days can be produced, compliance-checked, and formatted in seconds to low minutes.</w:t>
      </w:r>
    </w:p>
    <w:p w14:paraId="7C5327C8" w14:textId="77777777" w:rsidR="00A02BD8" w:rsidRDefault="00000000">
      <w:pPr>
        <w:pStyle w:val="ListBullet"/>
      </w:pPr>
      <w:r>
        <w:rPr>
          <w:b/>
        </w:rPr>
        <w:t xml:space="preserve">Consistency — </w:t>
      </w:r>
      <w:r>
        <w:t>every response follows the same rubric and the same structure, regardless of which analyst originated the request.</w:t>
      </w:r>
    </w:p>
    <w:p w14:paraId="1D2A26DC" w14:textId="77777777" w:rsidR="00A02BD8" w:rsidRDefault="00000000">
      <w:pPr>
        <w:pStyle w:val="ListBullet"/>
      </w:pPr>
      <w:r>
        <w:rPr>
          <w:b/>
        </w:rPr>
        <w:t xml:space="preserve">Built-in governance — </w:t>
      </w:r>
      <w:r>
        <w:t>compliance is enforced automatically and cannot be bypassed, skipped, or blended with unapproved content.</w:t>
      </w:r>
    </w:p>
    <w:p w14:paraId="75217B7E" w14:textId="77777777" w:rsidR="00A02BD8" w:rsidRDefault="00000000">
      <w:pPr>
        <w:pStyle w:val="ListBullet"/>
      </w:pPr>
      <w:r>
        <w:rPr>
          <w:b/>
        </w:rPr>
        <w:t xml:space="preserve">Zero hallucination on the numbers — </w:t>
      </w:r>
      <w:r>
        <w:t>every figure is tool-retrieved from governed data, not model memory.</w:t>
      </w:r>
    </w:p>
    <w:p w14:paraId="208B8C1C" w14:textId="77777777" w:rsidR="00A02BD8" w:rsidRDefault="00000000">
      <w:pPr>
        <w:pStyle w:val="ListBullet"/>
      </w:pPr>
      <w:r>
        <w:rPr>
          <w:b/>
        </w:rPr>
        <w:t xml:space="preserve">Full auditability — </w:t>
      </w:r>
      <w:r>
        <w:t>structured, correlated logs of every agent and tool decision support compliance review and continuous improvement.</w:t>
      </w:r>
    </w:p>
    <w:p w14:paraId="248AC10D" w14:textId="77777777" w:rsidR="00A02BD8" w:rsidRDefault="00000000">
      <w:pPr>
        <w:pStyle w:val="ListBullet"/>
      </w:pPr>
      <w:r>
        <w:rPr>
          <w:b/>
        </w:rPr>
        <w:t xml:space="preserve">Provider flexibility &amp; cost control — </w:t>
      </w:r>
      <w:r>
        <w:t>the same agent logic runs on a free local model during development and on AWS Bedrock for production-grade speed and quality, selected purely by configuration.</w:t>
      </w:r>
    </w:p>
    <w:p w14:paraId="7A1CD002" w14:textId="77777777" w:rsidR="00A02BD8" w:rsidRDefault="00000000">
      <w:pPr>
        <w:pStyle w:val="ListBullet"/>
      </w:pPr>
      <w:r>
        <w:rPr>
          <w:b/>
        </w:rPr>
        <w:t xml:space="preserve">Extensibility — </w:t>
      </w:r>
      <w:r>
        <w:t>new agents (e.g., a portfolio-rebalancing analyst, an ESG-commentary agent) can be added to the graph without altering the existing agents' logic.</w:t>
      </w:r>
    </w:p>
    <w:p w14:paraId="3E64D716" w14:textId="77777777" w:rsidR="00A02BD8" w:rsidRDefault="00000000">
      <w:pPr>
        <w:pStyle w:val="ListBullet"/>
      </w:pPr>
      <w:r>
        <w:rPr>
          <w:b/>
        </w:rPr>
        <w:t xml:space="preserve">Production-ready foundation — </w:t>
      </w:r>
      <w:r>
        <w:t>built on an AWS-native, open-source framework with a clear, already-proven path from local development to enterprise-scale AWS deployment.</w:t>
      </w:r>
    </w:p>
    <w:p w14:paraId="3D9C324C" w14:textId="77777777" w:rsidR="00A02BD8" w:rsidRDefault="00000000">
      <w:r>
        <w:br w:type="page"/>
      </w:r>
    </w:p>
    <w:p w14:paraId="2C425624" w14:textId="77777777" w:rsidR="00A02BD8" w:rsidRDefault="00000000">
      <w:pPr>
        <w:pStyle w:val="Heading1"/>
      </w:pPr>
      <w:bookmarkStart w:id="42" w:name="_Toc234670602"/>
      <w:r>
        <w:lastRenderedPageBreak/>
        <w:t>12. Current Status &amp; Roadmap</w:t>
      </w:r>
      <w:bookmarkEnd w:id="42"/>
    </w:p>
    <w:p w14:paraId="07EF7654" w14:textId="77777777" w:rsidR="00A02BD8" w:rsidRDefault="00000000">
      <w:pPr>
        <w:pStyle w:val="Heading2"/>
      </w:pPr>
      <w:bookmarkStart w:id="43" w:name="_Toc234670603"/>
      <w:r>
        <w:t>12.1 Phase 01 (Development) — Complete</w:t>
      </w:r>
      <w:bookmarkEnd w:id="43"/>
    </w:p>
    <w:p w14:paraId="089B206D" w14:textId="77777777" w:rsidR="00A02BD8" w:rsidRDefault="00000000">
      <w:r>
        <w:t>All ten planned Phase 01 milestones have been delivered and are covered by an automated test suite:</w:t>
      </w:r>
    </w:p>
    <w:tbl>
      <w:tblPr>
        <w:tblStyle w:val="TableGrid"/>
        <w:tblW w:w="0" w:type="auto"/>
        <w:jc w:val="center"/>
        <w:tblLook w:val="04A0" w:firstRow="1" w:lastRow="0" w:firstColumn="1" w:lastColumn="0" w:noHBand="0" w:noVBand="1"/>
      </w:tblPr>
      <w:tblGrid>
        <w:gridCol w:w="1143"/>
        <w:gridCol w:w="7713"/>
      </w:tblGrid>
      <w:tr w:rsidR="00A02BD8" w14:paraId="49B1CF15" w14:textId="77777777">
        <w:trPr>
          <w:jc w:val="center"/>
        </w:trPr>
        <w:tc>
          <w:tcPr>
            <w:tcW w:w="1152" w:type="dxa"/>
            <w:shd w:val="clear" w:color="auto" w:fill="1F3A5F"/>
          </w:tcPr>
          <w:p w14:paraId="4237BA02" w14:textId="77777777" w:rsidR="00A02BD8" w:rsidRDefault="00000000">
            <w:r>
              <w:rPr>
                <w:b/>
                <w:color w:val="FFFFFF"/>
                <w:sz w:val="20"/>
              </w:rPr>
              <w:t>Milestone</w:t>
            </w:r>
          </w:p>
        </w:tc>
        <w:tc>
          <w:tcPr>
            <w:tcW w:w="8352" w:type="dxa"/>
            <w:shd w:val="clear" w:color="auto" w:fill="1F3A5F"/>
          </w:tcPr>
          <w:p w14:paraId="6EE7B258" w14:textId="77777777" w:rsidR="00A02BD8" w:rsidRDefault="00000000">
            <w:r>
              <w:rPr>
                <w:b/>
                <w:color w:val="FFFFFF"/>
                <w:sz w:val="20"/>
              </w:rPr>
              <w:t>Delivered Scope</w:t>
            </w:r>
          </w:p>
        </w:tc>
      </w:tr>
      <w:tr w:rsidR="00A02BD8" w14:paraId="2184EA58" w14:textId="77777777">
        <w:trPr>
          <w:jc w:val="center"/>
        </w:trPr>
        <w:tc>
          <w:tcPr>
            <w:tcW w:w="1152" w:type="dxa"/>
          </w:tcPr>
          <w:p w14:paraId="45622EDF" w14:textId="77777777" w:rsidR="00A02BD8" w:rsidRDefault="00000000">
            <w:r>
              <w:rPr>
                <w:sz w:val="20"/>
              </w:rPr>
              <w:t>M1</w:t>
            </w:r>
          </w:p>
        </w:tc>
        <w:tc>
          <w:tcPr>
            <w:tcW w:w="8352" w:type="dxa"/>
          </w:tcPr>
          <w:p w14:paraId="62ACFD79" w14:textId="77777777" w:rsidR="00A02BD8" w:rsidRDefault="00000000">
            <w:r>
              <w:rPr>
                <w:sz w:val="20"/>
              </w:rPr>
              <w:t>Project foundation, environment-aware configuration, model-provider abstraction</w:t>
            </w:r>
          </w:p>
        </w:tc>
      </w:tr>
      <w:tr w:rsidR="00A02BD8" w14:paraId="68B84297" w14:textId="77777777">
        <w:trPr>
          <w:jc w:val="center"/>
        </w:trPr>
        <w:tc>
          <w:tcPr>
            <w:tcW w:w="1152" w:type="dxa"/>
          </w:tcPr>
          <w:p w14:paraId="031EEE37" w14:textId="77777777" w:rsidR="00A02BD8" w:rsidRDefault="00000000">
            <w:r>
              <w:rPr>
                <w:sz w:val="20"/>
              </w:rPr>
              <w:t>M2</w:t>
            </w:r>
          </w:p>
        </w:tc>
        <w:tc>
          <w:tcPr>
            <w:tcW w:w="8352" w:type="dxa"/>
          </w:tcPr>
          <w:p w14:paraId="54A568F4" w14:textId="77777777" w:rsidR="00A02BD8" w:rsidRDefault="00000000">
            <w:r>
              <w:rPr>
                <w:sz w:val="20"/>
              </w:rPr>
              <w:t>Quantitative &amp; qualitative data layer (mock fund data, seeded and unit-tested)</w:t>
            </w:r>
          </w:p>
        </w:tc>
      </w:tr>
      <w:tr w:rsidR="00A02BD8" w14:paraId="2C1FA81B" w14:textId="77777777">
        <w:trPr>
          <w:jc w:val="center"/>
        </w:trPr>
        <w:tc>
          <w:tcPr>
            <w:tcW w:w="1152" w:type="dxa"/>
          </w:tcPr>
          <w:p w14:paraId="7FDF858D" w14:textId="77777777" w:rsidR="00A02BD8" w:rsidRDefault="00000000">
            <w:r>
              <w:rPr>
                <w:sz w:val="20"/>
              </w:rPr>
              <w:t>M3</w:t>
            </w:r>
          </w:p>
        </w:tc>
        <w:tc>
          <w:tcPr>
            <w:tcW w:w="8352" w:type="dxa"/>
          </w:tcPr>
          <w:p w14:paraId="3D13653D" w14:textId="77777777" w:rsidR="00A02BD8" w:rsidRDefault="00000000">
            <w:r>
              <w:rPr>
                <w:sz w:val="20"/>
              </w:rPr>
              <w:t>Tool wrappers connecting agents to the data layer</w:t>
            </w:r>
          </w:p>
        </w:tc>
      </w:tr>
      <w:tr w:rsidR="00A02BD8" w14:paraId="0116D3F3" w14:textId="77777777">
        <w:trPr>
          <w:jc w:val="center"/>
        </w:trPr>
        <w:tc>
          <w:tcPr>
            <w:tcW w:w="1152" w:type="dxa"/>
          </w:tcPr>
          <w:p w14:paraId="5580F092" w14:textId="77777777" w:rsidR="00A02BD8" w:rsidRDefault="00000000">
            <w:r>
              <w:rPr>
                <w:sz w:val="20"/>
              </w:rPr>
              <w:t>M4</w:t>
            </w:r>
          </w:p>
        </w:tc>
        <w:tc>
          <w:tcPr>
            <w:tcW w:w="8352" w:type="dxa"/>
          </w:tcPr>
          <w:p w14:paraId="4E99E5EF" w14:textId="77777777" w:rsidR="00A02BD8" w:rsidRDefault="00000000">
            <w:r>
              <w:rPr>
                <w:sz w:val="20"/>
              </w:rPr>
              <w:t>Observability foundation (structured logging, tracing) and the first working agent</w:t>
            </w:r>
          </w:p>
        </w:tc>
      </w:tr>
      <w:tr w:rsidR="00A02BD8" w14:paraId="68A61C7F" w14:textId="77777777">
        <w:trPr>
          <w:jc w:val="center"/>
        </w:trPr>
        <w:tc>
          <w:tcPr>
            <w:tcW w:w="1152" w:type="dxa"/>
          </w:tcPr>
          <w:p w14:paraId="63CDC7C0" w14:textId="77777777" w:rsidR="00A02BD8" w:rsidRDefault="00000000">
            <w:r>
              <w:rPr>
                <w:sz w:val="20"/>
              </w:rPr>
              <w:t>M5</w:t>
            </w:r>
          </w:p>
        </w:tc>
        <w:tc>
          <w:tcPr>
            <w:tcW w:w="8352" w:type="dxa"/>
          </w:tcPr>
          <w:p w14:paraId="6874EC9C" w14:textId="77777777" w:rsidR="00A02BD8" w:rsidRDefault="00000000">
            <w:r>
              <w:rPr>
                <w:sz w:val="20"/>
              </w:rPr>
              <w:t>All five specialised agents implemented and individually verified</w:t>
            </w:r>
          </w:p>
        </w:tc>
      </w:tr>
      <w:tr w:rsidR="00A02BD8" w14:paraId="641D3AF6" w14:textId="77777777">
        <w:trPr>
          <w:jc w:val="center"/>
        </w:trPr>
        <w:tc>
          <w:tcPr>
            <w:tcW w:w="1152" w:type="dxa"/>
          </w:tcPr>
          <w:p w14:paraId="47A02FB1" w14:textId="77777777" w:rsidR="00A02BD8" w:rsidRDefault="00000000">
            <w:r>
              <w:rPr>
                <w:sz w:val="20"/>
              </w:rPr>
              <w:t>M6</w:t>
            </w:r>
          </w:p>
        </w:tc>
        <w:tc>
          <w:tcPr>
            <w:tcW w:w="8352" w:type="dxa"/>
          </w:tcPr>
          <w:p w14:paraId="6752874B" w14:textId="77777777" w:rsidR="00A02BD8" w:rsidRDefault="00000000">
            <w:r>
              <w:rPr>
                <w:sz w:val="20"/>
              </w:rPr>
              <w:t>Full agent graph wired end-to-end, with a command-line interface for direct testing</w:t>
            </w:r>
          </w:p>
        </w:tc>
      </w:tr>
      <w:tr w:rsidR="00A02BD8" w14:paraId="747A1958" w14:textId="77777777">
        <w:trPr>
          <w:jc w:val="center"/>
        </w:trPr>
        <w:tc>
          <w:tcPr>
            <w:tcW w:w="1152" w:type="dxa"/>
          </w:tcPr>
          <w:p w14:paraId="506BCCBA" w14:textId="77777777" w:rsidR="00A02BD8" w:rsidRDefault="00000000">
            <w:r>
              <w:rPr>
                <w:sz w:val="20"/>
              </w:rPr>
              <w:t>M7</w:t>
            </w:r>
          </w:p>
        </w:tc>
        <w:tc>
          <w:tcPr>
            <w:tcW w:w="8352" w:type="dxa"/>
          </w:tcPr>
          <w:p w14:paraId="5299E1D9" w14:textId="77777777" w:rsidR="00A02BD8" w:rsidRDefault="00000000">
            <w:r>
              <w:rPr>
                <w:sz w:val="20"/>
              </w:rPr>
              <w:t>Reliability hardening — automatic retry on structured-output failures, resilience-tested integration suite</w:t>
            </w:r>
          </w:p>
        </w:tc>
      </w:tr>
      <w:tr w:rsidR="00A02BD8" w14:paraId="7AB74F8B" w14:textId="77777777">
        <w:trPr>
          <w:jc w:val="center"/>
        </w:trPr>
        <w:tc>
          <w:tcPr>
            <w:tcW w:w="1152" w:type="dxa"/>
          </w:tcPr>
          <w:p w14:paraId="0B2B4B2B" w14:textId="77777777" w:rsidR="00A02BD8" w:rsidRDefault="00000000">
            <w:r>
              <w:rPr>
                <w:sz w:val="20"/>
              </w:rPr>
              <w:t>M8</w:t>
            </w:r>
          </w:p>
        </w:tc>
        <w:tc>
          <w:tcPr>
            <w:tcW w:w="8352" w:type="dxa"/>
          </w:tcPr>
          <w:p w14:paraId="16EF7063" w14:textId="77777777" w:rsidR="00A02BD8" w:rsidRDefault="00000000">
            <w:r>
              <w:rPr>
                <w:sz w:val="20"/>
              </w:rPr>
              <w:t>REST API layer — submission endpoint, liveness/readiness health checks</w:t>
            </w:r>
          </w:p>
        </w:tc>
      </w:tr>
      <w:tr w:rsidR="00A02BD8" w14:paraId="51B7EE7E" w14:textId="77777777">
        <w:trPr>
          <w:jc w:val="center"/>
        </w:trPr>
        <w:tc>
          <w:tcPr>
            <w:tcW w:w="1152" w:type="dxa"/>
          </w:tcPr>
          <w:p w14:paraId="65736F92" w14:textId="77777777" w:rsidR="00A02BD8" w:rsidRDefault="00000000">
            <w:r>
              <w:rPr>
                <w:sz w:val="20"/>
              </w:rPr>
              <w:t>M9</w:t>
            </w:r>
          </w:p>
        </w:tc>
        <w:tc>
          <w:tcPr>
            <w:tcW w:w="8352" w:type="dxa"/>
          </w:tcPr>
          <w:p w14:paraId="188C196B" w14:textId="77777777" w:rsidR="00A02BD8" w:rsidRDefault="00000000">
            <w:r>
              <w:rPr>
                <w:sz w:val="20"/>
              </w:rPr>
              <w:t>Complete reference documentation — architecture, user guide, compliance rubric</w:t>
            </w:r>
          </w:p>
        </w:tc>
      </w:tr>
      <w:tr w:rsidR="00A02BD8" w14:paraId="45A2B937" w14:textId="77777777">
        <w:trPr>
          <w:jc w:val="center"/>
        </w:trPr>
        <w:tc>
          <w:tcPr>
            <w:tcW w:w="1152" w:type="dxa"/>
          </w:tcPr>
          <w:p w14:paraId="184542B3" w14:textId="77777777" w:rsidR="00A02BD8" w:rsidRDefault="00000000">
            <w:r>
              <w:rPr>
                <w:sz w:val="20"/>
              </w:rPr>
              <w:t>M10</w:t>
            </w:r>
          </w:p>
        </w:tc>
        <w:tc>
          <w:tcPr>
            <w:tcW w:w="8352" w:type="dxa"/>
          </w:tcPr>
          <w:p w14:paraId="341C8839" w14:textId="77777777" w:rsidR="00A02BD8" w:rsidRDefault="00000000">
            <w:r>
              <w:rPr>
                <w:sz w:val="20"/>
              </w:rPr>
              <w:t>Edge-case hardening — forced escalation proof, unseeded-ticker honesty proof, readiness diagnostics</w:t>
            </w:r>
          </w:p>
        </w:tc>
      </w:tr>
    </w:tbl>
    <w:p w14:paraId="0EA849E7" w14:textId="77777777" w:rsidR="00A02BD8" w:rsidRDefault="00A02BD8"/>
    <w:p w14:paraId="6927CB01" w14:textId="77777777" w:rsidR="00A02BD8" w:rsidRDefault="00000000">
      <w:pPr>
        <w:pStyle w:val="Heading2"/>
      </w:pPr>
      <w:bookmarkStart w:id="44" w:name="_Toc234670604"/>
      <w:r>
        <w:t>12.2 Post-Milestone Enhancement</w:t>
      </w:r>
      <w:bookmarkEnd w:id="44"/>
    </w:p>
    <w:p w14:paraId="36A3C606" w14:textId="77777777" w:rsidR="00A02BD8" w:rsidRDefault="00000000">
      <w:r>
        <w:t>A configurable model-provider toggle was added after the initial ten milestones, allowing the development environment to opt into AWS Bedrock on a per-run basis (rather than only in a future staging environment) for use cases where local-model latency is a constraint. This has since been verified against a real Bedrock invocation, completing in 11.64 seconds end-to-end (Section 8).</w:t>
      </w:r>
    </w:p>
    <w:p>
      <w:pPr>
        <w:pStyle w:val="Heading2"/>
      </w:pPr>
      <w:r>
        <w:t>12.3 Phase 02 (Cloud Deployment) — Dev Environment Live-Verified</w:t>
      </w:r>
    </w:p>
    <w:p>
      <w:pPr/>
      <w:r>
        <w:t>Amazon Bedrock AgentCore infrastructure for the Development environment has been provisioned end-to-end via Terraform and live-verified against real AWS for all four mock funds, with zero changes to the underlying agent logic — see Section 13 for the full account, including issues found and fixed during live deployment and the deployed Runtime's live results.</w:t>
      </w:r>
    </w:p>
    <w:p w14:paraId="43F093CB" w14:textId="77777777" w:rsidR="00A02BD8" w:rsidRDefault="00000000">
      <w:pPr>
        <w:pStyle w:val="Heading2"/>
      </w:pPr>
      <w:bookmarkStart w:id="45" w:name="_Toc234670605"/>
      <w:r>
        <w:t>12.4 Recommended Next Steps</w:t>
      </w:r>
      <w:bookmarkEnd w:id="45"/>
    </w:p>
    <w:p w14:paraId="7F62B4C0" w14:textId="77777777" w:rsidR="00A02BD8" w:rsidRDefault="00000000">
      <w:pPr>
        <w:pStyle w:val="ListBullet"/>
      </w:pPr>
      <w:r>
        <w:t>Apply the Staging and Production environments — the same Terraform modules, environment-specific configuration; both are written and structurally validated but not yet applied to real AWS accounts.</w:t>
      </w:r>
    </w:p>
    <w:p w14:paraId="08BD1A12" w14:textId="77777777" w:rsidR="00A02BD8" w:rsidRDefault="00000000">
      <w:pPr>
        <w:pStyle w:val="ListBullet"/>
      </w:pPr>
      <w:r>
        <w:t>Establish continuous-integration (CI) automation for the fast unit-test suite as a merge gate.</w:t>
      </w:r>
    </w:p>
    <w:p w14:paraId="599DE2CE" w14:textId="77777777" w:rsidR="00A02BD8" w:rsidRDefault="00000000">
      <w:pPr>
        <w:pStyle w:val="ListBullet"/>
      </w:pPr>
      <w:r>
        <w:t>Load and latency testing under realistic concurrent request volume against the deployed Runtime.</w:t>
      </w:r>
    </w:p>
    <w:p w14:paraId="1912D081" w14:textId="77777777" w:rsidR="00A02BD8" w:rsidRDefault="00000000">
      <w:pPr>
        <w:pStyle w:val="ListBullet"/>
      </w:pPr>
      <w:r>
        <w:t>Integrate the deployed AgentCore Runtime (or the REST API) into the client-facing RFP/portal workflow used by relationship managers.</w:t>
      </w:r>
    </w:p>
    <w:p w14:paraId="01D5AC46" w14:textId="77777777" w:rsidR="00A02BD8" w:rsidRDefault="00000000">
      <w:pPr>
        <w:pStyle w:val="ListBullet"/>
      </w:pPr>
      <w:r>
        <w:t>Expand the agent roster for adjacent use cases (e.g., ESG commentary, multi-fund portfolio comparison) using the same governed graph pattern.</w:t>
      </w:r>
    </w:p>
    <w:p>
      <w:pPr>
        <w:pStyle w:val="ListBullet"/>
      </w:pPr>
      <w:r>
        <w:t>Implement real tool logic behind the AgentCore Gateway targets and wire AgentCore Memory into the graph for cross-turn conversational context — both currently provisioned but placeholder/unused.</w:t>
      </w:r>
    </w:p>
    <w:p w14:paraId="7D3EB0E0" w14:textId="77777777" w:rsidR="00A02BD8" w:rsidRDefault="00000000">
      <w:r>
        <w:br w:type="page"/>
      </w:r>
    </w:p>
    <w:p>
      <w:pPr>
        <w:pStyle w:val="Heading1"/>
      </w:pPr>
      <w:r>
        <w:t>13. Phase 02: Cloud Deployment on Amazon Bedrock AgentCore</w:t>
      </w:r>
    </w:p>
    <w:p>
      <w:pPr/>
      <w:r>
        <w:t>Phase 01 validated the orchestrator's agent logic end-to-end against both a free local model and real AWS Bedrock. Phase 02 takes that same, unmodified agent logic and deploys it as a real, standalone AWS service on Amazon Bedrock AgentCore — AWS's managed runtime purpose-built for hosting production agentic systems. Every AWS resource the deployed system needs is provisioned by modular Terraform, with zero manual console steps; a small, separately-scoped set of application-code additions (a cloud-compliant HTTP entrypoint, a cloud data-layer swap, and a container image) closes the gap between the Phase 01 codebase and a real, invokable AWS resource, without changing a single line of the five agents themselves.</w:t>
      </w:r>
    </w:p>
    <w:p>
      <w:pPr>
        <w:pStyle w:val="Heading2"/>
      </w:pPr>
      <w:r>
        <w:t>13.1 Objective and Scope</w:t>
      </w:r>
    </w:p>
    <w:p>
      <w:pPr/>
      <w:r>
        <w:t>The objective of Phase 02 was to prove the system runs — for real, not just in theory — as a managed, scalable AWS service, while preserving every governance property validated in Phase 01 (grounded data, the self-correcting compliance loop, the safe-escalation guarantee). Scope was deliberately staged: infrastructure first (provisioned but inert), then the minimum application-code change needed to make it invokable, then a live build-and-deploy pass, verified resource-by-resource against real AWS — not assumed to work from a successful infrastructure plan alone.</w:t>
      </w:r>
    </w:p>
    <w:p>
      <w:pPr>
        <w:pStyle w:val="Heading2"/>
      </w:pPr>
      <w:r>
        <w:t>13.2 Cloud Architecture</w:t>
      </w:r>
    </w:p>
    <w:p>
      <w:pPr/>
      <w:r>
        <w:t>Amazon Bedrock AgentCore replaces the developer's own local server as the system's execution environment. The table below maps each system capability to the specific AWS service provisioned for it:</w:t>
      </w:r>
    </w:p>
    <w:tbl>
      <w:tblPr>
        <w:tblStyle w:val="TableGrid"/>
        <w:tblW w:type="auto" w:w="0"/>
        <w:tblLook w:firstColumn="1" w:firstRow="1" w:lastColumn="0" w:lastRow="0" w:noHBand="0" w:noVBand="1" w:val="04A0"/>
      </w:tblPr>
      <w:tblGrid>
        <w:gridCol w:w="4320"/>
        <w:gridCol w:w="4320"/>
      </w:tblGrid>
      <w:tr>
        <w:tc>
          <w:tcPr>
            <w:tcW w:type="dxa" w:w="4320"/>
          </w:tcPr>
          <w:p>
            <w:r/>
            <w:r>
              <w:rPr>
                <w:b/>
              </w:rPr>
              <w:t>Capability</w:t>
            </w:r>
          </w:p>
        </w:tc>
        <w:tc>
          <w:tcPr>
            <w:tcW w:type="dxa" w:w="4320"/>
          </w:tcPr>
          <w:p>
            <w:r/>
            <w:r>
              <w:rPr>
                <w:b/>
              </w:rPr>
              <w:t>AWS Service</w:t>
            </w:r>
          </w:p>
        </w:tc>
      </w:tr>
      <w:tr>
        <w:tc>
          <w:tcPr>
            <w:tcW w:type="dxa" w:w="4320"/>
          </w:tcPr>
          <w:p>
            <w:r>
              <w:t>Agent execution (hosting the five-agent graph)</w:t>
            </w:r>
          </w:p>
        </w:tc>
        <w:tc>
          <w:tcPr>
            <w:tcW w:type="dxa" w:w="4320"/>
          </w:tcPr>
          <w:p>
            <w:r>
              <w:t>Amazon Bedrock AgentCore Runtime — managed, serverless container hosting</w:t>
            </w:r>
          </w:p>
        </w:tc>
      </w:tr>
      <w:tr>
        <w:tc>
          <w:tcPr>
            <w:tcW w:type="dxa" w:w="4320"/>
          </w:tcPr>
          <w:p>
            <w:r>
              <w:t>Quantitative fund data</w:t>
            </w:r>
          </w:p>
        </w:tc>
        <w:tc>
          <w:tcPr>
            <w:tcW w:type="dxa" w:w="4320"/>
          </w:tcPr>
          <w:p>
            <w:r>
              <w:t>Amazon DynamoDB — pay-per-request, replaces local SQLite</w:t>
            </w:r>
          </w:p>
        </w:tc>
      </w:tr>
      <w:tr>
        <w:tc>
          <w:tcPr>
            <w:tcW w:type="dxa" w:w="4320"/>
          </w:tcPr>
          <w:p>
            <w:r>
              <w:t>Qualitative commentary retrieval (RAG)</w:t>
            </w:r>
          </w:p>
        </w:tc>
        <w:tc>
          <w:tcPr>
            <w:tcW w:type="dxa" w:w="4320"/>
          </w:tcPr>
          <w:p>
            <w:r>
              <w:t>Amazon OpenSearch Serverless (vector store) + Amazon Bedrock Knowledge Base — replaces local ChromaDB</w:t>
            </w:r>
          </w:p>
        </w:tc>
      </w:tr>
      <w:tr>
        <w:tc>
          <w:tcPr>
            <w:tcW w:type="dxa" w:w="4320"/>
          </w:tcPr>
          <w:p>
            <w:r>
              <w:t>Container image</w:t>
            </w:r>
          </w:p>
        </w:tc>
        <w:tc>
          <w:tcPr>
            <w:tcW w:type="dxa" w:w="4320"/>
          </w:tcPr>
          <w:p>
            <w:r>
              <w:t>Amazon Elastic Container Registry (ECR)</w:t>
            </w:r>
          </w:p>
        </w:tc>
      </w:tr>
      <w:tr>
        <w:tc>
          <w:tcPr>
            <w:tcW w:type="dxa" w:w="4320"/>
          </w:tcPr>
          <w:p>
            <w:r>
              <w:t>Access control</w:t>
            </w:r>
          </w:p>
        </w:tc>
        <w:tc>
          <w:tcPr>
            <w:tcW w:type="dxa" w:w="4320"/>
          </w:tcPr>
          <w:p>
            <w:r>
              <w:t>AWS IAM — one least-privilege role per component (Runtime, Knowledge Base, Lambda)</w:t>
            </w:r>
          </w:p>
        </w:tc>
      </w:tr>
      <w:tr>
        <w:tc>
          <w:tcPr>
            <w:tcW w:type="dxa" w:w="4320"/>
          </w:tcPr>
          <w:p>
            <w:r>
              <w:t>Observability</w:t>
            </w:r>
          </w:p>
        </w:tc>
        <w:tc>
          <w:tcPr>
            <w:tcW w:type="dxa" w:w="4320"/>
          </w:tcPr>
          <w:p>
            <w:r>
              <w:t>Amazon CloudWatch — log groups, a dashboard, and error/throttle alarms</w:t>
            </w:r>
          </w:p>
        </w:tc>
      </w:tr>
      <w:tr>
        <w:tc>
          <w:tcPr>
            <w:tcW w:type="dxa" w:w="4320"/>
          </w:tcPr>
          <w:p>
            <w:r>
              <w:t>Tool exposure (provisioned, not yet wired in)</w:t>
            </w:r>
          </w:p>
        </w:tc>
        <w:tc>
          <w:tcPr>
            <w:tcW w:type="dxa" w:w="4320"/>
          </w:tcPr>
          <w:p>
            <w:r>
              <w:t>AgentCore Gateway</w:t>
            </w:r>
          </w:p>
        </w:tc>
      </w:tr>
      <w:tr>
        <w:tc>
          <w:tcPr>
            <w:tcW w:type="dxa" w:w="4320"/>
          </w:tcPr>
          <w:p>
            <w:r>
              <w:t>Conversation memory (provisioned, not yet wired in)</w:t>
            </w:r>
          </w:p>
        </w:tc>
        <w:tc>
          <w:tcPr>
            <w:tcW w:type="dxa" w:w="4320"/>
          </w:tcPr>
          <w:p>
            <w:r>
              <w:t>AgentCore Memory</w:t>
            </w:r>
          </w:p>
        </w:tc>
      </w:tr>
    </w:tbl>
    <w:p>
      <w:pPr/>
    </w:p>
    <w:p>
      <w:pPr/>
      <w:r>
        <w:t>Every resource above is defined once as a reusable Terraform module and instantiated per environment (Development, Staging, Production) from the same code, with only configuration — not logic — differing between them, mirroring the same environment-strategy principle already established for the application code in Section 7.2.</w:t>
      </w:r>
    </w:p>
    <w:p>
      <w:pPr>
        <w:pStyle w:val="Heading2"/>
      </w:pPr>
      <w:r>
        <w:t>13.3 Key Engineering Decisions</w:t>
      </w:r>
    </w:p>
    <w:p>
      <w:pPr/>
      <w:r>
        <w:t>Three architecture decisions were made deliberately, each backed by direct verification rather than assumption:</w:t>
      </w:r>
    </w:p>
    <w:p>
      <w:pPr>
        <w:pStyle w:val="ListBullet"/>
      </w:pPr>
      <w:r>
        <w:t>Public network mode, not a private VPC. AgentCore Runtime's VPC networking mode was found to hit a confirmed, unresolved AWS platform limitation — network interfaces it creates are never released, causing infrastructure teardown to hang indefinitely. Public mode was used instead, with access controlled entirely through IAM permissions rather than network isolation — a deliberate, documented trade-off, not an oversight.</w:t>
      </w:r>
    </w:p>
    <w:p>
      <w:pPr>
        <w:pStyle w:val="ListBullet"/>
      </w:pPr>
      <w:r>
        <w:t>A staged, multi-pass rollout. Because a handful of resources genuinely cannot exist before their prerequisites do (for example, the vector search index needs its parent search collection to exist first; the container-hosting Runtime needs a container image that doesn't exist until after infrastructure is first stood up), each environment is deployed in up to three incremental passes rather than a single all-at-once apply. This keeps every stage independently verifiable — and, in practice, kept the blast radius of any one mistake small.</w:t>
      </w:r>
    </w:p>
    <w:p>
      <w:pPr>
        <w:pStyle w:val="ListBullet"/>
      </w:pPr>
      <w:r>
        <w:t>Infrastructure-as-code for every resource, no manual console steps. The entire cloud footprint — compute, data stores, networking policy, IAM, and observability — is defined in version-controlled Terraform, making every environment reproducible, auditable, and disposable on demand (Section 13.7).</w:t>
      </w:r>
    </w:p>
    <w:p>
      <w:pPr>
        <w:pStyle w:val="Heading2"/>
      </w:pPr>
      <w:r>
        <w:t>13.4 Real Issues Found and Fixed During Live Deployment</w:t>
      </w:r>
    </w:p>
    <w:p>
      <w:pPr/>
      <w:r>
        <w:t>Consistent with the reliability-engineering discipline described in Section 7.4, deployment was not considered complete on a clean infrastructure plan/apply alone. Live, end-to-end testing against real AWS surfaced three genuine defects — each would have silently blocked every real invocation of the deployed system had it shipped unfixed:</w:t>
      </w:r>
    </w:p>
    <w:p>
      <w:pPr>
        <w:pStyle w:val="ListBullet"/>
      </w:pPr>
      <w:r>
        <w:t>A container build failure caused by an incomplete file copy into the build image, which would have failed the very first build of the deployed system's container image.</w:t>
      </w:r>
    </w:p>
    <w:p>
      <w:pPr>
        <w:pStyle w:val="ListBullet"/>
      </w:pPr>
      <w:r>
        <w:t>A misconfigured environment variable that caused the deployed service to try reaching a developer's local-only model server from inside AWS — invisible in local testing, since it only manifests once the code actually runs inside AWS.</w:t>
      </w:r>
    </w:p>
    <w:p>
      <w:pPr>
        <w:pStyle w:val="ListBullet"/>
      </w:pPr>
      <w:r>
        <w:t>A model version that had reached end-of-life on the AWS model marketplace between when it was chosen and when it was actually deployed, caught only by a real invocation attempt, and resolved by switching to a current, cost-efficient model with equivalent capability for this system's needs.</w:t>
      </w:r>
    </w:p>
    <w:p>
      <w:pPr/>
      <w:r>
        <w:t>All three were found, root-caused, and fixed within the same deployment session, each confirmed resolved by a subsequent real AWS call — not just a passing test.</w:t>
      </w:r>
    </w:p>
    <w:p>
      <w:pPr>
        <w:pStyle w:val="Heading2"/>
      </w:pPr>
      <w:r>
        <w:t>13.5 Live Verification Results</w:t>
      </w:r>
    </w:p>
    <w:p>
      <w:pPr/>
      <w:r>
        <w:t>With the fixes above in place and real fund-commentary documents ingested into the cloud knowledge base, the deployed AgentCore Runtime was exercised end-to-end for all four mock funds — the same governed, self-correcting pipeline described in Sections 3–5, now running as a real, standalone AWS service rather than a local process: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Fund</w:t>
            </w:r>
          </w:p>
        </w:tc>
        <w:tc>
          <w:tcPr>
            <w:tcW w:type="dxa" w:w="2160"/>
          </w:tcPr>
          <w:p>
            <w:r/>
            <w:r>
              <w:rPr>
                <w:b/>
              </w:rPr>
              <w:t>Outcome</w:t>
            </w:r>
          </w:p>
        </w:tc>
        <w:tc>
          <w:tcPr>
            <w:tcW w:type="dxa" w:w="2160"/>
          </w:tcPr>
          <w:p>
            <w:r/>
            <w:r>
              <w:rPr>
                <w:b/>
              </w:rPr>
              <w:t>Compliance Attempts</w:t>
            </w:r>
          </w:p>
        </w:tc>
        <w:tc>
          <w:tcPr>
            <w:tcW w:type="dxa" w:w="2160"/>
          </w:tcPr>
          <w:p>
            <w:r/>
            <w:r>
              <w:rPr>
                <w:b/>
              </w:rPr>
              <w:t>Wall-Clock Time</w:t>
            </w:r>
          </w:p>
        </w:tc>
      </w:tr>
      <w:tr>
        <w:tc>
          <w:tcPr>
            <w:tcW w:type="dxa" w:w="2160"/>
          </w:tcPr>
          <w:p>
            <w:r>
              <w:t>EQG1 — Global Equity Growth Fund</w:t>
            </w:r>
          </w:p>
        </w:tc>
        <w:tc>
          <w:tcPr>
            <w:tcW w:type="dxa" w:w="2160"/>
          </w:tcPr>
          <w:p>
            <w:r>
              <w:t>Approved</w:t>
            </w:r>
          </w:p>
        </w:tc>
        <w:tc>
          <w:tcPr>
            <w:tcW w:type="dxa" w:w="2160"/>
          </w:tcPr>
          <w:p>
            <w:r>
              <w:t>1</w:t>
            </w:r>
          </w:p>
        </w:tc>
        <w:tc>
          <w:tcPr>
            <w:tcW w:type="dxa" w:w="2160"/>
          </w:tcPr>
          <w:p>
            <w:r>
              <w:t>6.9 seconds</w:t>
            </w:r>
          </w:p>
        </w:tc>
      </w:tr>
      <w:tr>
        <w:tc>
          <w:tcPr>
            <w:tcW w:type="dxa" w:w="2160"/>
          </w:tcPr>
          <w:p>
            <w:r>
              <w:t>SMC3 — Alpha Prime Smallcap Direct Fund (high-risk)</w:t>
            </w:r>
          </w:p>
        </w:tc>
        <w:tc>
          <w:tcPr>
            <w:tcW w:type="dxa" w:w="2160"/>
          </w:tcPr>
          <w:p>
            <w:r>
              <w:t>Approved</w:t>
            </w:r>
          </w:p>
        </w:tc>
        <w:tc>
          <w:tcPr>
            <w:tcW w:type="dxa" w:w="2160"/>
          </w:tcPr>
          <w:p>
            <w:r>
              <w:t>2</w:t>
            </w:r>
          </w:p>
        </w:tc>
        <w:tc>
          <w:tcPr>
            <w:tcW w:type="dxa" w:w="2160"/>
          </w:tcPr>
          <w:p>
            <w:r>
              <w:t>11.7 seconds</w:t>
            </w:r>
          </w:p>
        </w:tc>
      </w:tr>
      <w:tr>
        <w:tc>
          <w:tcPr>
            <w:tcW w:type="dxa" w:w="2160"/>
          </w:tcPr>
          <w:p>
            <w:r>
              <w:t>INC2 — Fixed Income Core Bond Fund</w:t>
            </w:r>
          </w:p>
        </w:tc>
        <w:tc>
          <w:tcPr>
            <w:tcW w:type="dxa" w:w="2160"/>
          </w:tcPr>
          <w:p>
            <w:r>
              <w:t>Approved</w:t>
            </w:r>
          </w:p>
        </w:tc>
        <w:tc>
          <w:tcPr>
            <w:tcW w:type="dxa" w:w="2160"/>
          </w:tcPr>
          <w:p>
            <w:r>
              <w:t>3</w:t>
            </w:r>
          </w:p>
        </w:tc>
        <w:tc>
          <w:tcPr>
            <w:tcW w:type="dxa" w:w="2160"/>
          </w:tcPr>
          <w:p>
            <w:r>
              <w:t>11.6 seconds</w:t>
            </w:r>
          </w:p>
        </w:tc>
      </w:tr>
      <w:tr>
        <w:tc>
          <w:tcPr>
            <w:tcW w:type="dxa" w:w="2160"/>
          </w:tcPr>
          <w:p>
            <w:r>
              <w:t>BLN4 — Balanced Conservative Wealth Fund</w:t>
            </w:r>
          </w:p>
        </w:tc>
        <w:tc>
          <w:tcPr>
            <w:tcW w:type="dxa" w:w="2160"/>
          </w:tcPr>
          <w:p>
            <w:r>
              <w:t>Approved</w:t>
            </w:r>
          </w:p>
        </w:tc>
        <w:tc>
          <w:tcPr>
            <w:tcW w:type="dxa" w:w="2160"/>
          </w:tcPr>
          <w:p>
            <w:r>
              <w:t>3</w:t>
            </w:r>
          </w:p>
        </w:tc>
        <w:tc>
          <w:tcPr>
            <w:tcW w:type="dxa" w:w="2160"/>
          </w:tcPr>
          <w:p>
            <w:r>
              <w:t>13.5 seconds</w:t>
            </w:r>
          </w:p>
        </w:tc>
      </w:tr>
    </w:tbl>
    <w:p>
      <w:pPr/>
    </w:p>
    <w:p>
      <w:pPr/>
      <w:r>
        <w:t>Every response combined real quantitative metrics from the cloud data store with real, retrieved manager commentary, with no fabricated content. Two of the four funds required genuine revise-and-recheck cycles before reaching an approved verdict, confirming the compliance loop is doing real evaluative work in this environment, not rubber-stamping every draft. Response times of 7–14 seconds compare favourably to the 5–10+ minute baseline observed with the free, local, CPU-only model configuration used for day-to-day development (Section 8).</w:t>
      </w:r>
    </w:p>
    <w:p>
      <w:pPr>
        <w:pStyle w:val="Heading2"/>
      </w:pPr>
      <w:r>
        <w:t>13.6 Operational Tooling for the Deployed Runtime</w:t>
      </w:r>
    </w:p>
    <w:p>
      <w:pPr/>
      <w:r>
        <w:t>The deployed Runtime can be exercised three ways, each verified working directly against real AWS: a short Python script, the built-in Test tab in the AWS Bedrock console (no code required), and a purpose-built mode in the project's browser-based interface that talks to the deployed Runtime directly using the same AWS credentials as the infrastructure deployment itself — no separate local server, and no open-source model, involved at all. This gives both engineering and non-engineering stakeholders a way to interact with the live, deployed system directly.</w:t>
      </w:r>
    </w:p>
    <w:p>
      <w:pPr>
        <w:pStyle w:val="Heading2"/>
      </w:pPr>
      <w:r>
        <w:t>13.7 Environment Lifecycle and Cost Control</w:t>
      </w:r>
    </w:p>
    <w:p>
      <w:pPr/>
      <w:r>
        <w:t>Because every resource is Terraform-managed, an environment can be fully and cleanly torn down when not in active use, avoiding ongoing AWS spend between testing sessions — the Development environment used for all verification in this section was fully torn down after testing concluded, with zero AWS resources remaining, confirmed directly against AWS rather than assumed from the teardown command's exit code. That exercise surfaced (and permanently fixed, for every future environment) two infrastructure robustness gaps around deleting resources that had been genuinely used — a container registry holding a pushed image, and a search index holding ingested test documents — both now handled automatically going forward.</w:t>
      </w:r>
    </w:p>
    <w:p>
      <w:pPr>
        <w:pStyle w:val="Heading2"/>
      </w:pPr>
      <w:r>
        <w:t>13.8 Current Status and Remaining Work</w:t>
      </w:r>
    </w:p>
    <w:p>
      <w:pPr/>
      <w:r>
        <w:t>As of this report, Phase 02 stands as follows:</w:t>
      </w:r>
    </w:p>
    <w:p>
      <w:pPr>
        <w:pStyle w:val="ListBullet"/>
      </w:pPr>
      <w:r>
        <w:t>Development environment: infrastructure written, applied, and fully live-verified end-to-end for all four mock funds, via both the direct AWS invocation path and the browser UI — then deliberately torn down to eliminate idle cost, pending the next round of development-environment work.</w:t>
      </w:r>
    </w:p>
    <w:p>
      <w:pPr>
        <w:pStyle w:val="ListBullet"/>
      </w:pPr>
      <w:r>
        <w:t>Staging and Production environments: infrastructure is written and structurally validated but not yet applied to real AWS accounts — see Section 12's roadmap.</w:t>
      </w:r>
    </w:p>
    <w:p>
      <w:pPr>
        <w:pStyle w:val="ListBullet"/>
      </w:pPr>
      <w:r>
        <w:t>AgentCore Gateway-routed tool logic and AgentCore Memory (cross-turn conversational context): both provisioned by Terraform but intentionally left as a separate, larger follow-on rather than bundled into this phase.</w:t>
      </w:r>
    </w:p>
    <w:p w14:paraId="69146B19" w14:textId="77777777" w:rsidR="00A02BD8" w:rsidRDefault="00000000">
      <w:pPr>
        <w:pStyle w:val="Heading1"/>
      </w:pPr>
      <w:bookmarkStart w:id="46" w:name="_Toc234670606"/>
      <w:r>
        <w:t>14. Conclusion</w:t>
      </w:r>
      <w:bookmarkEnd w:id="46"/>
    </w:p>
    <w:p w14:paraId="4F5D9A3D" w14:textId="77777777" w:rsidR="00A02BD8" w:rsidRDefault="00000000">
      <w:r>
        <w:t>The AMC RFP &amp; Portfolio Insight Orchestrator demonstrates that agentic AI, applied with the same discipline as any other production financial-services system, can automate one of an AMC's most labour-intensive and compliance-sensitive workflows without compromising on governance. By decomposing the work across specialised agents, grounding every figure in real data, and making compliance a structural, self-correcting property of the workflow rather than a manual checklist, the system delivers response times measured in seconds instead of days, while producing a stronger, more consistent, and more auditable compliance trail than the manual process it replaces. Built on AWS's Strands Agents framework and designed from day one for a clean path to AWS Bedrock in production, this system has since been proven not only in local development but as a real, deployed AWS service: Phase 02 stood up the full Amazon Bedrock AgentCore infrastructure and live-verified every mock fund scenario end-to-end in the cloud, with zero changes to the underlying agent logic. What remains is promotion to Staging and Production and the deferred Gateway/Memory integration work described in Section 13.8 — not a redesign, but a continuation of a foundation already proven to work.</w:t>
      </w:r>
    </w:p>
    <w:p w14:paraId="54F2EF2D" w14:textId="77777777" w:rsidR="00A02BD8" w:rsidRDefault="00000000">
      <w:r>
        <w:br w:type="page"/>
      </w:r>
    </w:p>
    <w:p w14:paraId="06CE6319" w14:textId="77777777" w:rsidR="00A02BD8" w:rsidRDefault="00000000">
      <w:pPr>
        <w:pStyle w:val="Heading1"/>
      </w:pPr>
      <w:bookmarkStart w:id="47" w:name="_Toc234670607"/>
      <w:r>
        <w:lastRenderedPageBreak/>
        <w:t>Appendix A — Glossary</w:t>
      </w:r>
      <w:bookmarkEnd w:id="47"/>
    </w:p>
    <w:tbl>
      <w:tblPr>
        <w:tblStyle w:val="TableGrid"/>
        <w:tblW w:w="0" w:type="auto"/>
        <w:jc w:val="center"/>
        <w:tblLook w:val="04A0" w:firstRow="1" w:lastRow="0" w:firstColumn="1" w:lastColumn="0" w:noHBand="0" w:noVBand="1"/>
      </w:tblPr>
      <w:tblGrid>
        <w:gridCol w:w="2193"/>
        <w:gridCol w:w="6663"/>
      </w:tblGrid>
      <w:tr w:rsidR="00A02BD8" w14:paraId="7050FDA3" w14:textId="77777777">
        <w:trPr>
          <w:jc w:val="center"/>
        </w:trPr>
        <w:tc>
          <w:tcPr>
            <w:tcW w:w="2304" w:type="dxa"/>
            <w:shd w:val="clear" w:color="auto" w:fill="1F3A5F"/>
          </w:tcPr>
          <w:p w14:paraId="36BC7014" w14:textId="77777777" w:rsidR="00A02BD8" w:rsidRDefault="00000000">
            <w:r>
              <w:rPr>
                <w:b/>
                <w:color w:val="FFFFFF"/>
                <w:sz w:val="20"/>
              </w:rPr>
              <w:t>Term</w:t>
            </w:r>
          </w:p>
        </w:tc>
        <w:tc>
          <w:tcPr>
            <w:tcW w:w="7200" w:type="dxa"/>
            <w:shd w:val="clear" w:color="auto" w:fill="1F3A5F"/>
          </w:tcPr>
          <w:p w14:paraId="7624795E" w14:textId="77777777" w:rsidR="00A02BD8" w:rsidRDefault="00000000">
            <w:r>
              <w:rPr>
                <w:b/>
                <w:color w:val="FFFFFF"/>
                <w:sz w:val="20"/>
              </w:rPr>
              <w:t>Definition</w:t>
            </w:r>
          </w:p>
        </w:tc>
      </w:tr>
      <w:tr w:rsidR="00A02BD8" w14:paraId="10444F33" w14:textId="77777777">
        <w:trPr>
          <w:jc w:val="center"/>
        </w:trPr>
        <w:tc>
          <w:tcPr>
            <w:tcW w:w="2304" w:type="dxa"/>
          </w:tcPr>
          <w:p w14:paraId="6E1F4508" w14:textId="77777777" w:rsidR="00A02BD8" w:rsidRDefault="00000000">
            <w:r>
              <w:rPr>
                <w:sz w:val="20"/>
              </w:rPr>
              <w:t>AMC</w:t>
            </w:r>
          </w:p>
        </w:tc>
        <w:tc>
          <w:tcPr>
            <w:tcW w:w="7200" w:type="dxa"/>
          </w:tcPr>
          <w:p w14:paraId="40A8369F" w14:textId="77777777" w:rsidR="00A02BD8" w:rsidRDefault="00000000">
            <w:r>
              <w:rPr>
                <w:sz w:val="20"/>
              </w:rPr>
              <w:t>Asset Management Company — a firm that manages investment funds on behalf of clients.</w:t>
            </w:r>
          </w:p>
        </w:tc>
      </w:tr>
      <w:tr w:rsidR="00A02BD8" w14:paraId="28D00F58" w14:textId="77777777">
        <w:trPr>
          <w:jc w:val="center"/>
        </w:trPr>
        <w:tc>
          <w:tcPr>
            <w:tcW w:w="2304" w:type="dxa"/>
          </w:tcPr>
          <w:p w14:paraId="279F1E69" w14:textId="77777777" w:rsidR="00A02BD8" w:rsidRDefault="00000000">
            <w:r>
              <w:rPr>
                <w:sz w:val="20"/>
              </w:rPr>
              <w:t>RFP</w:t>
            </w:r>
          </w:p>
        </w:tc>
        <w:tc>
          <w:tcPr>
            <w:tcW w:w="7200" w:type="dxa"/>
          </w:tcPr>
          <w:p w14:paraId="1E5E758B" w14:textId="77777777" w:rsidR="00A02BD8" w:rsidRDefault="00000000">
            <w:r>
              <w:rPr>
                <w:sz w:val="20"/>
              </w:rPr>
              <w:t>Request for Proposal — a formal document institutional investors send AMCs requesting detailed information before allocating capital.</w:t>
            </w:r>
          </w:p>
        </w:tc>
      </w:tr>
      <w:tr w:rsidR="00A02BD8" w14:paraId="52D191B3" w14:textId="77777777">
        <w:trPr>
          <w:jc w:val="center"/>
        </w:trPr>
        <w:tc>
          <w:tcPr>
            <w:tcW w:w="2304" w:type="dxa"/>
          </w:tcPr>
          <w:p w14:paraId="50E95F23" w14:textId="77777777" w:rsidR="00A02BD8" w:rsidRDefault="00000000">
            <w:r>
              <w:rPr>
                <w:sz w:val="20"/>
              </w:rPr>
              <w:t>Agentic AI</w:t>
            </w:r>
          </w:p>
        </w:tc>
        <w:tc>
          <w:tcPr>
            <w:tcW w:w="7200" w:type="dxa"/>
          </w:tcPr>
          <w:p w14:paraId="23F39616" w14:textId="77777777" w:rsidR="00A02BD8" w:rsidRDefault="00000000">
            <w:r>
              <w:rPr>
                <w:sz w:val="20"/>
              </w:rPr>
              <w:t>AI systems in which one or more autonomous agents plan, use tools, and take multi-step action toward a goal, rather than producing a single one-shot response.</w:t>
            </w:r>
          </w:p>
        </w:tc>
      </w:tr>
      <w:tr w:rsidR="00A02BD8" w14:paraId="22AF05B1" w14:textId="77777777">
        <w:trPr>
          <w:jc w:val="center"/>
        </w:trPr>
        <w:tc>
          <w:tcPr>
            <w:tcW w:w="2304" w:type="dxa"/>
          </w:tcPr>
          <w:p w14:paraId="4CCF5359" w14:textId="77777777" w:rsidR="00A02BD8" w:rsidRDefault="00000000">
            <w:r>
              <w:rPr>
                <w:sz w:val="20"/>
              </w:rPr>
              <w:t>LLM</w:t>
            </w:r>
          </w:p>
        </w:tc>
        <w:tc>
          <w:tcPr>
            <w:tcW w:w="7200" w:type="dxa"/>
          </w:tcPr>
          <w:p w14:paraId="48BD5692" w14:textId="77777777" w:rsidR="00A02BD8" w:rsidRDefault="00000000">
            <w:r>
              <w:rPr>
                <w:sz w:val="20"/>
              </w:rPr>
              <w:t>Large Language Model — the underlying generative AI model each agent uses to reason and produce text.</w:t>
            </w:r>
          </w:p>
        </w:tc>
      </w:tr>
      <w:tr w:rsidR="00A02BD8" w14:paraId="177472AC" w14:textId="77777777">
        <w:trPr>
          <w:jc w:val="center"/>
        </w:trPr>
        <w:tc>
          <w:tcPr>
            <w:tcW w:w="2304" w:type="dxa"/>
          </w:tcPr>
          <w:p w14:paraId="2F7A2B4C" w14:textId="77777777" w:rsidR="00A02BD8" w:rsidRDefault="00000000">
            <w:r>
              <w:rPr>
                <w:sz w:val="20"/>
              </w:rPr>
              <w:t>LLM-as-a-Judge</w:t>
            </w:r>
          </w:p>
        </w:tc>
        <w:tc>
          <w:tcPr>
            <w:tcW w:w="7200" w:type="dxa"/>
          </w:tcPr>
          <w:p w14:paraId="7CDBCDD6" w14:textId="77777777" w:rsidR="00A02BD8" w:rsidRDefault="00000000">
            <w:r>
              <w:rPr>
                <w:sz w:val="20"/>
              </w:rPr>
              <w:t>A design pattern where an LLM is used specifically to evaluate another piece of content against defined criteria and return a structured verdict.</w:t>
            </w:r>
          </w:p>
        </w:tc>
      </w:tr>
      <w:tr w:rsidR="00A02BD8" w14:paraId="7727EA85" w14:textId="77777777">
        <w:trPr>
          <w:jc w:val="center"/>
        </w:trPr>
        <w:tc>
          <w:tcPr>
            <w:tcW w:w="2304" w:type="dxa"/>
          </w:tcPr>
          <w:p w14:paraId="695FE18F" w14:textId="77777777" w:rsidR="00A02BD8" w:rsidRDefault="00000000">
            <w:r>
              <w:rPr>
                <w:sz w:val="20"/>
              </w:rPr>
              <w:t>RAG</w:t>
            </w:r>
          </w:p>
        </w:tc>
        <w:tc>
          <w:tcPr>
            <w:tcW w:w="7200" w:type="dxa"/>
          </w:tcPr>
          <w:p w14:paraId="1E5D2A2E" w14:textId="77777777" w:rsidR="00A02BD8" w:rsidRDefault="00000000">
            <w:r>
              <w:rPr>
                <w:sz w:val="20"/>
              </w:rPr>
              <w:t>Retrieval-Augmented Generation — retrieving relevant real documents (via vector similarity search) to ground an LLM's response in factual, sourced content.</w:t>
            </w:r>
          </w:p>
        </w:tc>
      </w:tr>
      <w:tr w:rsidR="00A02BD8" w14:paraId="30F64ABE" w14:textId="77777777">
        <w:trPr>
          <w:jc w:val="center"/>
        </w:trPr>
        <w:tc>
          <w:tcPr>
            <w:tcW w:w="2304" w:type="dxa"/>
          </w:tcPr>
          <w:p w14:paraId="515CD8EA" w14:textId="77777777" w:rsidR="00A02BD8" w:rsidRDefault="00000000">
            <w:r>
              <w:rPr>
                <w:sz w:val="20"/>
              </w:rPr>
              <w:t>NAV</w:t>
            </w:r>
          </w:p>
        </w:tc>
        <w:tc>
          <w:tcPr>
            <w:tcW w:w="7200" w:type="dxa"/>
          </w:tcPr>
          <w:p w14:paraId="71FA78B9" w14:textId="77777777" w:rsidR="00A02BD8" w:rsidRDefault="00000000">
            <w:r>
              <w:rPr>
                <w:sz w:val="20"/>
              </w:rPr>
              <w:t>Net Asset Value — the per-unit value of a fund's holdings.</w:t>
            </w:r>
          </w:p>
        </w:tc>
      </w:tr>
      <w:tr w:rsidR="00A02BD8" w14:paraId="7726CC88" w14:textId="77777777">
        <w:trPr>
          <w:jc w:val="center"/>
        </w:trPr>
        <w:tc>
          <w:tcPr>
            <w:tcW w:w="2304" w:type="dxa"/>
          </w:tcPr>
          <w:p w14:paraId="739E2679" w14:textId="77777777" w:rsidR="00A02BD8" w:rsidRDefault="00000000">
            <w:r>
              <w:rPr>
                <w:sz w:val="20"/>
              </w:rPr>
              <w:t>Alpha / Beta</w:t>
            </w:r>
          </w:p>
        </w:tc>
        <w:tc>
          <w:tcPr>
            <w:tcW w:w="7200" w:type="dxa"/>
          </w:tcPr>
          <w:p w14:paraId="1536ECCA" w14:textId="77777777" w:rsidR="00A02BD8" w:rsidRDefault="00000000">
            <w:r>
              <w:rPr>
                <w:sz w:val="20"/>
              </w:rPr>
              <w:t>Alpha measures a fund's excess return versus its benchmark; Beta measures its volatility relative to the market.</w:t>
            </w:r>
          </w:p>
        </w:tc>
      </w:tr>
      <w:tr w:rsidR="00A02BD8" w14:paraId="5AC763B6" w14:textId="77777777">
        <w:trPr>
          <w:jc w:val="center"/>
        </w:trPr>
        <w:tc>
          <w:tcPr>
            <w:tcW w:w="2304" w:type="dxa"/>
          </w:tcPr>
          <w:p w14:paraId="268184BB" w14:textId="77777777" w:rsidR="00A02BD8" w:rsidRDefault="00000000">
            <w:r>
              <w:rPr>
                <w:sz w:val="20"/>
              </w:rPr>
              <w:t>Sharpe / Sortino Ratio</w:t>
            </w:r>
          </w:p>
        </w:tc>
        <w:tc>
          <w:tcPr>
            <w:tcW w:w="7200" w:type="dxa"/>
          </w:tcPr>
          <w:p w14:paraId="51CDAF35" w14:textId="77777777" w:rsidR="00A02BD8" w:rsidRDefault="00000000">
            <w:r>
              <w:rPr>
                <w:sz w:val="20"/>
              </w:rPr>
              <w:t>Risk-adjusted return measures; Sortino specifically penalises only downside volatility.</w:t>
            </w:r>
          </w:p>
        </w:tc>
      </w:tr>
      <w:tr w:rsidR="00A02BD8" w14:paraId="02B85148" w14:textId="77777777">
        <w:trPr>
          <w:jc w:val="center"/>
        </w:trPr>
        <w:tc>
          <w:tcPr>
            <w:tcW w:w="2304" w:type="dxa"/>
          </w:tcPr>
          <w:p w14:paraId="2E4926B1" w14:textId="77777777" w:rsidR="00A02BD8" w:rsidRDefault="00000000">
            <w:r>
              <w:rPr>
                <w:sz w:val="20"/>
              </w:rPr>
              <w:t>Structured Output</w:t>
            </w:r>
          </w:p>
        </w:tc>
        <w:tc>
          <w:tcPr>
            <w:tcW w:w="7200" w:type="dxa"/>
          </w:tcPr>
          <w:p w14:paraId="475E2B84" w14:textId="77777777" w:rsidR="00A02BD8" w:rsidRDefault="00000000">
            <w:r>
              <w:rPr>
                <w:sz w:val="20"/>
              </w:rPr>
              <w:t>A model response constrained to match a predefined schema (rather than free text), enabling reliable, automated downstream decision-making.</w:t>
            </w:r>
          </w:p>
        </w:tc>
      </w:tr>
      <w:tr w:rsidR="00A02BD8" w14:paraId="174B1B2E" w14:textId="77777777">
        <w:trPr>
          <w:jc w:val="center"/>
        </w:trPr>
        <w:tc>
          <w:tcPr>
            <w:tcW w:w="2304" w:type="dxa"/>
          </w:tcPr>
          <w:p w14:paraId="7412E0F7" w14:textId="77777777" w:rsidR="00A02BD8" w:rsidRDefault="00000000">
            <w:r>
              <w:rPr>
                <w:sz w:val="20"/>
              </w:rPr>
              <w:t>Strands Agents</w:t>
            </w:r>
          </w:p>
        </w:tc>
        <w:tc>
          <w:tcPr>
            <w:tcW w:w="7200" w:type="dxa"/>
          </w:tcPr>
          <w:p w14:paraId="134D4B36" w14:textId="77777777" w:rsidR="00A02BD8" w:rsidRDefault="00000000">
            <w:r>
              <w:rPr>
                <w:sz w:val="20"/>
              </w:rPr>
              <w:t>AWS's open-source framework for building production-grade, model-agnostic AI agents and multi-agent systems.</w:t>
            </w:r>
          </w:p>
        </w:tc>
      </w:tr>
      <w:tr w:rsidR="00A02BD8" w14:paraId="4C469C4D" w14:textId="77777777">
        <w:trPr>
          <w:jc w:val="center"/>
        </w:trPr>
        <w:tc>
          <w:tcPr>
            <w:tcW w:w="2304" w:type="dxa"/>
          </w:tcPr>
          <w:p w14:paraId="375E6EE8" w14:textId="77777777" w:rsidR="00A02BD8" w:rsidRDefault="00000000">
            <w:r>
              <w:rPr>
                <w:sz w:val="20"/>
              </w:rPr>
              <w:t>Amazon Bedrock</w:t>
            </w:r>
          </w:p>
        </w:tc>
        <w:tc>
          <w:tcPr>
            <w:tcW w:w="7200" w:type="dxa"/>
          </w:tcPr>
          <w:p w14:paraId="3CD180CA" w14:textId="77777777" w:rsidR="00A02BD8" w:rsidRDefault="00000000">
            <w:r>
              <w:rPr>
                <w:sz w:val="20"/>
              </w:rPr>
              <w:t>AWS's managed service for accessing foundation models (including Anthropic Claude) via a single, secure, enterprise-grade API.</w:t>
            </w:r>
          </w:p>
        </w:tc>
      </w:tr>
      <w:tr>
        <w:tc>
          <w:tcPr>
            <w:tcW w:type="dxa" w:w="2193"/>
          </w:tcPr>
          <w:p>
            <w:r>
              <w:t>Amazon Bedrock AgentCore</w:t>
            </w:r>
          </w:p>
        </w:tc>
        <w:tc>
          <w:tcPr>
            <w:tcW w:type="dxa" w:w="6663"/>
          </w:tcPr>
          <w:p>
            <w:r>
              <w:t>AWS's managed runtime for hosting production agentic systems in the cloud, used in Phase 02 to deploy this system as a real, standalone AWS service.</w:t>
            </w:r>
          </w:p>
        </w:tc>
      </w:tr>
      <w:tr>
        <w:tc>
          <w:tcPr>
            <w:tcW w:type="dxa" w:w="2193"/>
          </w:tcPr>
          <w:p>
            <w:r>
              <w:t>Terraform</w:t>
            </w:r>
          </w:p>
        </w:tc>
        <w:tc>
          <w:tcPr>
            <w:tcW w:type="dxa" w:w="6663"/>
          </w:tcPr>
          <w:p>
            <w:r>
              <w:t>An infrastructure-as-code tool used to define and provision every AWS resource this system needs in a version-controlled, reproducible, and disposable way.</w:t>
            </w:r>
          </w:p>
        </w:tc>
      </w:tr>
      <w:tr>
        <w:tc>
          <w:tcPr>
            <w:tcW w:type="dxa" w:w="2193"/>
          </w:tcPr>
          <w:p>
            <w:r>
              <w:t>IAM</w:t>
            </w:r>
          </w:p>
        </w:tc>
        <w:tc>
          <w:tcPr>
            <w:tcW w:type="dxa" w:w="6663"/>
          </w:tcPr>
          <w:p>
            <w:r>
              <w:t>AWS Identity and Access Management — controls exactly which AWS resource can access which other AWS resource, used in Phase 02 in place of network isolation to scope access.</w:t>
            </w:r>
          </w:p>
        </w:tc>
      </w:tr>
    </w:tbl>
    <w:p w14:paraId="4BE7046C" w14:textId="77777777" w:rsidR="00A02BD8" w:rsidRDefault="00A02BD8"/>
    <w:p w14:paraId="78A183E4" w14:textId="77777777" w:rsidR="00A02BD8" w:rsidRDefault="00000000">
      <w:r>
        <w:br w:type="page"/>
      </w:r>
    </w:p>
    <w:p w14:paraId="674DA7CE" w14:textId="77777777" w:rsidR="00A02BD8" w:rsidRDefault="00000000">
      <w:pPr>
        <w:pStyle w:val="Heading1"/>
      </w:pPr>
      <w:bookmarkStart w:id="48" w:name="_Toc234670608"/>
      <w:r>
        <w:lastRenderedPageBreak/>
        <w:t>Appendix B — Reference Documentation</w:t>
      </w:r>
      <w:bookmarkEnd w:id="48"/>
    </w:p>
    <w:p w14:paraId="292B6BEB" w14:textId="77777777" w:rsidR="00A02BD8" w:rsidRDefault="00000000">
      <w:r>
        <w:t>This report summarises the system for a business and leadership audience. The following companion documents, maintained alongside the codebase, provide full technical depth for engineering and implementation teams:</w:t>
      </w:r>
    </w:p>
    <w:p w14:paraId="01D7E74C" w14:textId="77777777" w:rsidR="00A02BD8" w:rsidRDefault="00000000">
      <w:pPr>
        <w:pStyle w:val="ListBullet"/>
      </w:pPr>
      <w:r>
        <w:rPr>
          <w:b/>
        </w:rPr>
        <w:t xml:space="preserve">architecture.md — </w:t>
      </w:r>
      <w:r>
        <w:t>complete system architecture, agent-by-agent design rationale, and engineering decisions.</w:t>
      </w:r>
    </w:p>
    <w:p w14:paraId="52D108AE" w14:textId="77777777" w:rsidR="00A02BD8" w:rsidRDefault="00000000">
      <w:pPr>
        <w:pStyle w:val="ListBullet"/>
      </w:pPr>
      <w:r>
        <w:rPr>
          <w:b/>
        </w:rPr>
        <w:t xml:space="preserve">user_guide.md — </w:t>
      </w:r>
      <w:r>
        <w:t>setup, configuration reference, and operational usage guide.</w:t>
      </w:r>
    </w:p>
    <w:p w14:paraId="3846CC49" w14:textId="77777777" w:rsidR="00A02BD8" w:rsidRDefault="00000000">
      <w:pPr>
        <w:pStyle w:val="ListBullet"/>
      </w:pPr>
      <w:r>
        <w:rPr>
          <w:b/>
        </w:rPr>
        <w:t xml:space="preserve">compliance_rubric.md — </w:t>
      </w:r>
      <w:r>
        <w:t>the exact compliance rubric enforced by the Compliance agent.</w:t>
      </w:r>
    </w:p>
    <w:p w14:paraId="0F17EB88" w14:textId="77777777" w:rsidR="00A02BD8" w:rsidRDefault="00000000">
      <w:pPr>
        <w:pStyle w:val="ListBullet"/>
      </w:pPr>
      <w:r>
        <w:rPr>
          <w:b/>
        </w:rPr>
        <w:t xml:space="preserve">sample_invocation_walkthrough.md — </w:t>
      </w:r>
      <w:r>
        <w:t>the full node-by-node trace underlying the case study in Section 8.</w:t>
      </w:r>
    </w:p>
    <w:p>
      <w:pPr>
        <w:pStyle w:val="ListBullet"/>
      </w:pPr>
      <w:r>
        <w:t>infra/terraform/README.md — Phase 02 Terraform deployment guide: exact apply commands per environment, the three-pass rollout, and troubleshooting.</w:t>
      </w:r>
    </w:p>
    <w:p w14:paraId="23B3802C" w14:textId="77777777" w:rsidR="00A02BD8" w:rsidRDefault="00000000">
      <w:pPr>
        <w:pStyle w:val="ListBullet"/>
      </w:pPr>
      <w:r>
        <w:rPr>
          <w:b/>
        </w:rPr>
        <w:t xml:space="preserve">Postman collection — </w:t>
      </w:r>
      <w:r>
        <w:t>ready-to-import API request examples for hands-on testing.</w:t>
      </w:r>
    </w:p>
    <w:p w14:paraId="3848E191" w14:textId="77777777" w:rsidR="00A02BD8" w:rsidRDefault="00A02BD8"/>
    <w:p w14:paraId="5F023963" w14:textId="77777777" w:rsidR="00A02BD8" w:rsidRDefault="00000000">
      <w:pPr>
        <w:jc w:val="center"/>
      </w:pPr>
      <w:r>
        <w:rPr>
          <w:i/>
          <w:color w:val="555555"/>
        </w:rPr>
        <w:t>— End of Report —</w:t>
      </w:r>
    </w:p>
    <w:sectPr w:rsidR="00A02BD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31642680">
    <w:abstractNumId w:val="8"/>
  </w:num>
  <w:num w:numId="2" w16cid:durableId="113449782">
    <w:abstractNumId w:val="6"/>
  </w:num>
  <w:num w:numId="3" w16cid:durableId="1802188972">
    <w:abstractNumId w:val="5"/>
  </w:num>
  <w:num w:numId="4" w16cid:durableId="1306619108">
    <w:abstractNumId w:val="4"/>
  </w:num>
  <w:num w:numId="5" w16cid:durableId="1348218985">
    <w:abstractNumId w:val="7"/>
  </w:num>
  <w:num w:numId="6" w16cid:durableId="776414853">
    <w:abstractNumId w:val="3"/>
  </w:num>
  <w:num w:numId="7" w16cid:durableId="1131896973">
    <w:abstractNumId w:val="2"/>
  </w:num>
  <w:num w:numId="8" w16cid:durableId="33240235">
    <w:abstractNumId w:val="1"/>
  </w:num>
  <w:num w:numId="9" w16cid:durableId="8179177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2A79"/>
    <w:rsid w:val="0015074B"/>
    <w:rsid w:val="0029639D"/>
    <w:rsid w:val="00326F90"/>
    <w:rsid w:val="00A02BD8"/>
    <w:rsid w:val="00AA1D8D"/>
    <w:rsid w:val="00B47730"/>
    <w:rsid w:val="00C901BD"/>
    <w:rsid w:val="00CB0664"/>
    <w:rsid w:val="00F979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38F285"/>
  <w14:defaultImageDpi w14:val="300"/>
  <w15:docId w15:val="{68218402-18BE-4414-8A62-0687BA719DD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30"/>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3333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979B2"/>
    <w:pPr>
      <w:spacing w:after="100"/>
    </w:pPr>
  </w:style>
  <w:style w:type="paragraph" w:styleId="TOC2">
    <w:name w:val="toc 2"/>
    <w:basedOn w:val="Normal"/>
    <w:next w:val="Normal"/>
    <w:autoRedefine/>
    <w:uiPriority w:val="39"/>
    <w:unhideWhenUsed/>
    <w:rsid w:val="00F979B2"/>
    <w:pPr>
      <w:spacing w:after="100"/>
      <w:ind w:left="220"/>
    </w:pPr>
  </w:style>
  <w:style w:type="character" w:styleId="Hyperlink">
    <w:name w:val="Hyperlink"/>
    <w:basedOn w:val="DefaultParagraphFont"/>
    <w:uiPriority w:val="99"/>
    <w:unhideWhenUsed/>
    <w:rsid w:val="00F979B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26</Pages>
  <Words>5684</Words>
  <Characters>32403</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38011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Kombaraj Arumugam</cp:lastModifiedBy>
  <cp:revision>2</cp:revision>
  <dcterms:created xsi:type="dcterms:W3CDTF">2013-12-23T23:15:00Z</dcterms:created>
  <dcterms:modified xsi:type="dcterms:W3CDTF">2026-07-11T11:50:00Z</dcterms:modified>
  <cp:category/>
</cp:coreProperties>
</file>