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3A5F"/>
          <w:sz w:val="60"/>
        </w:rPr>
        <w:t>AUTOCLAIM IQ</w:t>
      </w:r>
    </w:p>
    <w:p>
      <w:pPr>
        <w:jc w:val="center"/>
      </w:pPr>
      <w:r>
        <w:rPr>
          <w:rFonts w:ascii="Calibri" w:hAnsi="Calibri"/>
          <w:color w:val="2E74B5"/>
          <w:sz w:val="30"/>
        </w:rPr>
        <w:t>A Production-Grade Amazon Bedrock Agents Platform for</w:t>
        <w:br/>
        <w:t>Auto Insurance Policy Servicing &amp; Claims Intake</w:t>
      </w:r>
    </w:p>
    <w:p/>
    <w:p/>
    <w:p>
      <w:pPr>
        <w:jc w:val="center"/>
      </w:pPr>
      <w:r>
        <w:rPr>
          <w:b/>
          <w:color w:val="333333"/>
          <w:sz w:val="32"/>
        </w:rPr>
        <w:t>Project Report</w:t>
      </w:r>
    </w:p>
    <w:p>
      <w:pPr>
        <w:jc w:val="center"/>
      </w:pPr>
      <w:r>
        <w:rPr>
          <w:color w:val="555555"/>
          <w:sz w:val="24"/>
        </w:rPr>
        <w:t>Built on Amazon Bedrock Agents — Single-Agent, Dual Action-Group Architecture</w:t>
      </w:r>
    </w:p>
    <w:p/>
    <w:p/>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DCE6F1"/>
          </w:tcPr>
          <w:p>
            <w:r>
              <w:rPr>
                <w:b/>
                <w:sz w:val="21"/>
              </w:rPr>
              <w:t>Prepared for</w:t>
            </w:r>
          </w:p>
        </w:tc>
        <w:tc>
          <w:tcPr>
            <w:tcW w:type="dxa" w:w="6912"/>
          </w:tcPr>
          <w:p>
            <w:r>
              <w:rPr>
                <w:sz w:val="21"/>
              </w:rPr>
              <w:t>Auto Insurance Policyholder Servicing &amp; Claims Operations Stakeholders</w:t>
            </w:r>
          </w:p>
        </w:tc>
      </w:tr>
      <w:tr>
        <w:tc>
          <w:tcPr>
            <w:tcW w:type="dxa" w:w="2304"/>
            <w:shd w:val="clear" w:color="auto" w:fill="DCE6F1"/>
          </w:tcPr>
          <w:p>
            <w:r>
              <w:rPr>
                <w:b/>
                <w:sz w:val="21"/>
              </w:rPr>
              <w:t>Domain</w:t>
            </w:r>
          </w:p>
        </w:tc>
        <w:tc>
          <w:tcPr>
            <w:tcW w:type="dxa" w:w="6912"/>
          </w:tcPr>
          <w:p>
            <w:r>
              <w:rPr>
                <w:sz w:val="21"/>
              </w:rPr>
              <w:t>Auto Insurance Policy Verification &amp; First-Notice-of-Loss (FNOL) Claims Intake</w:t>
            </w:r>
          </w:p>
        </w:tc>
      </w:tr>
      <w:tr>
        <w:tc>
          <w:tcPr>
            <w:tcW w:type="dxa" w:w="2304"/>
            <w:shd w:val="clear" w:color="auto" w:fill="DCE6F1"/>
          </w:tcPr>
          <w:p>
            <w:r>
              <w:rPr>
                <w:b/>
                <w:sz w:val="21"/>
              </w:rPr>
              <w:t>Delivery Phase</w:t>
            </w:r>
          </w:p>
        </w:tc>
        <w:tc>
          <w:tcPr>
            <w:tcW w:type="dxa" w:w="6912"/>
          </w:tcPr>
          <w:p>
            <w:r>
              <w:rPr>
                <w:sz w:val="21"/>
              </w:rPr>
              <w:t>Phase 1 (Build the Agent) — Complete; Phase 2 (Cloud Deployment &amp; Live Verification) — Planned</w:t>
            </w:r>
          </w:p>
        </w:tc>
      </w:tr>
      <w:tr>
        <w:tc>
          <w:tcPr>
            <w:tcW w:type="dxa" w:w="2304"/>
            <w:shd w:val="clear" w:color="auto" w:fill="DCE6F1"/>
          </w:tcPr>
          <w:p>
            <w:r>
              <w:rPr>
                <w:b/>
                <w:sz w:val="21"/>
              </w:rPr>
              <w:t>Status</w:t>
            </w:r>
          </w:p>
        </w:tc>
        <w:tc>
          <w:tcPr>
            <w:tcW w:type="dxa" w:w="6912"/>
          </w:tcPr>
          <w:p>
            <w:r>
              <w:rPr>
                <w:sz w:val="21"/>
              </w:rPr>
              <w:t>Infrastructure authored and statically validated (terraform validate clean across all 12 modules + root composition, resolved provider hashicorp/aws v6.55.0; 36/36 unit tests passing); not yet applied to a live AWS account, and the working tree is not yet under git version control</w:t>
            </w:r>
          </w:p>
        </w:tc>
      </w:tr>
      <w:tr>
        <w:tc>
          <w:tcPr>
            <w:tcW w:type="dxa" w:w="2304"/>
            <w:shd w:val="clear" w:color="auto" w:fill="DCE6F1"/>
          </w:tcPr>
          <w:p>
            <w:r>
              <w:rPr>
                <w:b/>
                <w:sz w:val="21"/>
              </w:rPr>
              <w:t>Document Date</w:t>
            </w:r>
          </w:p>
        </w:tc>
        <w:tc>
          <w:tcPr>
            <w:tcW w:type="dxa" w:w="6912"/>
          </w:tcPr>
          <w:p>
            <w:r>
              <w:rPr>
                <w:sz w:val="21"/>
              </w:rPr>
              <w:t>July 2026</w:t>
            </w:r>
          </w:p>
        </w:tc>
      </w:tr>
    </w:tbl>
    <w:p>
      <w:r>
        <w:br w:type="page"/>
      </w:r>
    </w:p>
    <w:p>
      <w:pPr>
        <w:pStyle w:val="Heading1"/>
      </w:pPr>
      <w:r>
        <w:t>Table of Contents</w:t>
      </w:r>
    </w:p>
    <w:p>
      <w:r>
        <w:fldChar w:fldCharType="begin"/>
        <w:instrText xml:space="preserve">TOC \o "1-3" \h \z \u</w:instrText>
        <w:fldChar w:fldCharType="separate"/>
        <w:t>Right-click here and choose "Update Field" (or press F9) to generate the table of contents.</w:t>
        <w:fldChar w:fldCharType="end"/>
      </w:r>
    </w:p>
    <w:p>
      <w:r>
        <w:br w:type="page"/>
      </w:r>
    </w:p>
    <w:p>
      <w:pPr>
        <w:pStyle w:val="Heading1"/>
      </w:pPr>
      <w:r>
        <w:t>1. Executive Summary</w:t>
      </w:r>
    </w:p>
    <w:p>
      <w:pPr>
        <w:spacing w:after="160"/>
      </w:pPr>
      <w:r>
        <w:rPr>
          <w:b w:val="0"/>
          <w:i w:val="0"/>
          <w:sz w:val="22"/>
        </w:rPr>
        <w:t>Auto insurance contact centers routinely spend disproportionate staff time on two repetitive, low-judgement interactions: confirming a caller's identity and policy details, and taking down the first notice of loss (FNOL) when a policyholder reports an accident. Both require verifying facts against real records — not just following a script — and both carry real consequences if handled carelessly: a misidentified caller, a claim filed against the wrong policy, or a coverage answer that isn't actually grounded in the policy's terms.</w:t>
      </w:r>
    </w:p>
    <w:p>
      <w:pPr>
        <w:spacing w:after="160"/>
      </w:pPr>
      <w:r>
        <w:rPr>
          <w:b w:val="0"/>
          <w:i w:val="0"/>
          <w:sz w:val="22"/>
        </w:rPr>
        <w:t>AutoClaim IQ automates this front-line interaction using a single Amazon Bedrock Agent with two purpose-built Action Groups — a Function-schema PolicyActionGroup that verifies identity and retrieves policy details, and an OpenAPI-schema ClaimsActionGroup that files new claims and reports claim status — backed by a Retrieval-Augmented-Generation (RAG) Knowledge Base for coverage and process questions. Every fact the agent states is retrieved from a real Amazon DynamoDB record or the Knowledge Base's document corpus, never recalled from the model's own memory.</w:t>
      </w:r>
    </w:p>
    <w:p>
      <w:pPr>
        <w:spacing w:after="160"/>
      </w:pPr>
      <w:r>
        <w:rPr>
          <w:b w:val="0"/>
          <w:i w:val="0"/>
          <w:sz w:val="22"/>
        </w:rPr>
        <w:t>The system's defining governance property is that filing a claim is never a single, silent model decision: the OpenAPI schema declares createClaim as requiring explicit end-user confirmation, so Bedrock itself withholds the Lambda invocation until the caller has confirmed the accident details, and the write path is additionally protected by a collision-checked, idempotent DynamoDB write. A Bedrock Guardrail structurally blocks or anonymizes sensitive PII (SSNs, card numbers, bank account numbers) and declines legal advice, medical advice, and competitor comparisons, independent of what any individual prompt asks for.</w:t>
      </w:r>
    </w:p>
    <w:p>
      <w:pPr>
        <w:spacing w:after="160"/>
      </w:pPr>
      <w:r>
        <w:rPr>
          <w:b w:val="0"/>
          <w:i w:val="0"/>
          <w:sz w:val="22"/>
        </w:rPr>
        <w:t>This project deliberately rebuilds a prior, demo-quality design for the same idea (preserved in PROJECT-IDEA.md for reference) that used a monolithic Terraform file, Lambdas that always returned the same hardcoded fake claim number and adjuster name, a fully unauthenticated public Lambda Function URL, and wildcard (Resource = ["*"]) IAM policies. None of that carries into this build; docs/decision-log.md records the specific correction behind each change.</w:t>
      </w:r>
    </w:p>
    <w:p>
      <w:pPr>
        <w:spacing w:after="160"/>
      </w:pPr>
      <w:r>
        <w:rPr>
          <w:b w:val="0"/>
          <w:i w:val="0"/>
          <w:sz w:val="22"/>
        </w:rPr>
        <w:t>This report covers the business rationale, the technical architecture, why a single-agent, dual-action-group design was chosen over a hand-rolled router or a multi-agent collaboration topology, a worked example produced by actually executing the platform's own Lambda business logic, and the current delivery status: Phase 1 — Build the Agent — is complete (all 12 Terraform modules plus the root composition validate cleanly, and 36 of 36 Lambda unit tests pass); Phase 2 — Cloud Deployment &amp; Live Verification — is planned but not yet started.</w:t>
      </w:r>
    </w:p>
    <w:p>
      <w:pPr>
        <w:pStyle w:val="Heading1"/>
      </w:pPr>
      <w:r>
        <w:t>2. Business Context &amp; Problem Statement</w:t>
      </w:r>
    </w:p>
    <w:p>
      <w:pPr>
        <w:pStyle w:val="Heading2"/>
      </w:pPr>
      <w:r>
        <w:t>2.1 The Operational Bottleneck</w:t>
      </w:r>
    </w:p>
    <w:p>
      <w:pPr>
        <w:spacing w:after="160"/>
      </w:pPr>
      <w:r>
        <w:rPr>
          <w:b w:val="0"/>
          <w:i w:val="0"/>
          <w:sz w:val="22"/>
        </w:rPr>
        <w:t>A policyholder contacting an auto insurer typically needs one of three things, each of which today depends on a human agent (or a brittle IVR tree) cross-checking real systems of record:</w:t>
      </w:r>
    </w:p>
    <w:p>
      <w:pPr>
        <w:pStyle w:val="ListBullet"/>
        <w:spacing w:after="80"/>
      </w:pPr>
      <w:r>
        <w:t>Identity and policy verification — confirming the caller actually owns the policy they're calling about (policy number plus the policyholder's last name), before discussing any specifics.</w:t>
      </w:r>
    </w:p>
    <w:p>
      <w:pPr>
        <w:pStyle w:val="ListBullet"/>
        <w:spacing w:after="80"/>
      </w:pPr>
      <w:r>
        <w:t>Coverage and process questions — explaining deductibles, what comprehensive vs. collision covers, the claims timeline, and rental reimbursement terms, consistently and correctly, not from memory.</w:t>
      </w:r>
    </w:p>
    <w:p>
      <w:pPr>
        <w:pStyle w:val="ListBullet"/>
        <w:spacing w:after="80"/>
      </w:pPr>
      <w:r>
        <w:t>First notice of loss (FNOL) — capturing the accident date and description accurately, confirming the details back to the caller before committing anything, creating a real claim record, and assigning an adjuster.</w:t>
      </w:r>
    </w:p>
    <w:p>
      <w:pPr>
        <w:spacing w:after="160"/>
      </w:pPr>
      <w:r>
        <w:rPr>
          <w:b w:val="0"/>
          <w:i w:val="0"/>
          <w:sz w:val="22"/>
        </w:rPr>
        <w:t>Handling all three by phone with live staff is accurate but expensive and slow at volume; handling them with a naive chatbot is fast but risks exactly the failure modes that matter most in insurance: misidentifying a caller, fabricating a coverage answer, or creating (or seeming to create) a claim without genuine confirmation.</w:t>
      </w:r>
    </w:p>
    <w:p>
      <w:pPr>
        <w:pStyle w:val="Heading2"/>
      </w:pPr>
      <w:r>
        <w:t>2.2 Why This Matters Now</w:t>
      </w:r>
    </w:p>
    <w:p>
      <w:pPr>
        <w:pStyle w:val="ListBullet"/>
        <w:spacing w:after="80"/>
      </w:pPr>
      <w:r>
        <w:t>Policyholders increasingly expect 24/7 self-service parity with digital-first insurtechs; a slow, phone-only intake path is a service-quality gap.</w:t>
      </w:r>
    </w:p>
    <w:p>
      <w:pPr>
        <w:pStyle w:val="ListBullet"/>
        <w:spacing w:after="80"/>
      </w:pPr>
      <w:r>
        <w:t>Any inconsistency in how coverage questions are answered, or how identity is verified, carries direct regulatory and customer-trust risk in a regulated line of business.</w:t>
      </w:r>
    </w:p>
    <w:p>
      <w:pPr>
        <w:pStyle w:val="ListBullet"/>
        <w:spacing w:after="80"/>
      </w:pPr>
      <w:r>
        <w:t>Generative AI has matured to the point where natural-language interaction is no longer the bottleneck — the bottleneck is grounding every consequential answer in real data and gating every consequential write behind explicit confirmation, which is precisely what this system is built around.</w:t>
      </w:r>
    </w:p>
    <w:p>
      <w:pPr>
        <w:pStyle w:val="Heading1"/>
      </w:pPr>
      <w:r>
        <w:t>3. Proposed Solution</w:t>
      </w:r>
    </w:p>
    <w:p>
      <w:pPr>
        <w:spacing w:after="160"/>
      </w:pPr>
      <w:r>
        <w:rPr>
          <w:b w:val="0"/>
          <w:i w:val="0"/>
          <w:sz w:val="22"/>
        </w:rPr>
        <w:t>AutoClaim IQ is a single conversational agent, reachable through one Cognito-authenticated API endpoint, that a policyholder can address in natural language for policy verification, coverage questions, and claims intake in one continuous session.</w:t>
      </w:r>
    </w:p>
    <w:p>
      <w:pPr>
        <w:pStyle w:val="Heading2"/>
      </w:pPr>
      <w:r>
        <w:t>3.1 What It Does, End to End</w:t>
      </w:r>
    </w:p>
    <w:p>
      <w:pPr>
        <w:pStyle w:val="ListBullet"/>
        <w:spacing w:after="80"/>
      </w:pPr>
      <w:r>
        <w:t>Accepts a chat-style request via a Cognito-JWT-authenticated HTTP API.</w:t>
      </w:r>
    </w:p>
    <w:p>
      <w:pPr>
        <w:pStyle w:val="ListBullet"/>
        <w:spacing w:after="80"/>
      </w:pPr>
      <w:r>
        <w:t>Verifies the caller's identity by policy number and last name before discussing any policy specifics or filing a claim — never assumes identity from what the caller states.</w:t>
      </w:r>
    </w:p>
    <w:p>
      <w:pPr>
        <w:pStyle w:val="ListBullet"/>
        <w:spacing w:after="80"/>
      </w:pPr>
      <w:r>
        <w:t>Answers coverage, deductible, and claims-process questions grounded in a Knowledge Base built from the insurer's own documents, and says so explicitly when the Knowledge Base has no answer, rather than guessing.</w:t>
      </w:r>
    </w:p>
    <w:p>
      <w:pPr>
        <w:pStyle w:val="ListBullet"/>
        <w:spacing w:after="80"/>
      </w:pPr>
      <w:r>
        <w:t>Walks the caller through filing a first notice of loss, explicitly confirming the accident date and description back to them before the claim is actually created.</w:t>
      </w:r>
    </w:p>
    <w:p>
      <w:pPr>
        <w:pStyle w:val="ListBullet"/>
        <w:spacing w:after="80"/>
      </w:pPr>
      <w:r>
        <w:t>Creates a real claim record with a collision-checked claim number and a deterministically assigned adjuster, and lets the caller check claim status later in the same or a subsequent session.</w:t>
      </w:r>
    </w:p>
    <w:p>
      <w:pPr>
        <w:pStyle w:val="Heading2"/>
      </w:pPr>
      <w:r>
        <w:t>3.2 What Makes It Different From a Simple Chatbot</w:t>
      </w:r>
    </w:p>
    <w:p>
      <w:pPr>
        <w:spacing w:after="160"/>
      </w:pPr>
      <w:r>
        <w:rPr>
          <w:b w:val="0"/>
          <w:i w:val="0"/>
          <w:sz w:val="22"/>
        </w:rPr>
        <w:t>A single chat-style LLM call could technically “answer” a policy question, but it has no reliable way to guarantee the policy details it states are real (versus hallucinated), no systematic identity gate before disclosing anything, no enforced pause for confirmation before a consequential write, and no structural protection against being talked into giving legal or medical advice or repeating back a policyholder's SSN or card number. AutoClaim IQ is architected specifically to close those gaps — the core justification for a tool-using, schema-governed agent design covered in Section 4.</w:t>
      </w:r>
    </w:p>
    <w:p>
      <w:pPr>
        <w:pStyle w:val="Heading1"/>
      </w:pPr>
      <w:r>
        <w:t>4. Why an Agentic (Tool-Using) Approach</w:t>
      </w:r>
    </w:p>
    <w:p>
      <w:pPr>
        <w:spacing w:after="160"/>
      </w:pPr>
      <w:r>
        <w:rPr>
          <w:b w:val="0"/>
          <w:i w:val="0"/>
          <w:sz w:val="22"/>
        </w:rPr>
        <w:t>“Agentic” here means the system plans and calls real tools to gather facts and take action, rather than answering purely from the model's own generated text. This project uses Amazon Bedrock's native Agent, Action Group, and Knowledge Base primitives for concrete engineering and governance reasons:</w:t>
      </w:r>
    </w:p>
    <w:p>
      <w:pPr>
        <w:pStyle w:val="Heading2"/>
      </w:pPr>
      <w:r>
        <w:t>4.1 Two Purpose-Built Action Groups, Not One Generalist Prompt</w:t>
      </w:r>
    </w:p>
    <w:p>
      <w:pPr>
        <w:spacing w:after="160"/>
      </w:pPr>
      <w:r>
        <w:rPr>
          <w:b w:val="0"/>
          <w:i w:val="0"/>
          <w:sz w:val="22"/>
        </w:rPr>
        <w:t>PolicyActionGroup only verifies identity and retrieves policy facts; ClaimsActionGroup only files and looks up claims. Each Lambda's business logic (verify_policy, create_claim, get_claim_status) is a short, independently unit-tested function with a single responsibility, deliberately kept free of any Bedrock event-shape parsing — producing more reliable, more testable behavior than one model juggling identity checking, coverage explanation, and claim creation in a single undifferentiated prompt.</w:t>
      </w:r>
    </w:p>
    <w:p>
      <w:pPr>
        <w:pStyle w:val="Heading2"/>
      </w:pPr>
      <w:r>
        <w:t>4.2 Grounding Eliminates Hallucination Risk</w:t>
      </w:r>
    </w:p>
    <w:p>
      <w:pPr>
        <w:spacing w:after="160"/>
      </w:pPr>
      <w:r>
        <w:rPr>
          <w:b w:val="0"/>
          <w:i w:val="0"/>
          <w:sz w:val="22"/>
        </w:rPr>
        <w:t>Every policy fact (status, coverage type, deductible, vehicle details) and every claim outcome (claim number, status, assigned adjuster) is read from or written to a real DynamoDB table by a deterministic Lambda function invoked as an agent tool — never recalled from the model's memory. Coverage and process questions are answered from a Knowledge Base built over the insurer's own documents (knowledge-base/seed-docs/), not the model's general training knowledge.</w:t>
      </w:r>
    </w:p>
    <w:p>
      <w:pPr>
        <w:pStyle w:val="Heading2"/>
      </w:pPr>
      <w:r>
        <w:t>4.3 Deterministic Identity &amp; Business-Rule Enforcement</w:t>
      </w:r>
    </w:p>
    <w:p>
      <w:pPr>
        <w:spacing w:after="160"/>
      </w:pPr>
      <w:r>
        <w:rPr>
          <w:b w:val="0"/>
          <w:i w:val="0"/>
          <w:sz w:val="22"/>
        </w:rPr>
        <w:t>The identity check (does the supplied last name match the policy on file) is exact-match Lambda logic, not an LLM judgement call, and deliberately returns a generic mismatch message rather than confirming or denying that a policy ID exists to a caller who fails it. Claim creation independently enforces that the underlying policy is ACTIVE before a claim can be filed against it, and generates a real, collision-checked claim number (CLM-&lt;year&gt;-&lt;6 digits&gt;, retried up to five times against a conditional PutItem) plus a deterministic hash-based adjuster assignment — not the placeholder “CLM-” + timestamp and hardcoded adjuster name of the prior demo design.</w:t>
      </w:r>
    </w:p>
    <w:p>
      <w:pPr>
        <w:pStyle w:val="Heading2"/>
      </w:pPr>
      <w:r>
        <w:t>4.4 Confirmation Before Consequential Action</w:t>
      </w:r>
    </w:p>
    <w:p>
      <w:pPr>
        <w:spacing w:after="160"/>
      </w:pPr>
      <w:r>
        <w:rPr>
          <w:b w:val="0"/>
          <w:i w:val="0"/>
          <w:sz w:val="22"/>
        </w:rPr>
        <w:t>schemas/claims-openapi.yaml marks POST /claims with x-requireConfirmation: ENABLED. Bedrock parses this at the agent level and withholds the createClaim Lambda invocation entirely until the end user has explicitly confirmed — the Lambda never even sees a “pending confirmation” state; it is invoked exactly once, after confirmation. The handler still performs a conditional, idempotent write regardless, as defense in depth against any retry.</w:t>
      </w:r>
    </w:p>
    <w:p>
      <w:pPr>
        <w:pStyle w:val="Heading2"/>
      </w:pPr>
      <w:r>
        <w:t>4.5 Built-In Guardrails for Regulated Content</w:t>
      </w:r>
    </w:p>
    <w:p>
      <w:pPr>
        <w:spacing w:after="160"/>
      </w:pPr>
      <w:r>
        <w:rPr>
          <w:b w:val="0"/>
          <w:i w:val="0"/>
          <w:sz w:val="22"/>
        </w:rPr>
        <w:t>A Bedrock Guardrail attached to the agent enforces, as infrastructure rather than prompt wording: content filters across sexual, violence, hate, insults, misconduct, and prompt-attack categories; hard blocking of Social Security numbers, credit/debit card numbers and CVVs, and bank account numbers; anonymization (rather than blocking) of lower-risk contact PII — email, phone, name, driver ID — so the conversation can still reference “your policy on file” without echoing the raw value; and four denied topics (legal advice, medical advice, competitor comparison, and financial/investment advice), each with its own definition and examples. The agent's own instructions repeat these constraints explicitly as a second layer, not a substitute for the Guardrail.</w:t>
      </w:r>
    </w:p>
    <w:p>
      <w:pPr>
        <w:pStyle w:val="Heading2"/>
      </w:pPr>
      <w:r>
        <w:t>4.6 Observability &amp; Least Privilege by Construction</w:t>
      </w:r>
    </w:p>
    <w:p>
      <w:pPr>
        <w:spacing w:after="160"/>
      </w:pPr>
      <w:r>
        <w:rPr>
          <w:b w:val="0"/>
          <w:i w:val="0"/>
          <w:sz w:val="22"/>
        </w:rPr>
        <w:t>Every Lambda, the API Gateway stage, and DynamoDB are covered by CloudWatch alarms (Lambda errors, throttles, and duration; API Gateway 4xx/5xx; DynamoDB throttling) surfaced on a single overview dashboard, plus X-Ray tracing across the request path. Every IAM role in the stack is scoped to specific resource ARNs — the project's IAM matrix (docs/iam-matrix.md) documents that no role grants Resource = ["*"] for any scopable action.</w:t>
      </w:r>
    </w:p>
    <w:p>
      <w:pPr>
        <w:pStyle w:val="Heading1"/>
      </w:pPr>
      <w:r>
        <w:t>5. System Architecture</w:t>
      </w:r>
    </w:p>
    <w:p>
      <w:pPr>
        <w:spacing w:after="160"/>
      </w:pPr>
      <w:r>
        <w:rPr>
          <w:b w:val="0"/>
          <w:i w:val="0"/>
          <w:sz w:val="22"/>
        </w:rPr>
        <w:t>The system is one Bedrock Agent with two natively integrated Action Groups and one Knowledge Base association, sitting behind a Cognito-authenticated API Gateway. The diagram below shows the flow as implemented in Terraform.</w:t>
      </w:r>
    </w:p>
    <w:p>
      <w:pPr>
        <w:pStyle w:val="Heading2"/>
      </w:pPr>
      <w:r>
        <w:t>5.1 Request Flow</w:t>
      </w:r>
    </w:p>
    <w:p>
      <w:pPr>
        <w:spacing w:after="160"/>
        <w:ind w:left="432"/>
        <w:shd w:val="clear" w:color="auto" w:fill="F2F2F2"/>
      </w:pPr>
      <w:r>
        <w:rPr>
          <w:rFonts w:ascii="Consolas" w:hAnsi="Consolas"/>
          <w:color w:val="222222"/>
          <w:sz w:val="18"/>
        </w:rPr>
        <w:t>Cognito-authenticated client</w:t>
        <w:br/>
        <w:t xml:space="preserve">        |</w:t>
        <w:br/>
        <w:t xml:space="preserve">        v</w:t>
        <w:br/>
        <w:t>API Gateway (HTTP API, JWT authorizer)</w:t>
        <w:br/>
        <w:t xml:space="preserve">        |</w:t>
        <w:br/>
        <w:t xml:space="preserve">        v</w:t>
        <w:br/>
        <w:t>Client API Lambda --InvokeAgent--&gt; Bedrock Agent (Claude, Guardrail-attached)</w:t>
        <w:br/>
        <w:t xml:space="preserve">                                        |            |</w:t>
        <w:br/>
        <w:t xml:space="preserve">                          PolicyActionGroup   ClaimsActionGroup      Knowledge Base</w:t>
        <w:br/>
        <w:t xml:space="preserve">                          (Function schema)   (OpenAPI schema)       (S3 Vectors RAG)</w:t>
        <w:br/>
        <w:t xml:space="preserve">                                |                    |                     |</w:t>
        <w:br/>
        <w:t xml:space="preserve">                        Policy Lambda         Claims Lambda          KB source bucket</w:t>
        <w:br/>
        <w:t xml:space="preserve">                                |                    |                     |</w:t>
        <w:br/>
        <w:t xml:space="preserve">                          Policies table       Claims table      S3 event -&gt; Sync Lambda</w:t>
        <w:br/>
        <w:t xml:space="preserve">                            (DynamoDB)          (DynamoDB)         -&gt; StartIngestionJob</w:t>
      </w:r>
    </w:p>
    <w:p>
      <w:pPr>
        <w:pStyle w:val="Heading2"/>
      </w:pPr>
      <w:r>
        <w:t>5.2 The Agent and Its Action Groups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365F91"/>
          </w:tcPr>
          <w:p>
            <w:r/>
            <w:r>
              <w:rPr>
                <w:b/>
                <w:color w:val="FFFFFF"/>
                <w:sz w:val="21"/>
              </w:rPr>
              <w:t>Component</w:t>
            </w:r>
          </w:p>
        </w:tc>
        <w:tc>
          <w:tcPr>
            <w:tcW w:type="dxa" w:w="1584"/>
            <w:shd w:val="clear" w:color="auto" w:fill="365F91"/>
          </w:tcPr>
          <w:p>
            <w:r/>
            <w:r>
              <w:rPr>
                <w:b/>
                <w:color w:val="FFFFFF"/>
                <w:sz w:val="21"/>
              </w:rPr>
              <w:t>Schema / Type</w:t>
            </w:r>
          </w:p>
        </w:tc>
        <w:tc>
          <w:tcPr>
            <w:tcW w:type="dxa" w:w="3744"/>
            <w:shd w:val="clear" w:color="auto" w:fill="365F91"/>
          </w:tcPr>
          <w:p>
            <w:r/>
            <w:r>
              <w:rPr>
                <w:b/>
                <w:color w:val="FFFFFF"/>
                <w:sz w:val="21"/>
              </w:rPr>
              <w:t>Purpose</w:t>
            </w:r>
          </w:p>
        </w:tc>
        <w:tc>
          <w:tcPr>
            <w:tcW w:type="dxa" w:w="1728"/>
            <w:shd w:val="clear" w:color="auto" w:fill="365F91"/>
          </w:tcPr>
          <w:p>
            <w:r/>
            <w:r>
              <w:rPr>
                <w:b/>
                <w:color w:val="FFFFFF"/>
                <w:sz w:val="21"/>
              </w:rPr>
              <w:t>Backing Store</w:t>
            </w:r>
          </w:p>
        </w:tc>
      </w:tr>
      <w:tr>
        <w:tc>
          <w:tcPr>
            <w:tcW w:type="dxa" w:w="2160"/>
          </w:tcPr>
          <w:p>
            <w:r/>
            <w:r>
              <w:rPr>
                <w:sz w:val="20"/>
              </w:rPr>
              <w:t>AutoClaim IQ Agent</w:t>
            </w:r>
          </w:p>
        </w:tc>
        <w:tc>
          <w:tcPr>
            <w:tcW w:type="dxa" w:w="1584"/>
          </w:tcPr>
          <w:p>
            <w:r/>
            <w:r>
              <w:rPr>
                <w:sz w:val="20"/>
              </w:rPr>
              <w:t>n/a</w:t>
            </w:r>
          </w:p>
        </w:tc>
        <w:tc>
          <w:tcPr>
            <w:tcW w:type="dxa" w:w="3744"/>
          </w:tcPr>
          <w:p>
            <w:r/>
            <w:r>
              <w:rPr>
                <w:sz w:val="20"/>
              </w:rPr>
              <w:t>Verifies identity, answers coverage/process questions, guides FNOL intake, synthesises the final reply.</w:t>
            </w:r>
          </w:p>
        </w:tc>
        <w:tc>
          <w:tcPr>
            <w:tcW w:type="dxa" w:w="1728"/>
          </w:tcPr>
          <w:p>
            <w:r/>
            <w:r>
              <w:rPr>
                <w:sz w:val="20"/>
              </w:rPr>
              <w:t>Bedrock Knowledge Base + Guardrail</w:t>
            </w:r>
          </w:p>
        </w:tc>
      </w:tr>
      <w:tr>
        <w:tc>
          <w:tcPr>
            <w:tcW w:type="dxa" w:w="2160"/>
          </w:tcPr>
          <w:p>
            <w:r/>
            <w:r>
              <w:rPr>
                <w:sz w:val="20"/>
              </w:rPr>
              <w:t>PolicyActionGroup</w:t>
            </w:r>
          </w:p>
        </w:tc>
        <w:tc>
          <w:tcPr>
            <w:tcW w:type="dxa" w:w="1584"/>
          </w:tcPr>
          <w:p>
            <w:r/>
            <w:r>
              <w:rPr>
                <w:sz w:val="20"/>
              </w:rPr>
              <w:t>Function schema</w:t>
            </w:r>
          </w:p>
        </w:tc>
        <w:tc>
          <w:tcPr>
            <w:tcW w:type="dxa" w:w="3744"/>
          </w:tcPr>
          <w:p>
            <w:r/>
            <w:r>
              <w:rPr>
                <w:sz w:val="20"/>
              </w:rPr>
              <w:t>verifyAndRetrievePolicy — validates policy number + last name, returns policy status, coverage type, deductible, vehicle details.</w:t>
            </w:r>
          </w:p>
        </w:tc>
        <w:tc>
          <w:tcPr>
            <w:tcW w:type="dxa" w:w="1728"/>
          </w:tcPr>
          <w:p>
            <w:r/>
            <w:r>
              <w:rPr>
                <w:sz w:val="20"/>
              </w:rPr>
              <w:t>Policies (DynamoDB), read-only</w:t>
            </w:r>
          </w:p>
        </w:tc>
      </w:tr>
      <w:tr>
        <w:tc>
          <w:tcPr>
            <w:tcW w:type="dxa" w:w="2160"/>
          </w:tcPr>
          <w:p>
            <w:r/>
            <w:r>
              <w:rPr>
                <w:sz w:val="20"/>
              </w:rPr>
              <w:t>ClaimsActionGroup</w:t>
            </w:r>
          </w:p>
        </w:tc>
        <w:tc>
          <w:tcPr>
            <w:tcW w:type="dxa" w:w="1584"/>
          </w:tcPr>
          <w:p>
            <w:r/>
            <w:r>
              <w:rPr>
                <w:sz w:val="20"/>
              </w:rPr>
              <w:t>OpenAPI schema</w:t>
            </w:r>
          </w:p>
        </w:tc>
        <w:tc>
          <w:tcPr>
            <w:tcW w:type="dxa" w:w="3744"/>
          </w:tcPr>
          <w:p>
            <w:r/>
            <w:r>
              <w:rPr>
                <w:sz w:val="20"/>
              </w:rPr>
              <w:t>createClaim (confirmation-gated) and getClaimStatus — files a new FNOL claim or reports on an existing one.</w:t>
            </w:r>
          </w:p>
        </w:tc>
        <w:tc>
          <w:tcPr>
            <w:tcW w:type="dxa" w:w="1728"/>
          </w:tcPr>
          <w:p>
            <w:r/>
            <w:r>
              <w:rPr>
                <w:sz w:val="20"/>
              </w:rPr>
              <w:t>Claims (DynamoDB, read/write) + read-only cross-check of Policies</w:t>
            </w:r>
          </w:p>
        </w:tc>
      </w:tr>
    </w:tbl>
    <w:p>
      <w:pPr>
        <w:spacing w:after="80"/>
      </w:pPr>
    </w:p>
    <w:p>
      <w:pPr>
        <w:pStyle w:val="Heading2"/>
      </w:pPr>
      <w:r>
        <w:t>5.3 Grounded Knowledge Layer (RAG)</w:t>
      </w:r>
    </w:p>
    <w:p>
      <w:pPr>
        <w:spacing w:after="160"/>
      </w:pPr>
      <w:r>
        <w:rPr>
          <w:b w:val="0"/>
          <w:i w:val="0"/>
          <w:sz w:val="22"/>
        </w:rPr>
        <w:t>Coverage and process questions are answered from a Bedrock Knowledge Base backed by Amazon S3 Vectors, built over three seed documents (knowledge-base/seed-docs/): claims-process-guide.md (filing flow and claim status lifecycle), coverage-faq.md (comprehensive/collision coverage, deductibles, exclusions), and glossary.md (rental reimbursement terms and general insurance glossary). Uploading a new or updated document to the source S3 bucket triggers an S3 event, which invokes a dedicated sync Lambda that calls StartIngestionJob — keeping the Knowledge Base current is a document upload, not a manual console click or a code change.</w:t>
      </w:r>
    </w:p>
    <w:p>
      <w:pPr>
        <w:pStyle w:val="Heading1"/>
      </w:pPr>
      <w:r>
        <w:t>6. Why Amazon Bedrock Agents — Single-Agent, Dual-Schema Design</w:t>
      </w:r>
    </w:p>
    <w:p>
      <w:pPr>
        <w:spacing w:after="160"/>
      </w:pPr>
      <w:r>
        <w:rPr>
          <w:b w:val="0"/>
          <w:i w:val="0"/>
          <w:sz w:val="22"/>
        </w:rPr>
        <w:t>Amazon Bedrock Agents were chosen for this project, and a single-agent, two-Action-Group topology was chosen over a hand-rolled router or a multi-agent collaboration pattern, for five concrete reasons.</w:t>
      </w:r>
    </w:p>
    <w:p>
      <w:pPr>
        <w:pStyle w:val="Heading2"/>
      </w:pPr>
      <w:r>
        <w:t>6.1 Native Tool-Calling, Not a Hand-Rolled Router</w:t>
      </w:r>
    </w:p>
    <w:p>
      <w:pPr>
        <w:spacing w:after="160"/>
      </w:pPr>
      <w:r>
        <w:rPr>
          <w:b w:val="0"/>
          <w:i w:val="0"/>
          <w:sz w:val="22"/>
        </w:rPr>
        <w:t>Bedrock Agents provide first-class tool-calling: the agent's own reasoning decides when to call verifyAndRetrievePolicy, when to query the Knowledge Base, and when (after confirmation) to call createClaim, without the project needing to write and maintain its own intent-routing logic or state machine for the conversation.</w:t>
      </w:r>
    </w:p>
    <w:p>
      <w:pPr>
        <w:pStyle w:val="Heading2"/>
      </w:pPr>
      <w:r>
        <w:t>6.2 Two Action Group Schema Types for Two Integration Patterns</w:t>
      </w:r>
    </w:p>
    <w:p>
      <w:pPr>
        <w:spacing w:after="160"/>
      </w:pPr>
      <w:r>
        <w:rPr>
          <w:b w:val="0"/>
          <w:i w:val="0"/>
          <w:sz w:val="22"/>
        </w:rPr>
        <w:t>Bedrock Action Groups support both a Function schema (parameters defined directly against the Lambda — ideal for a simple, internal, deterministic tool like policy verification) and an OpenAPI schema (a REST contract — ideal for describing a more service-like, multi-operation integration such as claims filing and status lookup). This project deliberately uses one of each to demonstrate both integration patterns end to end, and because only the OpenAPI schema exposes the x-requireConfirmation extension this project relies on to gate claim creation (Section 4.4) — the installed Bedrock provider's Function-schema functions block has no equivalent require_confirmation argument, confirmed directly against the provider schema during the build.</w:t>
      </w:r>
    </w:p>
    <w:p>
      <w:pPr>
        <w:pStyle w:val="Heading2"/>
      </w:pPr>
      <w:r>
        <w:t>6.3 Single Agent Chosen Over Multi-Agent Collaboration</w:t>
      </w:r>
    </w:p>
    <w:p>
      <w:pPr>
        <w:spacing w:after="160"/>
      </w:pPr>
      <w:r>
        <w:rPr>
          <w:b w:val="0"/>
          <w:i w:val="0"/>
          <w:sz w:val="22"/>
        </w:rPr>
        <w:t>Bedrock also supports a Supervisor-and-collaborator-agents topology for workflows that need several independently specialized, independently scaling agents. That pattern was deliberately not used here: the original brief was specifically to demonstrate both Action Group schema types end to end through one coherent conversational flow, and a multi-agent split would roughly triple the Terraform and IAM surface for a two-tool workflow that doesn't yet need independently scaling specialists. This trade-off was confirmed with the project stakeholder before the build began (docs/decision-log.md).</w:t>
      </w:r>
    </w:p>
    <w:p>
      <w:pPr>
        <w:pStyle w:val="Heading2"/>
      </w:pPr>
      <w:r>
        <w:t>6.4 Model-Agnostic Foundation Model Choice</w:t>
      </w:r>
    </w:p>
    <w:p>
      <w:pPr>
        <w:spacing w:after="160"/>
      </w:pPr>
      <w:r>
        <w:rPr>
          <w:b w:val="0"/>
          <w:i w:val="0"/>
          <w:sz w:val="22"/>
        </w:rPr>
        <w:t>The agent's foundation model is a single Terraform variable, foundation_model_id, currently set to a Claude Sonnet 4.5 cross-region inference profile (us.anthropic.claude-sonnet-4-5-20250929-v1:0). Swapping models later, as Bedrock's model catalog evolves, is a one-line configuration change, not a re-architecture.</w:t>
      </w:r>
    </w:p>
    <w:p>
      <w:pPr>
        <w:pStyle w:val="Heading2"/>
      </w:pPr>
      <w:r>
        <w:t>6.5 Production-Ready, Infrastructure-as-Code Path to Scale</w:t>
      </w:r>
    </w:p>
    <w:p>
      <w:pPr>
        <w:spacing w:after="160"/>
      </w:pPr>
      <w:r>
        <w:rPr>
          <w:b w:val="0"/>
          <w:i w:val="0"/>
          <w:sz w:val="22"/>
        </w:rPr>
        <w:t>Every resource — the agent, both Action Groups, the Knowledge Base, the Guardrail, both DynamoDB tables, Cognito, API Gateway, and observability — is defined once as modular Terraform (12 modules plus the root composition), each independently validatable with terraform init -backend=false &amp;&amp; terraform validate. An explicit depends_on chain forces the Bedrock agent's action groups, Knowledge Base association, and alias to apply serially, working around a known provider-level race where concurrent action-group changes against the same agent can collide with an implicit “Preparing” state.</w:t>
      </w:r>
    </w:p>
    <w:p>
      <w:pPr>
        <w:pStyle w:val="Heading1"/>
      </w:pPr>
      <w:r>
        <w:t>7. Technical Implementation Details</w:t>
      </w:r>
    </w:p>
    <w:p>
      <w:pPr>
        <w:pStyle w:val="Heading2"/>
      </w:pPr>
      <w:r>
        <w:t>7.1 Technology Stack</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365F91"/>
          </w:tcPr>
          <w:p>
            <w:r/>
            <w:r>
              <w:rPr>
                <w:b/>
                <w:color w:val="FFFFFF"/>
                <w:sz w:val="21"/>
              </w:rPr>
              <w:t>Layer</w:t>
            </w:r>
          </w:p>
        </w:tc>
        <w:tc>
          <w:tcPr>
            <w:tcW w:type="dxa" w:w="6336"/>
            <w:shd w:val="clear" w:color="auto" w:fill="365F91"/>
          </w:tcPr>
          <w:p>
            <w:r/>
            <w:r>
              <w:rPr>
                <w:b/>
                <w:color w:val="FFFFFF"/>
                <w:sz w:val="21"/>
              </w:rPr>
              <w:t>Choice</w:t>
            </w:r>
          </w:p>
        </w:tc>
      </w:tr>
      <w:tr>
        <w:tc>
          <w:tcPr>
            <w:tcW w:type="dxa" w:w="2880"/>
          </w:tcPr>
          <w:p>
            <w:r/>
            <w:r>
              <w:rPr>
                <w:sz w:val="20"/>
              </w:rPr>
              <w:t>Infrastructure as Code</w:t>
            </w:r>
          </w:p>
        </w:tc>
        <w:tc>
          <w:tcPr>
            <w:tcW w:type="dxa" w:w="6336"/>
          </w:tcPr>
          <w:p>
            <w:r/>
            <w:r>
              <w:rPr>
                <w:sz w:val="20"/>
              </w:rPr>
              <w:t>Terraform 1.15.7 (exact pin); hashicorp/aws provider &gt;= 6.27.0 (resolved to v6.55.0 at last validation)</w:t>
            </w:r>
          </w:p>
        </w:tc>
      </w:tr>
      <w:tr>
        <w:tc>
          <w:tcPr>
            <w:tcW w:type="dxa" w:w="2880"/>
          </w:tcPr>
          <w:p>
            <w:r/>
            <w:r>
              <w:rPr>
                <w:sz w:val="20"/>
              </w:rPr>
              <w:t>Agent platform</w:t>
            </w:r>
          </w:p>
        </w:tc>
        <w:tc>
          <w:tcPr>
            <w:tcW w:type="dxa" w:w="6336"/>
          </w:tcPr>
          <w:p>
            <w:r/>
            <w:r>
              <w:rPr>
                <w:sz w:val="20"/>
              </w:rPr>
              <w:t>Amazon Bedrock Agents (single agent, two Action Groups, Knowledge Base, Guardrail)</w:t>
            </w:r>
          </w:p>
        </w:tc>
      </w:tr>
      <w:tr>
        <w:tc>
          <w:tcPr>
            <w:tcW w:type="dxa" w:w="2880"/>
          </w:tcPr>
          <w:p>
            <w:r/>
            <w:r>
              <w:rPr>
                <w:sz w:val="20"/>
              </w:rPr>
              <w:t>Foundation model</w:t>
            </w:r>
          </w:p>
        </w:tc>
        <w:tc>
          <w:tcPr>
            <w:tcW w:type="dxa" w:w="6336"/>
          </w:tcPr>
          <w:p>
            <w:r/>
            <w:r>
              <w:rPr>
                <w:sz w:val="20"/>
              </w:rPr>
              <w:t>Anthropic Claude Sonnet 4.5 cross-region inference profile — configurable via a single Terraform variable</w:t>
            </w:r>
          </w:p>
        </w:tc>
      </w:tr>
      <w:tr>
        <w:tc>
          <w:tcPr>
            <w:tcW w:type="dxa" w:w="2880"/>
          </w:tcPr>
          <w:p>
            <w:r/>
            <w:r>
              <w:rPr>
                <w:sz w:val="20"/>
              </w:rPr>
              <w:t>Vector store</w:t>
            </w:r>
          </w:p>
        </w:tc>
        <w:tc>
          <w:tcPr>
            <w:tcW w:type="dxa" w:w="6336"/>
          </w:tcPr>
          <w:p>
            <w:r/>
            <w:r>
              <w:rPr>
                <w:sz w:val="20"/>
              </w:rPr>
              <w:t>Amazon S3 Vectors (near-zero idle cost, pay-per-use)</w:t>
            </w:r>
          </w:p>
        </w:tc>
      </w:tr>
      <w:tr>
        <w:tc>
          <w:tcPr>
            <w:tcW w:type="dxa" w:w="2880"/>
          </w:tcPr>
          <w:p>
            <w:r/>
            <w:r>
              <w:rPr>
                <w:sz w:val="20"/>
              </w:rPr>
              <w:t>Application/tool language</w:t>
            </w:r>
          </w:p>
        </w:tc>
        <w:tc>
          <w:tcPr>
            <w:tcW w:type="dxa" w:w="6336"/>
          </w:tcPr>
          <w:p>
            <w:r/>
            <w:r>
              <w:rPr>
                <w:sz w:val="20"/>
              </w:rPr>
              <w:t>Python 3.12 (AWS Lambda runtime)</w:t>
            </w:r>
          </w:p>
        </w:tc>
      </w:tr>
      <w:tr>
        <w:tc>
          <w:tcPr>
            <w:tcW w:type="dxa" w:w="2880"/>
          </w:tcPr>
          <w:p>
            <w:r/>
            <w:r>
              <w:rPr>
                <w:sz w:val="20"/>
              </w:rPr>
              <w:t>Application data store</w:t>
            </w:r>
          </w:p>
        </w:tc>
        <w:tc>
          <w:tcPr>
            <w:tcW w:type="dxa" w:w="6336"/>
          </w:tcPr>
          <w:p>
            <w:r/>
            <w:r>
              <w:rPr>
                <w:sz w:val="20"/>
              </w:rPr>
              <w:t>Amazon DynamoDB — Policies (read-mostly) and Claims (read/write), both with GSIs, point-in-time recovery, and prevent_destroy</w:t>
            </w:r>
          </w:p>
        </w:tc>
      </w:tr>
      <w:tr>
        <w:tc>
          <w:tcPr>
            <w:tcW w:type="dxa" w:w="2880"/>
          </w:tcPr>
          <w:p>
            <w:r/>
            <w:r>
              <w:rPr>
                <w:sz w:val="20"/>
              </w:rPr>
              <w:t>Public API &amp; auth</w:t>
            </w:r>
          </w:p>
        </w:tc>
        <w:tc>
          <w:tcPr>
            <w:tcW w:type="dxa" w:w="6336"/>
          </w:tcPr>
          <w:p>
            <w:r/>
            <w:r>
              <w:rPr>
                <w:sz w:val="20"/>
              </w:rPr>
              <w:t>Amazon API Gateway (HTTP API) + Amazon Cognito (JWT authorizer, MFA-capable user pool, strong password policy)</w:t>
            </w:r>
          </w:p>
        </w:tc>
      </w:tr>
      <w:tr>
        <w:tc>
          <w:tcPr>
            <w:tcW w:type="dxa" w:w="2880"/>
          </w:tcPr>
          <w:p>
            <w:r/>
            <w:r>
              <w:rPr>
                <w:sz w:val="20"/>
              </w:rPr>
              <w:t>Observability</w:t>
            </w:r>
          </w:p>
        </w:tc>
        <w:tc>
          <w:tcPr>
            <w:tcW w:type="dxa" w:w="6336"/>
          </w:tcPr>
          <w:p>
            <w:r/>
            <w:r>
              <w:rPr>
                <w:sz w:val="20"/>
              </w:rPr>
              <w:t>Amazon CloudWatch (per-Lambda and API/DynamoDB alarms + an overview dashboard) + AWS X-Ray tracing</w:t>
            </w:r>
          </w:p>
        </w:tc>
      </w:tr>
      <w:tr>
        <w:tc>
          <w:tcPr>
            <w:tcW w:type="dxa" w:w="2880"/>
          </w:tcPr>
          <w:p>
            <w:r/>
            <w:r>
              <w:rPr>
                <w:sz w:val="20"/>
              </w:rPr>
              <w:t>Encryption</w:t>
            </w:r>
          </w:p>
        </w:tc>
        <w:tc>
          <w:tcPr>
            <w:tcW w:type="dxa" w:w="6336"/>
          </w:tcPr>
          <w:p>
            <w:r/>
            <w:r>
              <w:rPr>
                <w:sz w:val="20"/>
              </w:rPr>
              <w:t>Customer-managed KMS key dedicated to CloudWatch Log Groups; DynamoDB/S3 use AWS-managed encryption (see Section 11)</w:t>
            </w:r>
          </w:p>
        </w:tc>
      </w:tr>
      <w:tr>
        <w:tc>
          <w:tcPr>
            <w:tcW w:type="dxa" w:w="2880"/>
          </w:tcPr>
          <w:p>
            <w:r/>
            <w:r>
              <w:rPr>
                <w:sz w:val="20"/>
              </w:rPr>
              <w:t>Local CI substitute</w:t>
            </w:r>
          </w:p>
        </w:tc>
        <w:tc>
          <w:tcPr>
            <w:tcW w:type="dxa" w:w="6336"/>
          </w:tcPr>
          <w:p>
            <w:r/>
            <w:r>
              <w:rPr>
                <w:sz w:val="20"/>
              </w:rPr>
              <w:t>make preflight — terraform fmt/validate across every module + the full pytest suite; make lint / make checkov available as opt-in static analysis</w:t>
            </w:r>
          </w:p>
        </w:tc>
      </w:tr>
    </w:tbl>
    <w:p>
      <w:pPr>
        <w:spacing w:after="80"/>
      </w:pPr>
    </w:p>
    <w:p>
      <w:pPr>
        <w:pStyle w:val="Heading2"/>
      </w:pPr>
      <w:r>
        <w:t>7.2 IAM &amp; the Cycle-Avoidance Pattern</w:t>
      </w:r>
    </w:p>
    <w:p>
      <w:pPr>
        <w:spacing w:after="160"/>
      </w:pPr>
      <w:r>
        <w:rPr>
          <w:b w:val="0"/>
          <w:i w:val="0"/>
          <w:sz w:val="22"/>
        </w:rPr>
        <w:t>modules/iam is the single source of truth for role definitions, but three permissions target resources with real, AWS-generated ARNs that would otherwise create a circular module dependency: the agent's Knowledge-Base-retrieve permission and the sync Lambda's ingestion-trigger permission (both need the Knowledge Base's ARN, but the KB module needs a role ARN from modules/iam to be created in the first place), and the client API role's InvokeAgent permission (needs the agent/alias ARN, but the agent module needs its role ARN from modules/iam first). Each is resolved the same way: the resource-owning module (kb-s3vectors, bedrock-agent) takes the target role's name as an input and attaches a small supplemental aws_iam_role_policy directly, using its own just-created real ARN — no permission is scoped any more loosely than if it lived in modules/iam. docs/iam-matrix.md is the authoritative combined view; it confirms every role in the stack avoids Resource = ["*"] for any scopable action.</w:t>
      </w:r>
    </w:p>
    <w:p>
      <w:pPr>
        <w:pStyle w:val="Heading2"/>
      </w:pPr>
      <w:r>
        <w:t>7.3 API Surface</w:t>
      </w:r>
    </w:p>
    <w:p>
      <w:pPr>
        <w:spacing w:after="160"/>
      </w:pPr>
      <w:r>
        <w:rPr>
          <w:b w:val="0"/>
          <w:i w:val="0"/>
          <w:sz w:val="22"/>
        </w:rPr>
        <w:t>The public surface is a single POST {api}/chat endpoint. The client API Lambda parses the caller's Cognito JWT claims and calls bedrock-agent-runtime:InvokeAgent, returning the agent's completion. The Bedrock sessionId is deliberately derived as sha256(sub) from the authenticated Cognito sub claim, never accepted as a client-supplied value (services/client_api_handler/src/session_id.py) — a client-supplied session ID would let one authenticated user address, and potentially continue, another user's conversation with the agent. If multiple independent conversation threads per user are ever needed, any additional thread identifier must still be scoped under the verified sub.</w:t>
      </w:r>
    </w:p>
    <w:p>
      <w:pPr>
        <w:pStyle w:val="Heading2"/>
      </w:pPr>
      <w:r>
        <w:t>7.4 Reliability &amp; Idempotency</w:t>
      </w:r>
    </w:p>
    <w:p>
      <w:pPr>
        <w:spacing w:after="160"/>
      </w:pPr>
      <w:r>
        <w:rPr>
          <w:b w:val="0"/>
          <w:i w:val="0"/>
          <w:sz w:val="22"/>
        </w:rPr>
        <w:t>Because claim creation is a real DynamoDB write, create_claim uses a conditional PutItem (attribute_not_exists(claimNumber)) and retries claim-number generation up to five times on a collision before returning an error — making concurrent claim filing safe even though claim numbers include a random suffix rather than a strictly monotonic counter. Because Bedrock's own confirmation gate (Section 4.4) already ensures createClaim is invoked once per confirmed request, this idempotent write is defense in depth, not the primary safeguard.</w:t>
      </w:r>
    </w:p>
    <w:p>
      <w:pPr>
        <w:pStyle w:val="Heading2"/>
      </w:pPr>
      <w:r>
        <w:t>7.5 Quality Assurance</w:t>
      </w:r>
    </w:p>
    <w:p>
      <w:pPr>
        <w:spacing w:after="160"/>
      </w:pPr>
      <w:r>
        <w:rPr>
          <w:b w:val="0"/>
          <w:i w:val="0"/>
          <w:sz w:val="22"/>
        </w:rPr>
        <w:t>All four Lambda services — policy_handler, claims_handler, kb_sync_handler, client_api_handler — are independently zipped deployables, each with its own isolated pytest suite (moto-mocked DynamoDB for the data-backed handlers; a stubbed bedrock-agent-runtime client for the client API). As of this report, all 36 unit tests pass across the four suites (7 policy, 11 claims, 5 KB-sync, 13 client API), run independently per service — pytest.ini deliberately warns against a combined pytest services/ run across all four at once, since every service's business module is named handler and a single interpreter importing more than one handler.py would silently test the wrong code via sys.modules reuse. Separately, terraform validate passes cleanly against all 12 infra/modules/* plus the root infra/live/dev composition, confirmed directly against the resolved hashicorp/aws v6.55.0 provider rather than assumed from documentation.</w:t>
      </w:r>
    </w:p>
    <w:p>
      <w:pPr>
        <w:pStyle w:val="Heading1"/>
      </w:pPr>
      <w:r>
        <w:t>8. Illustrative Walkthrough — Worked Example</w:t>
      </w:r>
    </w:p>
    <w:p>
      <w:pPr>
        <w:spacing w:after="160"/>
      </w:pPr>
      <w:r>
        <w:rPr>
          <w:b w:val="0"/>
          <w:i w:val="0"/>
          <w:sz w:val="22"/>
        </w:rPr>
        <w:t>The figures in this section were produced by executing the platform's actual Lambda business-logic functions (verify_policy, create_claim, get_claim_status) directly against a moto-mocked DynamoDB table seeded from data-seed/sample-data/policies.json — they are genuine output of the shipped code, not invented numbers. They are not a live Bedrock agent invocation trace, since Phase 1 has not yet been applied to a live AWS account (Section 13); once deployed, the agent will synthesise these same deterministic tool outputs into its final natural-language reply, including pausing for the caller's explicit confirmation before createClaim is actually invoked.</w:t>
      </w:r>
    </w:p>
    <w:p>
      <w:pPr>
        <w:pStyle w:val="Heading2"/>
      </w:pPr>
      <w:r>
        <w:t>8.1 The Caller and Policy</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365F91"/>
          </w:tcPr>
          <w:p>
            <w:r/>
            <w:r>
              <w:rPr>
                <w:b/>
                <w:color w:val="FFFFFF"/>
                <w:sz w:val="21"/>
              </w:rPr>
              <w:t>Field</w:t>
            </w:r>
          </w:p>
        </w:tc>
        <w:tc>
          <w:tcPr>
            <w:tcW w:type="dxa" w:w="6048"/>
            <w:shd w:val="clear" w:color="auto" w:fill="365F91"/>
          </w:tcPr>
          <w:p>
            <w:r/>
            <w:r>
              <w:rPr>
                <w:b/>
                <w:color w:val="FFFFFF"/>
                <w:sz w:val="21"/>
              </w:rPr>
              <w:t>Value</w:t>
            </w:r>
          </w:p>
        </w:tc>
      </w:tr>
      <w:tr>
        <w:tc>
          <w:tcPr>
            <w:tcW w:type="dxa" w:w="3168"/>
          </w:tcPr>
          <w:p>
            <w:r/>
            <w:r>
              <w:rPr>
                <w:sz w:val="20"/>
              </w:rPr>
              <w:t>Policy number</w:t>
            </w:r>
          </w:p>
        </w:tc>
        <w:tc>
          <w:tcPr>
            <w:tcW w:type="dxa" w:w="6048"/>
          </w:tcPr>
          <w:p>
            <w:r/>
            <w:r>
              <w:rPr>
                <w:sz w:val="20"/>
              </w:rPr>
              <w:t>POL-998877</w:t>
            </w:r>
          </w:p>
        </w:tc>
      </w:tr>
      <w:tr>
        <w:tc>
          <w:tcPr>
            <w:tcW w:type="dxa" w:w="3168"/>
          </w:tcPr>
          <w:p>
            <w:r/>
            <w:r>
              <w:rPr>
                <w:sz w:val="20"/>
              </w:rPr>
              <w:t>Policyholder last name</w:t>
            </w:r>
          </w:p>
        </w:tc>
        <w:tc>
          <w:tcPr>
            <w:tcW w:type="dxa" w:w="6048"/>
          </w:tcPr>
          <w:p>
            <w:r/>
            <w:r>
              <w:rPr>
                <w:sz w:val="20"/>
              </w:rPr>
              <w:t>Smith</w:t>
            </w:r>
          </w:p>
        </w:tc>
      </w:tr>
      <w:tr>
        <w:tc>
          <w:tcPr>
            <w:tcW w:type="dxa" w:w="3168"/>
          </w:tcPr>
          <w:p>
            <w:r/>
            <w:r>
              <w:rPr>
                <w:sz w:val="20"/>
              </w:rPr>
              <w:t>Vehicle</w:t>
            </w:r>
          </w:p>
        </w:tc>
        <w:tc>
          <w:tcPr>
            <w:tcW w:type="dxa" w:w="6048"/>
          </w:tcPr>
          <w:p>
            <w:r/>
            <w:r>
              <w:rPr>
                <w:sz w:val="20"/>
              </w:rPr>
              <w:t>2021 Honda Accord</w:t>
            </w:r>
          </w:p>
        </w:tc>
      </w:tr>
      <w:tr>
        <w:tc>
          <w:tcPr>
            <w:tcW w:type="dxa" w:w="3168"/>
          </w:tcPr>
          <w:p>
            <w:r/>
            <w:r>
              <w:rPr>
                <w:sz w:val="20"/>
              </w:rPr>
              <w:t>Coverage type</w:t>
            </w:r>
          </w:p>
        </w:tc>
        <w:tc>
          <w:tcPr>
            <w:tcW w:type="dxa" w:w="6048"/>
          </w:tcPr>
          <w:p>
            <w:r/>
            <w:r>
              <w:rPr>
                <w:sz w:val="20"/>
              </w:rPr>
              <w:t>COMPREHENSIVE</w:t>
            </w:r>
          </w:p>
        </w:tc>
      </w:tr>
      <w:tr>
        <w:tc>
          <w:tcPr>
            <w:tcW w:type="dxa" w:w="3168"/>
          </w:tcPr>
          <w:p>
            <w:r/>
            <w:r>
              <w:rPr>
                <w:sz w:val="20"/>
              </w:rPr>
              <w:t>Policy status</w:t>
            </w:r>
          </w:p>
        </w:tc>
        <w:tc>
          <w:tcPr>
            <w:tcW w:type="dxa" w:w="6048"/>
          </w:tcPr>
          <w:p>
            <w:r/>
            <w:r>
              <w:rPr>
                <w:sz w:val="20"/>
              </w:rPr>
              <w:t>ACTIVE</w:t>
            </w:r>
          </w:p>
        </w:tc>
      </w:tr>
      <w:tr>
        <w:tc>
          <w:tcPr>
            <w:tcW w:type="dxa" w:w="3168"/>
          </w:tcPr>
          <w:p>
            <w:r/>
            <w:r>
              <w:rPr>
                <w:sz w:val="20"/>
              </w:rPr>
              <w:t>Deductible</w:t>
            </w:r>
          </w:p>
        </w:tc>
        <w:tc>
          <w:tcPr>
            <w:tcW w:type="dxa" w:w="6048"/>
          </w:tcPr>
          <w:p>
            <w:r/>
            <w:r>
              <w:rPr>
                <w:sz w:val="20"/>
              </w:rPr>
              <w:t>$500</w:t>
            </w:r>
          </w:p>
        </w:tc>
      </w:tr>
      <w:tr>
        <w:tc>
          <w:tcPr>
            <w:tcW w:type="dxa" w:w="3168"/>
          </w:tcPr>
          <w:p>
            <w:r/>
            <w:r>
              <w:rPr>
                <w:sz w:val="20"/>
              </w:rPr>
              <w:t>Reported incident</w:t>
            </w:r>
          </w:p>
        </w:tc>
        <w:tc>
          <w:tcPr>
            <w:tcW w:type="dxa" w:w="6048"/>
          </w:tcPr>
          <w:p>
            <w:r/>
            <w:r>
              <w:rPr>
                <w:sz w:val="20"/>
              </w:rPr>
              <w:t>Struck a deer on Route 9 at dusk; front bumper and headlight damage, vehicle drivable</w:t>
            </w:r>
          </w:p>
        </w:tc>
      </w:tr>
      <w:tr>
        <w:tc>
          <w:tcPr>
            <w:tcW w:type="dxa" w:w="3168"/>
          </w:tcPr>
          <w:p>
            <w:r/>
            <w:r>
              <w:rPr>
                <w:sz w:val="20"/>
              </w:rPr>
              <w:t>Incident date</w:t>
            </w:r>
          </w:p>
        </w:tc>
        <w:tc>
          <w:tcPr>
            <w:tcW w:type="dxa" w:w="6048"/>
          </w:tcPr>
          <w:p>
            <w:r/>
            <w:r>
              <w:rPr>
                <w:sz w:val="20"/>
              </w:rPr>
              <w:t>2026-07-14</w:t>
            </w:r>
          </w:p>
        </w:tc>
      </w:tr>
    </w:tbl>
    <w:p>
      <w:pPr>
        <w:spacing w:after="80"/>
      </w:pPr>
    </w:p>
    <w:p>
      <w:pPr>
        <w:pStyle w:val="Heading2"/>
      </w:pPr>
      <w:r>
        <w:t>8.2 What Happens, Step by Step</w:t>
      </w:r>
    </w:p>
    <w:p>
      <w:pPr>
        <w:pStyle w:val="ListNumber"/>
        <w:spacing w:after="80"/>
      </w:pPr>
      <w:r>
        <w:t>The caller states their policy number and last name. The agent calls verifyAndRetrievePolicy before discussing anything specific.</w:t>
      </w:r>
    </w:p>
    <w:p>
      <w:pPr>
        <w:pStyle w:val="ListNumber"/>
        <w:spacing w:after="80"/>
      </w:pPr>
      <w:r>
        <w:t>PolicyActionGroup returns outcome VERIFIED with policyStatus ACTIVE, coverageType COMPREHENSIVE, and deductible 500 — confirming comprehensive coverage, which typically applies to an animal-strike claim.</w:t>
      </w:r>
    </w:p>
    <w:p>
      <w:pPr>
        <w:pStyle w:val="ListNumber"/>
        <w:spacing w:after="80"/>
      </w:pPr>
      <w:r>
        <w:t>The caller describes hitting a deer. The agent explicitly confirms the accident date and description back to the caller before proceeding, per its own instructions and the schema's confirmation gate.</w:t>
      </w:r>
    </w:p>
    <w:p>
      <w:pPr>
        <w:pStyle w:val="ListNumber"/>
        <w:spacing w:after="80"/>
      </w:pPr>
      <w:r>
        <w:t>Only after the caller confirms does Bedrock invoke createClaim. ClaimsActionGroup first re-checks that the policy is ACTIVE, then generates a collision-checked claim number and a deterministic adjuster assignment, and writes the claim record.</w:t>
      </w:r>
    </w:p>
    <w:p>
      <w:pPr>
        <w:pStyle w:val="ListNumber"/>
        <w:spacing w:after="80"/>
      </w:pPr>
      <w:r>
        <w:t>A later getClaimStatus call (e.g. the caller checking back) reads the same record back from the Claims table.</w:t>
      </w:r>
    </w:p>
    <w:p>
      <w:pPr>
        <w:pStyle w:val="Heading2"/>
      </w:pPr>
      <w:r>
        <w:t>8.3 Result</w:t>
      </w:r>
    </w:p>
    <w:tbl>
      <w:tblPr>
        <w:tblStyle w:val="TableGrid"/>
        <w:tblW w:type="auto" w:w="0"/>
        <w:jc w:val="center"/>
        <w:tblLook w:firstColumn="1" w:firstRow="1" w:lastColumn="0" w:lastRow="0" w:noHBand="0" w:noVBand="1" w:val="04A0"/>
      </w:tblPr>
      <w:tblGrid>
        <w:gridCol w:w="3120"/>
        <w:gridCol w:w="3120"/>
        <w:gridCol w:w="3120"/>
      </w:tblGrid>
      <w:tr>
        <w:tc>
          <w:tcPr>
            <w:tcW w:type="dxa" w:w="864"/>
            <w:shd w:val="clear" w:color="auto" w:fill="365F91"/>
          </w:tcPr>
          <w:p>
            <w:r/>
            <w:r>
              <w:rPr>
                <w:b/>
                <w:color w:val="FFFFFF"/>
                <w:sz w:val="21"/>
              </w:rPr>
              <w:t>Step</w:t>
            </w:r>
          </w:p>
        </w:tc>
        <w:tc>
          <w:tcPr>
            <w:tcW w:type="dxa" w:w="2880"/>
            <w:shd w:val="clear" w:color="auto" w:fill="365F91"/>
          </w:tcPr>
          <w:p>
            <w:r/>
            <w:r>
              <w:rPr>
                <w:b/>
                <w:color w:val="FFFFFF"/>
                <w:sz w:val="21"/>
              </w:rPr>
              <w:t>Tool</w:t>
            </w:r>
          </w:p>
        </w:tc>
        <w:tc>
          <w:tcPr>
            <w:tcW w:type="dxa" w:w="5760"/>
            <w:shd w:val="clear" w:color="auto" w:fill="365F91"/>
          </w:tcPr>
          <w:p>
            <w:r/>
            <w:r>
              <w:rPr>
                <w:b/>
                <w:color w:val="FFFFFF"/>
                <w:sz w:val="21"/>
              </w:rPr>
              <w:t>Output</w:t>
            </w:r>
          </w:p>
        </w:tc>
      </w:tr>
      <w:tr>
        <w:tc>
          <w:tcPr>
            <w:tcW w:type="dxa" w:w="864"/>
          </w:tcPr>
          <w:p>
            <w:r/>
            <w:r>
              <w:rPr>
                <w:sz w:val="20"/>
              </w:rPr>
              <w:t>1</w:t>
            </w:r>
          </w:p>
        </w:tc>
        <w:tc>
          <w:tcPr>
            <w:tcW w:type="dxa" w:w="2880"/>
          </w:tcPr>
          <w:p>
            <w:r/>
            <w:r>
              <w:rPr>
                <w:sz w:val="20"/>
              </w:rPr>
              <w:t>verifyAndRetrievePolicy</w:t>
            </w:r>
          </w:p>
        </w:tc>
        <w:tc>
          <w:tcPr>
            <w:tcW w:type="dxa" w:w="5760"/>
          </w:tcPr>
          <w:p>
            <w:r/>
            <w:r>
              <w:rPr>
                <w:sz w:val="20"/>
              </w:rPr>
              <w:t>outcome: VERIFIED — policyStatus ACTIVE, coverageType COMPREHENSIVE, deductible 500, vehicle 2021 Honda Accord</w:t>
            </w:r>
          </w:p>
        </w:tc>
      </w:tr>
      <w:tr>
        <w:tc>
          <w:tcPr>
            <w:tcW w:type="dxa" w:w="864"/>
          </w:tcPr>
          <w:p>
            <w:r/>
            <w:r>
              <w:rPr>
                <w:sz w:val="20"/>
              </w:rPr>
              <w:t>2</w:t>
            </w:r>
          </w:p>
        </w:tc>
        <w:tc>
          <w:tcPr>
            <w:tcW w:type="dxa" w:w="2880"/>
          </w:tcPr>
          <w:p>
            <w:r/>
            <w:r>
              <w:rPr>
                <w:sz w:val="20"/>
              </w:rPr>
              <w:t>createClaim</w:t>
            </w:r>
          </w:p>
        </w:tc>
        <w:tc>
          <w:tcPr>
            <w:tcW w:type="dxa" w:w="5760"/>
          </w:tcPr>
          <w:p>
            <w:r/>
            <w:r>
              <w:rPr>
                <w:sz w:val="20"/>
              </w:rPr>
              <w:t>outcome: CREATED — claimNumber CLM-2026-003638, status SUBMITTED, assignedAdjuster ADJ-004</w:t>
            </w:r>
          </w:p>
        </w:tc>
      </w:tr>
      <w:tr>
        <w:tc>
          <w:tcPr>
            <w:tcW w:type="dxa" w:w="864"/>
          </w:tcPr>
          <w:p>
            <w:r/>
            <w:r>
              <w:rPr>
                <w:sz w:val="20"/>
              </w:rPr>
              <w:t>3</w:t>
            </w:r>
          </w:p>
        </w:tc>
        <w:tc>
          <w:tcPr>
            <w:tcW w:type="dxa" w:w="2880"/>
          </w:tcPr>
          <w:p>
            <w:r/>
            <w:r>
              <w:rPr>
                <w:sz w:val="20"/>
              </w:rPr>
              <w:t>getClaimStatus</w:t>
            </w:r>
          </w:p>
        </w:tc>
        <w:tc>
          <w:tcPr>
            <w:tcW w:type="dxa" w:w="5760"/>
          </w:tcPr>
          <w:p>
            <w:r/>
            <w:r>
              <w:rPr>
                <w:sz w:val="20"/>
              </w:rPr>
              <w:t>outcome: FOUND — claimNumber CLM-2026-003638, status SUBMITTED, incidentDate 2026-07-14, adjusterId ADJ-004</w:t>
            </w:r>
          </w:p>
        </w:tc>
      </w:tr>
    </w:tbl>
    <w:p>
      <w:pPr>
        <w:spacing w:after="80"/>
      </w:pPr>
    </w:p>
    <w:p>
      <w:pPr>
        <w:spacing w:after="160"/>
      </w:pPr>
      <w:r>
        <w:rPr>
          <w:b w:val="0"/>
          <w:i/>
          <w:sz w:val="22"/>
        </w:rPr>
        <w:t>As a policy-enforcement check, the same createClaim call was re-run against a policy whose policyStatus is not ACTIVE: PolicyStatus enforcement alone — independent of any other check — is sufficient to block claim creation with outcome POLICY_NOT_ACTIVE, demonstrating that the pipeline never creates a claim against a lapsed or cancelled policy regardless of how the conversation is phrased.</w:t>
      </w:r>
    </w:p>
    <w:p>
      <w:pPr>
        <w:pStyle w:val="Heading1"/>
      </w:pPr>
      <w:r>
        <w:t>9. Business Value — Illustrative Service-Level Impact</w:t>
      </w:r>
    </w:p>
    <w:p>
      <w:pPr>
        <w:spacing w:after="160"/>
      </w:pPr>
      <w:r>
        <w:rPr>
          <w:b w:val="0"/>
          <w:i/>
          <w:sz w:val="22"/>
        </w:rPr>
        <w:t>The figures below are an illustrative decision-support model built on reasonable, clearly stated assumptions about a mid-size auto insurer's contact-center volume for routine policy verification and FNOL intake. They are not an audited financial projection — actual savings should be validated against the specific insurer's real contact volume, staffing model, and loaded labour cost.</w:t>
      </w:r>
    </w:p>
    <w:p>
      <w:pPr>
        <w:pStyle w:val="Heading2"/>
      </w:pPr>
      <w:r>
        <w:t>9.1 Baseline: Manual/Live-Agent Handling (Today)</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color="auto" w:fill="365F91"/>
          </w:tcPr>
          <w:p>
            <w:r/>
            <w:r>
              <w:rPr>
                <w:b/>
                <w:color w:val="FFFFFF"/>
                <w:sz w:val="21"/>
              </w:rPr>
              <w:t>Activity</w:t>
            </w:r>
          </w:p>
        </w:tc>
        <w:tc>
          <w:tcPr>
            <w:tcW w:type="dxa" w:w="2592"/>
            <w:shd w:val="clear" w:color="auto" w:fill="365F91"/>
          </w:tcPr>
          <w:p>
            <w:r/>
            <w:r>
              <w:rPr>
                <w:b/>
                <w:color w:val="FFFFFF"/>
                <w:sz w:val="21"/>
              </w:rPr>
              <w:t>Typical Handle Time</w:t>
            </w:r>
          </w:p>
        </w:tc>
        <w:tc>
          <w:tcPr>
            <w:tcW w:type="dxa" w:w="3168"/>
            <w:shd w:val="clear" w:color="auto" w:fill="365F91"/>
          </w:tcPr>
          <w:p>
            <w:r/>
            <w:r>
              <w:rPr>
                <w:b/>
                <w:color w:val="FFFFFF"/>
                <w:sz w:val="21"/>
              </w:rPr>
              <w:t>Typical Owner</w:t>
            </w:r>
          </w:p>
        </w:tc>
      </w:tr>
      <w:tr>
        <w:tc>
          <w:tcPr>
            <w:tcW w:type="dxa" w:w="3744"/>
          </w:tcPr>
          <w:p>
            <w:r/>
            <w:r>
              <w:rPr>
                <w:sz w:val="20"/>
              </w:rPr>
              <w:t>Identity/policy verification</w:t>
            </w:r>
          </w:p>
        </w:tc>
        <w:tc>
          <w:tcPr>
            <w:tcW w:type="dxa" w:w="2592"/>
          </w:tcPr>
          <w:p>
            <w:r/>
            <w:r>
              <w:rPr>
                <w:sz w:val="20"/>
              </w:rPr>
              <w:t>2 – 4 min</w:t>
            </w:r>
          </w:p>
        </w:tc>
        <w:tc>
          <w:tcPr>
            <w:tcW w:type="dxa" w:w="3168"/>
          </w:tcPr>
          <w:p>
            <w:r/>
            <w:r>
              <w:rPr>
                <w:sz w:val="20"/>
              </w:rPr>
              <w:t>Contact-center representative</w:t>
            </w:r>
          </w:p>
        </w:tc>
      </w:tr>
      <w:tr>
        <w:tc>
          <w:tcPr>
            <w:tcW w:type="dxa" w:w="3744"/>
          </w:tcPr>
          <w:p>
            <w:r/>
            <w:r>
              <w:rPr>
                <w:sz w:val="20"/>
              </w:rPr>
              <w:t>Coverage/deductible/process Q&amp;A</w:t>
            </w:r>
          </w:p>
        </w:tc>
        <w:tc>
          <w:tcPr>
            <w:tcW w:type="dxa" w:w="2592"/>
          </w:tcPr>
          <w:p>
            <w:r/>
            <w:r>
              <w:rPr>
                <w:sz w:val="20"/>
              </w:rPr>
              <w:t>3 – 6 min</w:t>
            </w:r>
          </w:p>
        </w:tc>
        <w:tc>
          <w:tcPr>
            <w:tcW w:type="dxa" w:w="3168"/>
          </w:tcPr>
          <w:p>
            <w:r/>
            <w:r>
              <w:rPr>
                <w:sz w:val="20"/>
              </w:rPr>
              <w:t>Contact-center representative</w:t>
            </w:r>
          </w:p>
        </w:tc>
      </w:tr>
      <w:tr>
        <w:tc>
          <w:tcPr>
            <w:tcW w:type="dxa" w:w="3744"/>
          </w:tcPr>
          <w:p>
            <w:r/>
            <w:r>
              <w:rPr>
                <w:sz w:val="20"/>
              </w:rPr>
              <w:t>FNOL intake, confirmation, and claim creation</w:t>
            </w:r>
          </w:p>
        </w:tc>
        <w:tc>
          <w:tcPr>
            <w:tcW w:type="dxa" w:w="2592"/>
          </w:tcPr>
          <w:p>
            <w:r/>
            <w:r>
              <w:rPr>
                <w:sz w:val="20"/>
              </w:rPr>
              <w:t>6 – 10 min</w:t>
            </w:r>
          </w:p>
        </w:tc>
        <w:tc>
          <w:tcPr>
            <w:tcW w:type="dxa" w:w="3168"/>
          </w:tcPr>
          <w:p>
            <w:r/>
            <w:r>
              <w:rPr>
                <w:sz w:val="20"/>
              </w:rPr>
              <w:t>Contact-center representative / claims intake specialist</w:t>
            </w:r>
          </w:p>
        </w:tc>
      </w:tr>
    </w:tbl>
    <w:p>
      <w:pPr>
        <w:spacing w:after="80"/>
      </w:pPr>
    </w:p>
    <w:p>
      <w:pPr>
        <w:spacing w:after="160"/>
      </w:pPr>
      <w:r>
        <w:rPr>
          <w:b w:val="0"/>
          <w:i w:val="0"/>
          <w:sz w:val="22"/>
        </w:rPr>
        <w:t>Illustrative total: roughly 11 – 20 minutes of live-agent time per contact that touches all three activities.</w:t>
      </w:r>
    </w:p>
    <w:p>
      <w:pPr>
        <w:pStyle w:val="Heading2"/>
      </w:pPr>
      <w:r>
        <w:t>9.2 With AutoClaim IQ</w:t>
      </w:r>
    </w:p>
    <w:tbl>
      <w:tblPr>
        <w:tblStyle w:val="TableGrid"/>
        <w:tblW w:type="auto" w:w="0"/>
        <w:jc w:val="center"/>
        <w:tblLook w:firstColumn="1" w:firstRow="1" w:lastColumn="0" w:lastRow="0" w:noHBand="0" w:noVBand="1" w:val="04A0"/>
      </w:tblPr>
      <w:tblGrid>
        <w:gridCol w:w="3120"/>
        <w:gridCol w:w="3120"/>
        <w:gridCol w:w="3120"/>
      </w:tblGrid>
      <w:tr>
        <w:tc>
          <w:tcPr>
            <w:tcW w:type="dxa" w:w="4896"/>
            <w:shd w:val="clear" w:color="auto" w:fill="365F91"/>
          </w:tcPr>
          <w:p>
            <w:r/>
            <w:r>
              <w:rPr>
                <w:b/>
                <w:color w:val="FFFFFF"/>
                <w:sz w:val="21"/>
              </w:rPr>
              <w:t>Activity</w:t>
            </w:r>
          </w:p>
        </w:tc>
        <w:tc>
          <w:tcPr>
            <w:tcW w:type="dxa" w:w="2592"/>
            <w:shd w:val="clear" w:color="auto" w:fill="365F91"/>
          </w:tcPr>
          <w:p>
            <w:r/>
            <w:r>
              <w:rPr>
                <w:b/>
                <w:color w:val="FFFFFF"/>
                <w:sz w:val="21"/>
              </w:rPr>
              <w:t>Typical Time</w:t>
            </w:r>
          </w:p>
        </w:tc>
        <w:tc>
          <w:tcPr>
            <w:tcW w:type="dxa" w:w="2304"/>
            <w:shd w:val="clear" w:color="auto" w:fill="365F91"/>
          </w:tcPr>
          <w:p>
            <w:r/>
            <w:r>
              <w:rPr>
                <w:b/>
                <w:color w:val="FFFFFF"/>
                <w:sz w:val="21"/>
              </w:rPr>
              <w:t>Typical Owner</w:t>
            </w:r>
          </w:p>
        </w:tc>
      </w:tr>
      <w:tr>
        <w:tc>
          <w:tcPr>
            <w:tcW w:type="dxa" w:w="4896"/>
          </w:tcPr>
          <w:p>
            <w:r/>
            <w:r>
              <w:rPr>
                <w:sz w:val="20"/>
              </w:rPr>
              <w:t>Automated verification, Q&amp;A, and FNOL intake with confirmation</w:t>
            </w:r>
          </w:p>
        </w:tc>
        <w:tc>
          <w:tcPr>
            <w:tcW w:type="dxa" w:w="2592"/>
          </w:tcPr>
          <w:p>
            <w:r/>
            <w:r>
              <w:rPr>
                <w:sz w:val="20"/>
              </w:rPr>
              <w:t>Seconds to 1–2 minutes</w:t>
            </w:r>
          </w:p>
        </w:tc>
        <w:tc>
          <w:tcPr>
            <w:tcW w:type="dxa" w:w="2304"/>
          </w:tcPr>
          <w:p>
            <w:r/>
            <w:r>
              <w:rPr>
                <w:sz w:val="20"/>
              </w:rPr>
              <w:t>The system (unattended)</w:t>
            </w:r>
          </w:p>
        </w:tc>
      </w:tr>
      <w:tr>
        <w:tc>
          <w:tcPr>
            <w:tcW w:type="dxa" w:w="4896"/>
          </w:tcPr>
          <w:p>
            <w:r/>
            <w:r>
              <w:rPr>
                <w:sz w:val="20"/>
              </w:rPr>
              <w:t>Human spot-check or escalation (e.g. ambiguous claim, guardrail-declined topic)</w:t>
            </w:r>
          </w:p>
        </w:tc>
        <w:tc>
          <w:tcPr>
            <w:tcW w:type="dxa" w:w="2592"/>
          </w:tcPr>
          <w:p>
            <w:r/>
            <w:r>
              <w:rPr>
                <w:sz w:val="20"/>
              </w:rPr>
              <w:t>2 – 5 minutes</w:t>
            </w:r>
          </w:p>
        </w:tc>
        <w:tc>
          <w:tcPr>
            <w:tcW w:type="dxa" w:w="2304"/>
          </w:tcPr>
          <w:p>
            <w:r/>
            <w:r>
              <w:rPr>
                <w:sz w:val="20"/>
              </w:rPr>
              <w:t>Contact-center representative (exception handling, not first-contact assembly)</w:t>
            </w:r>
          </w:p>
        </w:tc>
      </w:tr>
    </w:tbl>
    <w:p>
      <w:pPr>
        <w:spacing w:after="80"/>
      </w:pPr>
    </w:p>
    <w:p>
      <w:pPr>
        <w:spacing w:after="160"/>
      </w:pPr>
      <w:r>
        <w:rPr>
          <w:b w:val="0"/>
          <w:i w:val="0"/>
          <w:sz w:val="22"/>
        </w:rPr>
        <w:t>Illustrative total: roughly 90% or more of routine contacts fully self-served, with human time concentrated on the exceptions the agent is designed to escalate rather than guess through.</w:t>
      </w:r>
    </w:p>
    <w:p>
      <w:pPr>
        <w:pStyle w:val="Heading2"/>
      </w:pPr>
      <w:r>
        <w:t>9.3 Illustrative Annualised Impact</w:t>
      </w:r>
    </w:p>
    <w:tbl>
      <w:tblPr>
        <w:tblStyle w:val="TableGrid"/>
        <w:tblW w:type="auto" w:w="0"/>
        <w:jc w:val="center"/>
        <w:tblLook w:firstColumn="1" w:firstRow="1" w:lastColumn="0" w:lastRow="0" w:noHBand="0" w:noVBand="1" w:val="04A0"/>
      </w:tblPr>
      <w:tblGrid>
        <w:gridCol w:w="4680"/>
        <w:gridCol w:w="4680"/>
      </w:tblGrid>
      <w:tr>
        <w:tc>
          <w:tcPr>
            <w:tcW w:type="dxa" w:w="5184"/>
            <w:shd w:val="clear" w:color="auto" w:fill="365F91"/>
          </w:tcPr>
          <w:p>
            <w:r/>
            <w:r>
              <w:rPr>
                <w:b/>
                <w:color w:val="FFFFFF"/>
                <w:sz w:val="21"/>
              </w:rPr>
              <w:t>Metric</w:t>
            </w:r>
          </w:p>
        </w:tc>
        <w:tc>
          <w:tcPr>
            <w:tcW w:type="dxa" w:w="4320"/>
            <w:shd w:val="clear" w:color="auto" w:fill="365F91"/>
          </w:tcPr>
          <w:p>
            <w:r/>
            <w:r>
              <w:rPr>
                <w:b/>
                <w:color w:val="FFFFFF"/>
                <w:sz w:val="21"/>
              </w:rPr>
              <w:t>Illustrative Value</w:t>
            </w:r>
          </w:p>
        </w:tc>
      </w:tr>
      <w:tr>
        <w:tc>
          <w:tcPr>
            <w:tcW w:type="dxa" w:w="5184"/>
          </w:tcPr>
          <w:p>
            <w:r/>
            <w:r>
              <w:rPr>
                <w:sz w:val="20"/>
              </w:rPr>
              <w:t>Assumed monthly volume (verification + FNOL contacts)</w:t>
            </w:r>
          </w:p>
        </w:tc>
        <w:tc>
          <w:tcPr>
            <w:tcW w:type="dxa" w:w="4320"/>
          </w:tcPr>
          <w:p>
            <w:r/>
            <w:r>
              <w:rPr>
                <w:sz w:val="20"/>
              </w:rPr>
              <w:t>3,000 contacts/month (36,000/year)</w:t>
            </w:r>
          </w:p>
        </w:tc>
      </w:tr>
      <w:tr>
        <w:tc>
          <w:tcPr>
            <w:tcW w:type="dxa" w:w="5184"/>
          </w:tcPr>
          <w:p>
            <w:r/>
            <w:r>
              <w:rPr>
                <w:sz w:val="20"/>
              </w:rPr>
              <w:t>Assumed blended loaded staff cost</w:t>
            </w:r>
          </w:p>
        </w:tc>
        <w:tc>
          <w:tcPr>
            <w:tcW w:type="dxa" w:w="4320"/>
          </w:tcPr>
          <w:p>
            <w:r/>
            <w:r>
              <w:rPr>
                <w:sz w:val="20"/>
              </w:rPr>
              <w:t>$28/hour</w:t>
            </w:r>
          </w:p>
        </w:tc>
      </w:tr>
      <w:tr>
        <w:tc>
          <w:tcPr>
            <w:tcW w:type="dxa" w:w="5184"/>
          </w:tcPr>
          <w:p>
            <w:r/>
            <w:r>
              <w:rPr>
                <w:sz w:val="20"/>
              </w:rPr>
              <w:t>Manual process — minutes per contact (midpoint)</w:t>
            </w:r>
          </w:p>
        </w:tc>
        <w:tc>
          <w:tcPr>
            <w:tcW w:type="dxa" w:w="4320"/>
          </w:tcPr>
          <w:p>
            <w:r/>
            <w:r>
              <w:rPr>
                <w:sz w:val="20"/>
              </w:rPr>
              <w:t>~15 minutes</w:t>
            </w:r>
          </w:p>
        </w:tc>
      </w:tr>
      <w:tr>
        <w:tc>
          <w:tcPr>
            <w:tcW w:type="dxa" w:w="5184"/>
          </w:tcPr>
          <w:p>
            <w:r/>
            <w:r>
              <w:rPr>
                <w:sz w:val="20"/>
              </w:rPr>
              <w:t>Automated process — minutes per contact (midpoint, incl. exception handling share)</w:t>
            </w:r>
          </w:p>
        </w:tc>
        <w:tc>
          <w:tcPr>
            <w:tcW w:type="dxa" w:w="4320"/>
          </w:tcPr>
          <w:p>
            <w:r/>
            <w:r>
              <w:rPr>
                <w:sz w:val="20"/>
              </w:rPr>
              <w:t>~2 minutes</w:t>
            </w:r>
          </w:p>
        </w:tc>
      </w:tr>
      <w:tr>
        <w:tc>
          <w:tcPr>
            <w:tcW w:type="dxa" w:w="5184"/>
          </w:tcPr>
          <w:p>
            <w:r/>
            <w:r>
              <w:rPr>
                <w:sz w:val="20"/>
              </w:rPr>
              <w:t>Minutes saved per contact</w:t>
            </w:r>
          </w:p>
        </w:tc>
        <w:tc>
          <w:tcPr>
            <w:tcW w:type="dxa" w:w="4320"/>
          </w:tcPr>
          <w:p>
            <w:r/>
            <w:r>
              <w:rPr>
                <w:sz w:val="20"/>
              </w:rPr>
              <w:t>~13 minutes</w:t>
            </w:r>
          </w:p>
        </w:tc>
      </w:tr>
      <w:tr>
        <w:tc>
          <w:tcPr>
            <w:tcW w:type="dxa" w:w="5184"/>
          </w:tcPr>
          <w:p>
            <w:r/>
            <w:r>
              <w:rPr>
                <w:sz w:val="20"/>
              </w:rPr>
              <w:t>Hours saved per year (at assumed volume)</w:t>
            </w:r>
          </w:p>
        </w:tc>
        <w:tc>
          <w:tcPr>
            <w:tcW w:type="dxa" w:w="4320"/>
          </w:tcPr>
          <w:p>
            <w:r/>
            <w:r>
              <w:rPr>
                <w:sz w:val="20"/>
              </w:rPr>
              <w:t>~7,800 hours</w:t>
            </w:r>
          </w:p>
        </w:tc>
      </w:tr>
      <w:tr>
        <w:tc>
          <w:tcPr>
            <w:tcW w:type="dxa" w:w="5184"/>
          </w:tcPr>
          <w:p>
            <w:r/>
            <w:r>
              <w:rPr>
                <w:sz w:val="20"/>
              </w:rPr>
              <w:t>Illustrative annual cost saving</w:t>
            </w:r>
          </w:p>
        </w:tc>
        <w:tc>
          <w:tcPr>
            <w:tcW w:type="dxa" w:w="4320"/>
          </w:tcPr>
          <w:p>
            <w:r/>
            <w:r>
              <w:rPr>
                <w:sz w:val="20"/>
              </w:rPr>
              <w:t>~$218,400</w:t>
            </w:r>
          </w:p>
        </w:tc>
      </w:tr>
    </w:tbl>
    <w:p>
      <w:pPr>
        <w:spacing w:after="80"/>
      </w:pPr>
    </w:p>
    <w:p>
      <w:pPr>
        <w:spacing w:after="160"/>
      </w:pPr>
      <w:r>
        <w:rPr>
          <w:b w:val="0"/>
          <w:i w:val="0"/>
          <w:sz w:val="22"/>
        </w:rPr>
        <w:t>These figures scale with actual contact volume. Beyond direct cost, the qualitative benefits are significant: consistent, guardrail-governed answers regardless of which representative would otherwise have handled the call, 24/7 availability for FNOL intake immediately after an accident, and freed-up adjuster and representative capacity redirected to genuinely complex claims instead of routine intake.</w:t>
      </w:r>
    </w:p>
    <w:p>
      <w:pPr>
        <w:pStyle w:val="Heading1"/>
      </w:pPr>
      <w:r>
        <w:t>10. Compliance, Security &amp; Governance</w:t>
      </w:r>
    </w:p>
    <w:p>
      <w:pPr>
        <w:spacing w:after="160"/>
      </w:pPr>
      <w:r>
        <w:rPr>
          <w:b w:val="0"/>
          <w:i w:val="0"/>
          <w:sz w:val="22"/>
        </w:rPr>
        <w:t>Given the regulated, PII-sensitive nature of auto insurance servicing, governance was treated as a first-class design requirement, enforced structurally rather than by policy alone.</w:t>
      </w:r>
    </w:p>
    <w:p>
      <w:pPr>
        <w:pStyle w:val="ListBullet"/>
        <w:spacing w:after="80"/>
      </w:pPr>
      <w:r>
        <w:t>PII protection — the Bedrock Guardrail blocks Social Security numbers, credit/debit card numbers and CVVs, and bank account numbers outright, and anonymizes email, phone, name, and driver ID so the conversation can still function without echoing raw values; CloudWatch Log Groups are encrypted with a dedicated customer-managed KMS key.</w:t>
      </w:r>
    </w:p>
    <w:p>
      <w:pPr>
        <w:pStyle w:val="ListBullet"/>
        <w:spacing w:after="80"/>
      </w:pPr>
      <w:r>
        <w:t>Verified identity before disclosure — no policy specifics are discussed, and no claim can be filed, before verifyAndRetrievePolicy succeeds against real DynamoDB records; a failed last-name match returns a deliberately generic message rather than confirming or denying that a given policy exists.</w:t>
      </w:r>
    </w:p>
    <w:p>
      <w:pPr>
        <w:pStyle w:val="ListBullet"/>
        <w:spacing w:after="80"/>
      </w:pPr>
      <w:r>
        <w:t>Confirmation before consequential action — createClaim is gated by the OpenAPI schema's x-requireConfirmation: ENABLED, so Bedrock itself withholds the write-triggering invocation until the end user explicitly confirms.</w:t>
      </w:r>
    </w:p>
    <w:p>
      <w:pPr>
        <w:pStyle w:val="ListBullet"/>
        <w:spacing w:after="80"/>
      </w:pPr>
      <w:r>
        <w:t>Least-privilege IAM — every role in the stack (docs/iam-matrix.md) is scoped to specific resource ARNs; no role grants Resource = ["*"] for any action that can be scoped.</w:t>
      </w:r>
    </w:p>
    <w:p>
      <w:pPr>
        <w:pStyle w:val="ListBullet"/>
        <w:spacing w:after="80"/>
      </w:pPr>
      <w:r>
        <w:t>Session identity bound to authentication — the Bedrock sessionId is derived from the caller's verified Cognito sub, never a client-supplied value, closing off session/IDOR-style hijacking between authenticated users.</w:t>
      </w:r>
    </w:p>
    <w:p>
      <w:pPr>
        <w:pStyle w:val="ListBullet"/>
        <w:spacing w:after="80"/>
      </w:pPr>
      <w:r>
        <w:t>Denied topics — the Guardrail declines legal advice, medical advice, competitor comparison, and financial/investment advice, reinforced by the agent's own instructions.</w:t>
      </w:r>
    </w:p>
    <w:p>
      <w:pPr>
        <w:pStyle w:val="ListBullet"/>
        <w:spacing w:after="80"/>
      </w:pPr>
      <w:r>
        <w:t>Observability — CloudWatch alarms and dashboard plus X-Ray tracing across the full request path support after-the-fact review of system behavior.</w:t>
      </w:r>
    </w:p>
    <w:p>
      <w:pPr>
        <w:pStyle w:val="ListBullet"/>
        <w:spacing w:after="80"/>
      </w:pPr>
      <w:r>
        <w:t>Authenticated access only — the public API is Cognito-JWT-authenticated end to end; no unauthenticated endpoint exists anywhere in the stack.</w:t>
      </w:r>
    </w:p>
    <w:p>
      <w:pPr>
        <w:pStyle w:val="Heading1"/>
      </w:pPr>
      <w:r>
        <w:t>11. What's Deliberately Not Built — Scope Trade-Offs</w:t>
      </w:r>
    </w:p>
    <w:p>
      <w:pPr>
        <w:spacing w:after="160"/>
      </w:pPr>
      <w:r>
        <w:rPr>
          <w:b w:val="0"/>
          <w:i w:val="0"/>
          <w:sz w:val="22"/>
        </w:rPr>
        <w:t>The following are documented trade-offs (README “Security review” and docs/decision-log.md), not oversights, and should be revisited explicitly — not silently added or assumed — if the project's risk profile changes:</w:t>
      </w:r>
    </w:p>
    <w:p>
      <w:pPr>
        <w:pStyle w:val="ListBullet"/>
        <w:spacing w:after="80"/>
      </w:pPr>
      <w:r>
        <w:t>No VPC/PrivateLink — this is a fully serverless stack; all protection is IAM and application-layer.</w:t>
      </w:r>
    </w:p>
    <w:p>
      <w:pPr>
        <w:pStyle w:val="ListBullet"/>
        <w:spacing w:after="80"/>
      </w:pPr>
      <w:r>
        <w:t>No WAF in front of API Gateway — JWT auth plus stage throttling only.</w:t>
      </w:r>
    </w:p>
    <w:p>
      <w:pPr>
        <w:pStyle w:val="ListBullet"/>
        <w:spacing w:after="80"/>
      </w:pPr>
      <w:r>
        <w:t>No customer-managed KMS keys on DynamoDB/S3 — only CloudWatch Logs get a dedicated CMK.</w:t>
      </w:r>
    </w:p>
    <w:p>
      <w:pPr>
        <w:pStyle w:val="ListBullet"/>
        <w:spacing w:after="80"/>
      </w:pPr>
      <w:r>
        <w:t>No custom domain or ACM certificate on API Gateway — ships on the default execute-api endpoint.</w:t>
      </w:r>
    </w:p>
    <w:p>
      <w:pPr>
        <w:pStyle w:val="ListBullet"/>
        <w:spacing w:after="80"/>
      </w:pPr>
      <w:r>
        <w:t>No multi-region/DR strategy — single region, no cross-region replication.</w:t>
      </w:r>
    </w:p>
    <w:p>
      <w:pPr>
        <w:pStyle w:val="ListBullet"/>
        <w:spacing w:after="80"/>
      </w:pPr>
      <w:r>
        <w:t>No CI/CD pipeline — single environment, applied manually; make preflight is the local substitute for CI gating.</w:t>
      </w:r>
    </w:p>
    <w:p>
      <w:pPr>
        <w:pStyle w:val="ListBullet"/>
        <w:spacing w:after="80"/>
      </w:pPr>
      <w:r>
        <w:t>Guardrail content (denied topics, PII entity list) is a first draft pending legal/compliance review, not a finalized policy.</w:t>
      </w:r>
    </w:p>
    <w:p>
      <w:pPr>
        <w:pStyle w:val="Heading1"/>
      </w:pPr>
      <w:r>
        <w:t>12. Advantages of This System</w:t>
      </w:r>
    </w:p>
    <w:p>
      <w:pPr>
        <w:pStyle w:val="ListBullet"/>
        <w:spacing w:after="80"/>
      </w:pPr>
      <w:r>
        <w:t>Zero hallucination on the facts — every policy detail and claim outcome is tool-retrieved from real DynamoDB data, not model memory.</w:t>
      </w:r>
    </w:p>
    <w:p>
      <w:pPr>
        <w:pStyle w:val="ListBullet"/>
        <w:spacing w:after="80"/>
      </w:pPr>
      <w:r>
        <w:t>Confirmation-gated writes — no claim is ever created without the caller's explicit, logged confirmation.</w:t>
      </w:r>
    </w:p>
    <w:p>
      <w:pPr>
        <w:pStyle w:val="ListBullet"/>
        <w:spacing w:after="80"/>
      </w:pPr>
      <w:r>
        <w:t>Built-in governance — PII protection and denied-topic enforcement are automatic and cannot be bypassed by prompt phrasing.</w:t>
      </w:r>
    </w:p>
    <w:p>
      <w:pPr>
        <w:pStyle w:val="ListBullet"/>
        <w:spacing w:after="80"/>
      </w:pPr>
      <w:r>
        <w:t>Consistency — every caller receives coverage/process answers grounded in the same Knowledge Base, not representative-to-representative variation.</w:t>
      </w:r>
    </w:p>
    <w:p>
      <w:pPr>
        <w:pStyle w:val="ListBullet"/>
        <w:spacing w:after="80"/>
      </w:pPr>
      <w:r>
        <w:t>Model flexibility — the foundation model is a single configuration variable, not a re-architecture.</w:t>
      </w:r>
    </w:p>
    <w:p>
      <w:pPr>
        <w:pStyle w:val="ListBullet"/>
        <w:spacing w:after="80"/>
      </w:pPr>
      <w:r>
        <w:t>Schema flexibility — both Function schema (internal, deterministic tools) and OpenAPI schema (confirmation-capable, service-style contracts) are demonstrated in one build.</w:t>
      </w:r>
    </w:p>
    <w:p>
      <w:pPr>
        <w:pStyle w:val="ListBullet"/>
        <w:spacing w:after="80"/>
      </w:pPr>
      <w:r>
        <w:t>Least-privilege by construction — every IAM role is scoped to specific resource ARNs, verified against docs/iam-matrix.md.</w:t>
      </w:r>
    </w:p>
    <w:p>
      <w:pPr>
        <w:pStyle w:val="ListBullet"/>
        <w:spacing w:after="80"/>
      </w:pPr>
      <w:r>
        <w:t>Production-ready foundation — built entirely as modular, independently validatable Terraform with no manual console steps.</w:t>
      </w:r>
    </w:p>
    <w:p>
      <w:pPr>
        <w:pStyle w:val="Heading1"/>
      </w:pPr>
      <w:r>
        <w:t>13. Current Status &amp; Roadmap</w:t>
      </w:r>
    </w:p>
    <w:p>
      <w:pPr>
        <w:pStyle w:val="Heading2"/>
      </w:pPr>
      <w:r>
        <w:t>13.1 Phase 1 (Build the Agent) — Complete</w:t>
      </w:r>
    </w:p>
    <w:p>
      <w:pPr>
        <w:spacing w:after="160"/>
      </w:pPr>
      <w:r>
        <w:rPr>
          <w:b w:val="0"/>
          <w:i w:val="0"/>
          <w:sz w:val="22"/>
        </w:rPr>
        <w:t>All infrastructure and application code for the agent has been authored and statically validated:</w:t>
      </w:r>
    </w:p>
    <w:p>
      <w:pPr>
        <w:pStyle w:val="ListBullet"/>
        <w:spacing w:after="80"/>
      </w:pPr>
      <w:r>
        <w:t>Modular Terraform (1.15.7) across 12 independently init-able modules — API Gateway, Bedrock Agent, Cognito, DynamoDB, Guardrails, IAM, S3-Vectors Knowledge Base, KB-sync wiring, KMS, a reusable Lambda baseline, observability, and a hardened S3 bucket baseline — plus the infra/live/dev root composition.</w:t>
      </w:r>
    </w:p>
    <w:p>
      <w:pPr>
        <w:pStyle w:val="ListBullet"/>
        <w:spacing w:after="80"/>
      </w:pPr>
      <w:r>
        <w:t>All four Lambda services implemented and unit-tested: 36 of 36 tests passing (7 policy, 11 claims, 5 KB-sync, 13 client API).</w:t>
      </w:r>
    </w:p>
    <w:p>
      <w:pPr>
        <w:pStyle w:val="ListBullet"/>
        <w:spacing w:after="80"/>
      </w:pPr>
      <w:r>
        <w:t>terraform validate passes cleanly across all 12 modules and the root composition against the resolved hashicorp/aws v6.55.0 provider.</w:t>
      </w:r>
    </w:p>
    <w:p>
      <w:pPr>
        <w:pStyle w:val="ListBullet"/>
        <w:spacing w:after="80"/>
      </w:pPr>
      <w:r>
        <w:t>Not yet done: initializing this project as a git repository, applying this infrastructure to a live AWS account, seeding real DynamoDB data, uploading the Knowledge Base seed documents, and exercising a live agent conversation including the createClaim confirmation round-trip.</w:t>
      </w:r>
    </w:p>
    <w:p>
      <w:pPr>
        <w:pStyle w:val="Heading2"/>
      </w:pPr>
      <w:r>
        <w:t>13.2 Phase 2 (Cloud Deployment &amp; Live Verification) — Planned</w:t>
      </w:r>
    </w:p>
    <w:p>
      <w:pPr>
        <w:spacing w:after="160"/>
      </w:pPr>
      <w:r>
        <w:rPr>
          <w:b w:val="0"/>
          <w:i w:val="0"/>
          <w:sz w:val="22"/>
        </w:rPr>
        <w:t>Bootstrap the remote Terraform state backend, apply the dev environment, seed the Policies (and optionally Claims) tables, upload the Knowledge Base seed documents and confirm the event-driven auto-sync ingestion job starts without a manual console click, create a test Cognito user, and exercise the chat endpoint end to end — including confirming that the createClaim confirmation round-trip behaves as designed against a live Bedrock agent.</w:t>
      </w:r>
    </w:p>
    <w:p>
      <w:pPr>
        <w:pStyle w:val="Heading2"/>
      </w:pPr>
      <w:r>
        <w:t>13.3 Facts to Re-Verify Before/At Deployment</w:t>
      </w:r>
    </w:p>
    <w:p>
      <w:pPr>
        <w:spacing w:after="160"/>
      </w:pPr>
      <w:r>
        <w:rPr>
          <w:b w:val="0"/>
          <w:i w:val="0"/>
          <w:sz w:val="22"/>
        </w:rPr>
        <w:t>Called out inline in code comments too, but worth repeating here: the exact current Bedrock model ID available in the target region for foundation_model_id, the aws_s3vectors_* resource and IAM action set (a newer AWS surface, less battle-tested than OpenSearch Serverless), and the exact InvokeAgent confirmation round-trip shape used when a caller confirms a pending createClaim. None of these block the build, but the values in this repository should not be assumed current at deployment time — check the live AWS and Terraform provider documentation.</w:t>
      </w:r>
    </w:p>
    <w:p>
      <w:pPr>
        <w:pStyle w:val="Heading1"/>
      </w:pPr>
      <w:r>
        <w:t>14. Conclusion</w:t>
      </w:r>
    </w:p>
    <w:p>
      <w:pPr>
        <w:spacing w:after="160"/>
      </w:pPr>
      <w:r>
        <w:rPr>
          <w:b w:val="0"/>
          <w:i w:val="0"/>
          <w:sz w:val="22"/>
        </w:rPr>
        <w:t>AutoClaim IQ demonstrates that a single, well-scoped Bedrock Agent — not a large multi-agent topology — is sufficient to automate a regulated insurer's most repetitive front-line servicing work, provided the design treats grounding, confirmation, and least privilege as structural properties rather than prompt-level suggestions. By pairing a Function-schema Action Group for deterministic identity verification with an OpenAPI-schema Action Group whose confirmation gate protects the one consequential write in the workflow, and grounding every coverage or process answer in a real Knowledge Base rather than model memory, the design targets response times measured in seconds to minutes while producing a more consistent and auditable interaction than the manual process it replaces. Phase 1 — Build the Agent — is complete: the full agent, its dual Action Groups, its Knowledge Base, its authenticated API, and its test suite are authored and statically validated. What remains is not a redesign, but a continuation of a foundation already built to work: initializing version control, applying this infrastructure to a live AWS account, live-verifying the agent end-to-end — including the confirmation round-trip — and only then considering any further scope.</w:t>
      </w:r>
    </w:p>
    <w:p>
      <w:r>
        <w:br w:type="page"/>
      </w:r>
    </w:p>
    <w:p>
      <w:pPr>
        <w:pStyle w:val="Heading1"/>
      </w:pPr>
      <w:r>
        <w:t>Appendix A — Glossary</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365F91"/>
          </w:tcPr>
          <w:p>
            <w:r/>
            <w:r>
              <w:rPr>
                <w:b/>
                <w:color w:val="FFFFFF"/>
                <w:sz w:val="21"/>
              </w:rPr>
              <w:t>Term</w:t>
            </w:r>
          </w:p>
        </w:tc>
        <w:tc>
          <w:tcPr>
            <w:tcW w:type="dxa" w:w="6912"/>
            <w:shd w:val="clear" w:color="auto" w:fill="365F91"/>
          </w:tcPr>
          <w:p>
            <w:r/>
            <w:r>
              <w:rPr>
                <w:b/>
                <w:color w:val="FFFFFF"/>
                <w:sz w:val="21"/>
              </w:rPr>
              <w:t>Definition</w:t>
            </w:r>
          </w:p>
        </w:tc>
      </w:tr>
      <w:tr>
        <w:tc>
          <w:tcPr>
            <w:tcW w:type="dxa" w:w="2304"/>
          </w:tcPr>
          <w:p>
            <w:r/>
            <w:r>
              <w:rPr>
                <w:sz w:val="20"/>
              </w:rPr>
              <w:t>FNOL</w:t>
            </w:r>
          </w:p>
        </w:tc>
        <w:tc>
          <w:tcPr>
            <w:tcW w:type="dxa" w:w="6912"/>
          </w:tcPr>
          <w:p>
            <w:r/>
            <w:r>
              <w:rPr>
                <w:sz w:val="20"/>
              </w:rPr>
              <w:t>First Notice of Loss — a policyholder's initial report of an accident or incident to their insurer, the trigger for opening a claim.</w:t>
            </w:r>
          </w:p>
        </w:tc>
      </w:tr>
      <w:tr>
        <w:tc>
          <w:tcPr>
            <w:tcW w:type="dxa" w:w="2304"/>
          </w:tcPr>
          <w:p>
            <w:r/>
            <w:r>
              <w:rPr>
                <w:sz w:val="20"/>
              </w:rPr>
              <w:t>Bedrock Agent</w:t>
            </w:r>
          </w:p>
        </w:tc>
        <w:tc>
          <w:tcPr>
            <w:tcW w:type="dxa" w:w="6912"/>
          </w:tcPr>
          <w:p>
            <w:r/>
            <w:r>
              <w:rPr>
                <w:sz w:val="20"/>
              </w:rPr>
              <w:t>An Amazon Bedrock resource that pairs a foundation model with instructions and callable tools (Action Groups).</w:t>
            </w:r>
          </w:p>
        </w:tc>
      </w:tr>
      <w:tr>
        <w:tc>
          <w:tcPr>
            <w:tcW w:type="dxa" w:w="2304"/>
          </w:tcPr>
          <w:p>
            <w:r/>
            <w:r>
              <w:rPr>
                <w:sz w:val="20"/>
              </w:rPr>
              <w:t>Action Group</w:t>
            </w:r>
          </w:p>
        </w:tc>
        <w:tc>
          <w:tcPr>
            <w:tcW w:type="dxa" w:w="6912"/>
          </w:tcPr>
          <w:p>
            <w:r/>
            <w:r>
              <w:rPr>
                <w:sz w:val="20"/>
              </w:rPr>
              <w:t>The mechanism by which a Bedrock Agent calls a tool (an AWS Lambda function), described via either a Function schema or an OpenAPI schema.</w:t>
            </w:r>
          </w:p>
        </w:tc>
      </w:tr>
      <w:tr>
        <w:tc>
          <w:tcPr>
            <w:tcW w:type="dxa" w:w="2304"/>
          </w:tcPr>
          <w:p>
            <w:r/>
            <w:r>
              <w:rPr>
                <w:sz w:val="20"/>
              </w:rPr>
              <w:t>Function schema</w:t>
            </w:r>
          </w:p>
        </w:tc>
        <w:tc>
          <w:tcPr>
            <w:tcW w:type="dxa" w:w="6912"/>
          </w:tcPr>
          <w:p>
            <w:r/>
            <w:r>
              <w:rPr>
                <w:sz w:val="20"/>
              </w:rPr>
              <w:t>An Action Group schema type where parameters are defined directly against the Lambda — ideal for a simple, internal, deterministic tool such as policy verification.</w:t>
            </w:r>
          </w:p>
        </w:tc>
      </w:tr>
      <w:tr>
        <w:tc>
          <w:tcPr>
            <w:tcW w:type="dxa" w:w="2304"/>
          </w:tcPr>
          <w:p>
            <w:r/>
            <w:r>
              <w:rPr>
                <w:sz w:val="20"/>
              </w:rPr>
              <w:t>OpenAPI schema</w:t>
            </w:r>
          </w:p>
        </w:tc>
        <w:tc>
          <w:tcPr>
            <w:tcW w:type="dxa" w:w="6912"/>
          </w:tcPr>
          <w:p>
            <w:r/>
            <w:r>
              <w:rPr>
                <w:sz w:val="20"/>
              </w:rPr>
              <w:t>An Action Group schema type describing a REST contract — used here for claims filing/status, and the only schema type supporting the x-requireConfirmation extension.</w:t>
            </w:r>
          </w:p>
        </w:tc>
      </w:tr>
      <w:tr>
        <w:tc>
          <w:tcPr>
            <w:tcW w:type="dxa" w:w="2304"/>
          </w:tcPr>
          <w:p>
            <w:r/>
            <w:r>
              <w:rPr>
                <w:sz w:val="20"/>
              </w:rPr>
              <w:t>x-requireConfirmation</w:t>
            </w:r>
          </w:p>
        </w:tc>
        <w:tc>
          <w:tcPr>
            <w:tcW w:type="dxa" w:w="6912"/>
          </w:tcPr>
          <w:p>
            <w:r/>
            <w:r>
              <w:rPr>
                <w:sz w:val="20"/>
              </w:rPr>
              <w:t>An OpenAPI extension Bedrock parses at the agent level; when ENABLED, Bedrock withholds the tool invocation until the end user explicitly confirms.</w:t>
            </w:r>
          </w:p>
        </w:tc>
      </w:tr>
      <w:tr>
        <w:tc>
          <w:tcPr>
            <w:tcW w:type="dxa" w:w="2304"/>
          </w:tcPr>
          <w:p>
            <w:r/>
            <w:r>
              <w:rPr>
                <w:sz w:val="20"/>
              </w:rPr>
              <w:t>Knowledge Base / RAG</w:t>
            </w:r>
          </w:p>
        </w:tc>
        <w:tc>
          <w:tcPr>
            <w:tcW w:type="dxa" w:w="6912"/>
          </w:tcPr>
          <w:p>
            <w:r/>
            <w:r>
              <w:rPr>
                <w:sz w:val="20"/>
              </w:rPr>
              <w:t>An Amazon Bedrock resource providing Retrieval-Augmented Generation over a document corpus — here, the insurer's own coverage and claims-process documents.</w:t>
            </w:r>
          </w:p>
        </w:tc>
      </w:tr>
      <w:tr>
        <w:tc>
          <w:tcPr>
            <w:tcW w:type="dxa" w:w="2304"/>
          </w:tcPr>
          <w:p>
            <w:r/>
            <w:r>
              <w:rPr>
                <w:sz w:val="20"/>
              </w:rPr>
              <w:t>Amazon S3 Vectors</w:t>
            </w:r>
          </w:p>
        </w:tc>
        <w:tc>
          <w:tcPr>
            <w:tcW w:type="dxa" w:w="6912"/>
          </w:tcPr>
          <w:p>
            <w:r/>
            <w:r>
              <w:rPr>
                <w:sz w:val="20"/>
              </w:rPr>
              <w:t>A serverless, pay-per-use vector store option for a Bedrock Knowledge Base, used as this project's storage backend for near-zero idle cost.</w:t>
            </w:r>
          </w:p>
        </w:tc>
      </w:tr>
      <w:tr>
        <w:tc>
          <w:tcPr>
            <w:tcW w:type="dxa" w:w="2304"/>
          </w:tcPr>
          <w:p>
            <w:r/>
            <w:r>
              <w:rPr>
                <w:sz w:val="20"/>
              </w:rPr>
              <w:t>Guardrail</w:t>
            </w:r>
          </w:p>
        </w:tc>
        <w:tc>
          <w:tcPr>
            <w:tcW w:type="dxa" w:w="6912"/>
          </w:tcPr>
          <w:p>
            <w:r/>
            <w:r>
              <w:rPr>
                <w:sz w:val="20"/>
              </w:rPr>
              <w:t>A versioned Amazon Bedrock resource enforcing content policy (PII masking/blocking, denied topics) at inference time, attachable to any agent.</w:t>
            </w:r>
          </w:p>
        </w:tc>
      </w:tr>
      <w:tr>
        <w:tc>
          <w:tcPr>
            <w:tcW w:type="dxa" w:w="2304"/>
          </w:tcPr>
          <w:p>
            <w:r/>
            <w:r>
              <w:rPr>
                <w:sz w:val="20"/>
              </w:rPr>
              <w:t>Cognito</w:t>
            </w:r>
          </w:p>
        </w:tc>
        <w:tc>
          <w:tcPr>
            <w:tcW w:type="dxa" w:w="6912"/>
          </w:tcPr>
          <w:p>
            <w:r/>
            <w:r>
              <w:rPr>
                <w:sz w:val="20"/>
              </w:rPr>
              <w:t>The AWS service providing JWT-based authentication for the public API via a user pool and app client.</w:t>
            </w:r>
          </w:p>
        </w:tc>
      </w:tr>
      <w:tr>
        <w:tc>
          <w:tcPr>
            <w:tcW w:type="dxa" w:w="2304"/>
          </w:tcPr>
          <w:p>
            <w:r/>
            <w:r>
              <w:rPr>
                <w:sz w:val="20"/>
              </w:rPr>
              <w:t>IAM</w:t>
            </w:r>
          </w:p>
        </w:tc>
        <w:tc>
          <w:tcPr>
            <w:tcW w:type="dxa" w:w="6912"/>
          </w:tcPr>
          <w:p>
            <w:r/>
            <w:r>
              <w:rPr>
                <w:sz w:val="20"/>
              </w:rPr>
              <w:t>AWS Identity and Access Management — controls exactly which AWS resource can access which other AWS resource; used here for least-privilege, per-role scoping (docs/iam-matrix.md).</w:t>
            </w:r>
          </w:p>
        </w:tc>
      </w:tr>
      <w:tr>
        <w:tc>
          <w:tcPr>
            <w:tcW w:type="dxa" w:w="2304"/>
          </w:tcPr>
          <w:p>
            <w:r/>
            <w:r>
              <w:rPr>
                <w:sz w:val="20"/>
              </w:rPr>
              <w:t>PITR</w:t>
            </w:r>
          </w:p>
        </w:tc>
        <w:tc>
          <w:tcPr>
            <w:tcW w:type="dxa" w:w="6912"/>
          </w:tcPr>
          <w:p>
            <w:r/>
            <w:r>
              <w:rPr>
                <w:sz w:val="20"/>
              </w:rPr>
              <w:t>Point-In-Time Recovery — a DynamoDB feature enabling restoration of a table to any point within a retention window; enabled on both the Policies and Claims tables.</w:t>
            </w:r>
          </w:p>
        </w:tc>
      </w:tr>
      <w:tr>
        <w:tc>
          <w:tcPr>
            <w:tcW w:type="dxa" w:w="2304"/>
          </w:tcPr>
          <w:p>
            <w:r/>
            <w:r>
              <w:rPr>
                <w:sz w:val="20"/>
              </w:rPr>
              <w:t>X-Ray</w:t>
            </w:r>
          </w:p>
        </w:tc>
        <w:tc>
          <w:tcPr>
            <w:tcW w:type="dxa" w:w="6912"/>
          </w:tcPr>
          <w:p>
            <w:r/>
            <w:r>
              <w:rPr>
                <w:sz w:val="20"/>
              </w:rPr>
              <w:t>The AWS distributed-tracing service used here across the Lambda/API Gateway request path for observability.</w:t>
            </w:r>
          </w:p>
        </w:tc>
      </w:tr>
      <w:tr>
        <w:tc>
          <w:tcPr>
            <w:tcW w:type="dxa" w:w="2304"/>
          </w:tcPr>
          <w:p>
            <w:r/>
            <w:r>
              <w:rPr>
                <w:sz w:val="20"/>
              </w:rPr>
              <w:t>Terraform / IaC</w:t>
            </w:r>
          </w:p>
        </w:tc>
        <w:tc>
          <w:tcPr>
            <w:tcW w:type="dxa" w:w="6912"/>
          </w:tcPr>
          <w:p>
            <w:r/>
            <w:r>
              <w:rPr>
                <w:sz w:val="20"/>
              </w:rPr>
              <w:t>The infrastructure-as-code tool (pinned to 1.15.7 in this project) used to define and provision every AWS resource in a version-controlled, reproducible way.</w:t>
            </w:r>
          </w:p>
        </w:tc>
      </w:tr>
      <w:tr>
        <w:tc>
          <w:tcPr>
            <w:tcW w:type="dxa" w:w="2304"/>
          </w:tcPr>
          <w:p>
            <w:r/>
            <w:r>
              <w:rPr>
                <w:sz w:val="20"/>
              </w:rPr>
              <w:t>DynamoDB</w:t>
            </w:r>
          </w:p>
        </w:tc>
        <w:tc>
          <w:tcPr>
            <w:tcW w:type="dxa" w:w="6912"/>
          </w:tcPr>
          <w:p>
            <w:r/>
            <w:r>
              <w:rPr>
                <w:sz w:val="20"/>
              </w:rPr>
              <w:t>The AWS managed NoSQL database used for the Policies and Claims tables — the real data layer behind both Action Groups.</w:t>
            </w:r>
          </w:p>
        </w:tc>
      </w:tr>
    </w:tbl>
    <w:p>
      <w:pPr>
        <w:spacing w:after="80"/>
      </w:pPr>
    </w:p>
    <w:p>
      <w:r>
        <w:br w:type="page"/>
      </w:r>
    </w:p>
    <w:p>
      <w:pPr>
        <w:pStyle w:val="Heading1"/>
      </w:pPr>
      <w:r>
        <w:t>Appendix B — Reference Documentation</w:t>
      </w:r>
    </w:p>
    <w:p>
      <w:pPr>
        <w:spacing w:after="160"/>
      </w:pPr>
      <w:r>
        <w:rPr>
          <w:b w:val="0"/>
          <w:i w:val="0"/>
          <w:sz w:val="22"/>
        </w:rPr>
        <w:t>This report summarises the system for a business and governance audience. The following companion documents, maintained alongside the codebase, provide full technical depth for engineering teams:</w:t>
      </w:r>
    </w:p>
    <w:p>
      <w:pPr>
        <w:pStyle w:val="ListBullet"/>
        <w:spacing w:after="80"/>
      </w:pPr>
      <w:r>
        <w:t>README.md — architecture, repository layout, prerequisites, full deployment walkthrough, sample queries, and the documented security-review trade-offs.</w:t>
      </w:r>
    </w:p>
    <w:p>
      <w:pPr>
        <w:pStyle w:val="ListBullet"/>
        <w:spacing w:after="80"/>
      </w:pPr>
      <w:r>
        <w:t>docs/decision-log.md — ADR-style entries for every non-obvious design decision (S3 Vectors choice, session-ID derivation, confirmation-schema placement, supplemental IAM grants, real claim/adjuster logic, single-agent scope).</w:t>
      </w:r>
    </w:p>
    <w:p>
      <w:pPr>
        <w:pStyle w:val="ListBullet"/>
        <w:spacing w:after="80"/>
      </w:pPr>
      <w:r>
        <w:t>docs/iam-matrix.md — every IAM role, its permissions, and its exact resource scope.</w:t>
      </w:r>
    </w:p>
    <w:p>
      <w:pPr>
        <w:pStyle w:val="ListBullet"/>
        <w:spacing w:after="80"/>
      </w:pPr>
      <w:r>
        <w:t>CLAUDE.md — codebase guidance for AI coding assistants: commands, module dependency graph, and the non-obvious architectural decisions.</w:t>
      </w:r>
    </w:p>
    <w:p>
      <w:pPr>
        <w:pStyle w:val="ListBullet"/>
        <w:spacing w:after="80"/>
      </w:pPr>
      <w:r>
        <w:t>PROJECT-IDEA.md — the original demo-quality design conversation this project deliberately rebuilds away from.</w:t>
      </w:r>
    </w:p>
    <w:p>
      <w:pPr>
        <w:pStyle w:val="ListBullet"/>
        <w:spacing w:after="80"/>
      </w:pPr>
      <w:r>
        <w:t>schemas/claims-openapi.yaml — the exact OpenAPI contract, including the x-requireConfirmation extension on POST /claims.</w:t>
      </w:r>
    </w:p>
    <w:p>
      <w:pPr>
        <w:pStyle w:val="ListBullet"/>
        <w:spacing w:after="80"/>
      </w:pPr>
      <w:r>
        <w:t>knowledge-base/seed-docs/*.md — the exact coverage and claims-process documents grounding the Knowledge Base's answers.</w:t>
      </w:r>
    </w:p>
    <w:p>
      <w:pPr>
        <w:pStyle w:val="ListBullet"/>
        <w:spacing w:after="80"/>
      </w:pPr>
      <w:r>
        <w:t>services/*/tests/ — the 36-test automated suite referenced in Section 7.5, runnable per service via make test.</w:t>
      </w:r>
    </w:p>
    <w:p>
      <w:pPr>
        <w:jc w:val="center"/>
      </w:pPr>
      <w:r>
        <w:rPr>
          <w:i/>
          <w:color w:val="555555"/>
        </w:rPr>
        <w:t>— End of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365F9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i w:val="0"/>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