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95959"/>
          <w:sz w:val="32"/>
        </w:rPr>
        <w:t>ABC COMPANY</w:t>
      </w:r>
    </w:p>
    <w:p>
      <w:pPr>
        <w:jc w:val="center"/>
      </w:pPr>
      <w:r>
        <w:rPr>
          <w:i/>
          <w:color w:val="595959"/>
          <w:sz w:val="22"/>
        </w:rPr>
        <w:t>Global Consulting &amp; Technology Services</w:t>
      </w:r>
    </w:p>
    <w:p/>
    <w:p/>
    <w:p>
      <w:pPr>
        <w:jc w:val="center"/>
      </w:pPr>
      <w:r>
        <w:rPr>
          <w:b/>
          <w:color w:val="1F2E4A"/>
          <w:sz w:val="56"/>
        </w:rPr>
        <w:t>STATEMENT OF WORK</w:t>
      </w:r>
    </w:p>
    <w:p>
      <w:pPr>
        <w:jc w:val="center"/>
      </w:pPr>
      <w:r>
        <w:rPr>
          <w:b/>
          <w:color w:val="2C5F8A"/>
          <w:sz w:val="30"/>
        </w:rPr>
        <w:t>AMC RFP &amp; Portfolio Insight Orchestrator</w:t>
      </w:r>
    </w:p>
    <w:p>
      <w:pPr>
        <w:jc w:val="center"/>
      </w:pPr>
      <w:r>
        <w:rPr>
          <w:color w:val="595959"/>
          <w:sz w:val="24"/>
        </w:rPr>
        <w:t>Cloud Deployment, CI/CD Automation, Compliance Hardening &amp; Managed Operations</w:t>
      </w:r>
    </w:p>
    <w:p>
      <w:pPr>
        <w:jc w:val="center"/>
      </w:pPr>
      <w:r>
        <w:rPr>
          <w:i/>
          <w:color w:val="595959"/>
          <w:sz w:val="21"/>
        </w:rPr>
        <w:t>Covering Phase 2, Phase 3 and Phase 4  (Phase 1 — Agentic AI Solution Build — is out of scope of this SOW)</w:t>
      </w:r>
    </w:p>
    <w:p/>
    <w:p/>
    <w:p/>
    <w:tbl>
      <w:tblPr>
        <w:tblStyle w:val="TableGrid"/>
        <w:tblW w:type="auto" w:w="0"/>
        <w:jc w:val="center"/>
        <w:tblLook w:firstColumn="1" w:firstRow="1" w:lastColumn="0" w:lastRow="0" w:noHBand="0" w:noVBand="1" w:val="04A0"/>
      </w:tblPr>
      <w:tblGrid>
        <w:gridCol w:w="4873"/>
        <w:gridCol w:w="4873"/>
      </w:tblGrid>
      <w:tr>
        <w:tc>
          <w:tcPr>
            <w:tcW w:type="dxa" w:w="3402"/>
          </w:tcPr>
          <w:p>
            <w:r>
              <w:rPr>
                <w:b/>
                <w:sz w:val="20"/>
              </w:rPr>
              <w:t>SOW Reference No.</w:t>
            </w:r>
          </w:p>
        </w:tc>
        <w:tc>
          <w:tcPr>
            <w:tcW w:type="dxa" w:w="5102"/>
          </w:tcPr>
          <w:p>
            <w:r>
              <w:rPr>
                <w:sz w:val="20"/>
              </w:rPr>
              <w:t>ABC-SOW-AMC-ORCH-2026-001</w:t>
            </w:r>
          </w:p>
        </w:tc>
      </w:tr>
      <w:tr>
        <w:tc>
          <w:tcPr>
            <w:tcW w:type="dxa" w:w="3402"/>
          </w:tcPr>
          <w:p>
            <w:r>
              <w:rPr>
                <w:b/>
                <w:sz w:val="20"/>
              </w:rPr>
              <w:t>Service Provider</w:t>
            </w:r>
          </w:p>
        </w:tc>
        <w:tc>
          <w:tcPr>
            <w:tcW w:type="dxa" w:w="5102"/>
          </w:tcPr>
          <w:p>
            <w:r>
              <w:rPr>
                <w:sz w:val="20"/>
              </w:rPr>
              <w:t>ABC Company</w:t>
            </w:r>
          </w:p>
        </w:tc>
      </w:tr>
      <w:tr>
        <w:tc>
          <w:tcPr>
            <w:tcW w:type="dxa" w:w="3402"/>
          </w:tcPr>
          <w:p>
            <w:r>
              <w:rPr>
                <w:b/>
                <w:sz w:val="20"/>
              </w:rPr>
              <w:t>Client</w:t>
            </w:r>
          </w:p>
        </w:tc>
        <w:tc>
          <w:tcPr>
            <w:tcW w:type="dxa" w:w="5102"/>
          </w:tcPr>
          <w:p>
            <w:r>
              <w:rPr>
                <w:sz w:val="20"/>
              </w:rPr>
              <w:t>[Client Legal Entity Name]</w:t>
            </w:r>
          </w:p>
        </w:tc>
      </w:tr>
      <w:tr>
        <w:tc>
          <w:tcPr>
            <w:tcW w:type="dxa" w:w="3402"/>
          </w:tcPr>
          <w:p>
            <w:r>
              <w:rPr>
                <w:b/>
                <w:sz w:val="20"/>
              </w:rPr>
              <w:t>Effective Date</w:t>
            </w:r>
          </w:p>
        </w:tc>
        <w:tc>
          <w:tcPr>
            <w:tcW w:type="dxa" w:w="5102"/>
          </w:tcPr>
          <w:p>
            <w:r>
              <w:rPr>
                <w:sz w:val="20"/>
              </w:rPr>
              <w:t>[To be inserted upon execution]</w:t>
            </w:r>
          </w:p>
        </w:tc>
      </w:tr>
      <w:tr>
        <w:tc>
          <w:tcPr>
            <w:tcW w:type="dxa" w:w="3402"/>
          </w:tcPr>
          <w:p>
            <w:r>
              <w:rPr>
                <w:b/>
                <w:sz w:val="20"/>
              </w:rPr>
              <w:t>Master Agreement Reference</w:t>
            </w:r>
          </w:p>
        </w:tc>
        <w:tc>
          <w:tcPr>
            <w:tcW w:type="dxa" w:w="5102"/>
          </w:tcPr>
          <w:p>
            <w:r>
              <w:rPr>
                <w:sz w:val="20"/>
              </w:rPr>
              <w:t>[Master Services Agreement (“MSA”) No. ___, dated ___]</w:t>
            </w:r>
          </w:p>
        </w:tc>
      </w:tr>
      <w:tr>
        <w:tc>
          <w:tcPr>
            <w:tcW w:type="dxa" w:w="3402"/>
          </w:tcPr>
          <w:p>
            <w:r>
              <w:rPr>
                <w:b/>
                <w:sz w:val="20"/>
              </w:rPr>
              <w:t>Document Status</w:t>
            </w:r>
          </w:p>
        </w:tc>
        <w:tc>
          <w:tcPr>
            <w:tcW w:type="dxa" w:w="5102"/>
          </w:tcPr>
          <w:p>
            <w:r>
              <w:rPr>
                <w:sz w:val="20"/>
              </w:rPr>
              <w:t>Draft for Review — v1.0</w:t>
            </w:r>
          </w:p>
        </w:tc>
      </w:tr>
    </w:tbl>
    <w:p/>
    <w:p/>
    <w:p>
      <w:pPr>
        <w:jc w:val="center"/>
      </w:pPr>
      <w:r>
        <w:rPr>
          <w:i/>
          <w:color w:val="595959"/>
          <w:sz w:val="18"/>
        </w:rPr>
        <w:t>This document, and the information contained herein, is confidential and proprietary to ABC Company and Client. It is provided solely for the purpose of evaluating and executing the engagement described herein and shall not be disclosed to any third party without prior written consent.</w:t>
      </w:r>
    </w:p>
    <w:p>
      <w:r>
        <w:br w:type="page"/>
      </w:r>
    </w:p>
    <w:p>
      <w:pPr>
        <w:pStyle w:val="Heading1"/>
      </w:pPr>
      <w:r>
        <w:t>Document Control</w:t>
      </w:r>
    </w:p>
    <w:p>
      <w:pPr>
        <w:pStyle w:val="Heading2"/>
      </w:pPr>
      <w:r>
        <w:t>Revision History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1F2E4A"/>
            <w:vAlign w:val="center"/>
          </w:tcPr>
          <w:p>
            <w:pPr>
              <w:spacing w:after="60"/>
              <w:jc w:val="left"/>
            </w:pPr>
            <w:r>
              <w:rPr>
                <w:b/>
                <w:color w:val="FFFFFF"/>
                <w:sz w:val="19"/>
              </w:rPr>
              <w:t>Version</w:t>
            </w:r>
          </w:p>
        </w:tc>
        <w:tc>
          <w:tcPr>
            <w:tcW w:type="dxa" w:w="1417"/>
            <w:shd w:val="clear" w:color="auto" w:fill="1F2E4A"/>
            <w:vAlign w:val="center"/>
          </w:tcPr>
          <w:p>
            <w:pPr>
              <w:spacing w:after="60"/>
              <w:jc w:val="left"/>
            </w:pPr>
            <w:r>
              <w:rPr>
                <w:b/>
                <w:color w:val="FFFFFF"/>
                <w:sz w:val="19"/>
              </w:rPr>
              <w:t>Date</w:t>
            </w:r>
          </w:p>
        </w:tc>
        <w:tc>
          <w:tcPr>
            <w:tcW w:type="dxa" w:w="3402"/>
            <w:shd w:val="clear" w:color="auto" w:fill="1F2E4A"/>
            <w:vAlign w:val="center"/>
          </w:tcPr>
          <w:p>
            <w:pPr>
              <w:spacing w:after="60"/>
              <w:jc w:val="left"/>
            </w:pPr>
            <w:r>
              <w:rPr>
                <w:b/>
                <w:color w:val="FFFFFF"/>
                <w:sz w:val="19"/>
              </w:rPr>
              <w:t>Author</w:t>
            </w:r>
          </w:p>
        </w:tc>
        <w:tc>
          <w:tcPr>
            <w:tcW w:type="dxa" w:w="3402"/>
            <w:shd w:val="clear" w:color="auto" w:fill="1F2E4A"/>
            <w:vAlign w:val="center"/>
          </w:tcPr>
          <w:p>
            <w:pPr>
              <w:spacing w:after="60"/>
              <w:jc w:val="left"/>
            </w:pPr>
            <w:r>
              <w:rPr>
                <w:b/>
                <w:color w:val="FFFFFF"/>
                <w:sz w:val="19"/>
              </w:rPr>
              <w:t>Description of Change</w:t>
            </w:r>
          </w:p>
        </w:tc>
      </w:tr>
      <w:tr>
        <w:tc>
          <w:tcPr>
            <w:tcW w:type="dxa" w:w="1134"/>
            <w:vAlign w:val="center"/>
          </w:tcPr>
          <w:p>
            <w:pPr>
              <w:spacing w:after="60"/>
            </w:pPr>
            <w:r>
              <w:rPr>
                <w:sz w:val="19"/>
              </w:rPr>
              <w:t>0.1</w:t>
            </w:r>
          </w:p>
        </w:tc>
        <w:tc>
          <w:tcPr>
            <w:tcW w:type="dxa" w:w="1417"/>
            <w:vAlign w:val="center"/>
          </w:tcPr>
          <w:p>
            <w:pPr>
              <w:spacing w:after="60"/>
            </w:pPr>
            <w:r>
              <w:rPr>
                <w:sz w:val="19"/>
              </w:rPr>
              <w:t>[Draft Date]</w:t>
            </w:r>
          </w:p>
        </w:tc>
        <w:tc>
          <w:tcPr>
            <w:tcW w:type="dxa" w:w="3402"/>
            <w:vAlign w:val="center"/>
          </w:tcPr>
          <w:p>
            <w:pPr>
              <w:spacing w:after="60"/>
            </w:pPr>
            <w:r>
              <w:rPr>
                <w:sz w:val="19"/>
              </w:rPr>
              <w:t>ABC Company — Engagement Management Office</w:t>
            </w:r>
          </w:p>
        </w:tc>
        <w:tc>
          <w:tcPr>
            <w:tcW w:type="dxa" w:w="3402"/>
            <w:vAlign w:val="center"/>
          </w:tcPr>
          <w:p>
            <w:pPr>
              <w:spacing w:after="60"/>
            </w:pPr>
            <w:r>
              <w:rPr>
                <w:sz w:val="19"/>
              </w:rPr>
              <w:t>Initial draft for internal review</w:t>
            </w:r>
          </w:p>
        </w:tc>
      </w:tr>
      <w:tr>
        <w:tc>
          <w:tcPr>
            <w:tcW w:type="dxa" w:w="1134"/>
            <w:vAlign w:val="center"/>
          </w:tcPr>
          <w:p>
            <w:pPr>
              <w:spacing w:after="60"/>
            </w:pPr>
            <w:r>
              <w:rPr>
                <w:sz w:val="19"/>
              </w:rPr>
              <w:t>1.0</w:t>
            </w:r>
          </w:p>
        </w:tc>
        <w:tc>
          <w:tcPr>
            <w:tcW w:type="dxa" w:w="1417"/>
            <w:vAlign w:val="center"/>
          </w:tcPr>
          <w:p>
            <w:pPr>
              <w:spacing w:after="60"/>
            </w:pPr>
            <w:r>
              <w:rPr>
                <w:sz w:val="19"/>
              </w:rPr>
              <w:t>[Issue Date]</w:t>
            </w:r>
          </w:p>
        </w:tc>
        <w:tc>
          <w:tcPr>
            <w:tcW w:type="dxa" w:w="3402"/>
            <w:vAlign w:val="center"/>
          </w:tcPr>
          <w:p>
            <w:pPr>
              <w:spacing w:after="60"/>
            </w:pPr>
            <w:r>
              <w:rPr>
                <w:sz w:val="19"/>
              </w:rPr>
              <w:t>ABC Company — Engagement Management Office</w:t>
            </w:r>
          </w:p>
        </w:tc>
        <w:tc>
          <w:tcPr>
            <w:tcW w:type="dxa" w:w="3402"/>
            <w:vAlign w:val="center"/>
          </w:tcPr>
          <w:p>
            <w:pPr>
              <w:spacing w:after="60"/>
            </w:pPr>
            <w:r>
              <w:rPr>
                <w:sz w:val="19"/>
              </w:rPr>
              <w:t>Issued to Client for signature</w:t>
            </w:r>
          </w:p>
        </w:tc>
      </w:tr>
    </w:tbl>
    <w:p/>
    <w:p>
      <w:pPr>
        <w:pStyle w:val="Heading2"/>
      </w:pPr>
      <w:r>
        <w:t>Approvals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268"/>
            <w:shd w:val="clear" w:color="auto" w:fill="1F2E4A"/>
            <w:vAlign w:val="center"/>
          </w:tcPr>
          <w:p>
            <w:pPr>
              <w:spacing w:after="60"/>
              <w:jc w:val="left"/>
            </w:pPr>
            <w:r>
              <w:rPr>
                <w:b/>
                <w:color w:val="FFFFFF"/>
                <w:sz w:val="19"/>
              </w:rPr>
              <w:t>Role</w:t>
            </w:r>
          </w:p>
        </w:tc>
        <w:tc>
          <w:tcPr>
            <w:tcW w:type="dxa" w:w="1984"/>
            <w:shd w:val="clear" w:color="auto" w:fill="1F2E4A"/>
            <w:vAlign w:val="center"/>
          </w:tcPr>
          <w:p>
            <w:pPr>
              <w:spacing w:after="60"/>
              <w:jc w:val="left"/>
            </w:pPr>
            <w:r>
              <w:rPr>
                <w:b/>
                <w:color w:val="FFFFFF"/>
                <w:sz w:val="19"/>
              </w:rPr>
              <w:t>Name</w:t>
            </w:r>
          </w:p>
        </w:tc>
        <w:tc>
          <w:tcPr>
            <w:tcW w:type="dxa" w:w="1701"/>
            <w:shd w:val="clear" w:color="auto" w:fill="1F2E4A"/>
            <w:vAlign w:val="center"/>
          </w:tcPr>
          <w:p>
            <w:pPr>
              <w:spacing w:after="60"/>
              <w:jc w:val="left"/>
            </w:pPr>
            <w:r>
              <w:rPr>
                <w:b/>
                <w:color w:val="FFFFFF"/>
                <w:sz w:val="19"/>
              </w:rPr>
              <w:t>Organization</w:t>
            </w:r>
          </w:p>
        </w:tc>
        <w:tc>
          <w:tcPr>
            <w:tcW w:type="dxa" w:w="1701"/>
            <w:shd w:val="clear" w:color="auto" w:fill="1F2E4A"/>
            <w:vAlign w:val="center"/>
          </w:tcPr>
          <w:p>
            <w:pPr>
              <w:spacing w:after="60"/>
              <w:jc w:val="left"/>
            </w:pPr>
            <w:r>
              <w:rPr>
                <w:b/>
                <w:color w:val="FFFFFF"/>
                <w:sz w:val="19"/>
              </w:rPr>
              <w:t>Signature</w:t>
            </w:r>
          </w:p>
        </w:tc>
        <w:tc>
          <w:tcPr>
            <w:tcW w:type="dxa" w:w="1417"/>
            <w:shd w:val="clear" w:color="auto" w:fill="1F2E4A"/>
            <w:vAlign w:val="center"/>
          </w:tcPr>
          <w:p>
            <w:pPr>
              <w:spacing w:after="60"/>
              <w:jc w:val="left"/>
            </w:pPr>
            <w:r>
              <w:rPr>
                <w:b/>
                <w:color w:val="FFFFFF"/>
                <w:sz w:val="19"/>
              </w:rPr>
              <w:t>Date</w:t>
            </w:r>
          </w:p>
        </w:tc>
      </w:tr>
      <w:tr>
        <w:tc>
          <w:tcPr>
            <w:tcW w:type="dxa" w:w="2268"/>
            <w:vAlign w:val="center"/>
          </w:tcPr>
          <w:p>
            <w:pPr>
              <w:spacing w:after="60"/>
            </w:pPr>
            <w:r>
              <w:rPr>
                <w:sz w:val="19"/>
              </w:rPr>
              <w:t>Engagement Sponsor</w:t>
            </w:r>
          </w:p>
        </w:tc>
        <w:tc>
          <w:tcPr>
            <w:tcW w:type="dxa" w:w="1984"/>
            <w:vAlign w:val="center"/>
          </w:tcPr>
          <w:p>
            <w:pPr>
              <w:spacing w:after="60"/>
            </w:pPr>
            <w:r>
              <w:rPr>
                <w:sz w:val="19"/>
              </w:rPr>
              <w:t>[Name]</w:t>
            </w:r>
          </w:p>
        </w:tc>
        <w:tc>
          <w:tcPr>
            <w:tcW w:type="dxa" w:w="1701"/>
            <w:vAlign w:val="center"/>
          </w:tcPr>
          <w:p>
            <w:pPr>
              <w:spacing w:after="60"/>
            </w:pPr>
            <w:r>
              <w:rPr>
                <w:sz w:val="19"/>
              </w:rPr>
              <w:t>ABC Company</w:t>
            </w:r>
          </w:p>
        </w:tc>
        <w:tc>
          <w:tcPr>
            <w:tcW w:type="dxa" w:w="1701"/>
            <w:vAlign w:val="center"/>
          </w:tcPr>
          <w:p>
            <w:pPr>
              <w:spacing w:after="60"/>
            </w:pPr>
            <w:r>
              <w:rPr>
                <w:sz w:val="19"/>
              </w:rPr>
            </w:r>
          </w:p>
        </w:tc>
        <w:tc>
          <w:tcPr>
            <w:tcW w:type="dxa" w:w="1417"/>
            <w:vAlign w:val="center"/>
          </w:tcPr>
          <w:p>
            <w:pPr>
              <w:spacing w:after="60"/>
            </w:pPr>
            <w:r>
              <w:rPr>
                <w:sz w:val="19"/>
              </w:rPr>
            </w:r>
          </w:p>
        </w:tc>
      </w:tr>
      <w:tr>
        <w:tc>
          <w:tcPr>
            <w:tcW w:type="dxa" w:w="2268"/>
            <w:vAlign w:val="center"/>
          </w:tcPr>
          <w:p>
            <w:pPr>
              <w:spacing w:after="60"/>
            </w:pPr>
            <w:r>
              <w:rPr>
                <w:sz w:val="19"/>
              </w:rPr>
              <w:t>Delivery / Program Director</w:t>
            </w:r>
          </w:p>
        </w:tc>
        <w:tc>
          <w:tcPr>
            <w:tcW w:type="dxa" w:w="1984"/>
            <w:vAlign w:val="center"/>
          </w:tcPr>
          <w:p>
            <w:pPr>
              <w:spacing w:after="60"/>
            </w:pPr>
            <w:r>
              <w:rPr>
                <w:sz w:val="19"/>
              </w:rPr>
              <w:t>[Name]</w:t>
            </w:r>
          </w:p>
        </w:tc>
        <w:tc>
          <w:tcPr>
            <w:tcW w:type="dxa" w:w="1701"/>
            <w:vAlign w:val="center"/>
          </w:tcPr>
          <w:p>
            <w:pPr>
              <w:spacing w:after="60"/>
            </w:pPr>
            <w:r>
              <w:rPr>
                <w:sz w:val="19"/>
              </w:rPr>
              <w:t>ABC Company</w:t>
            </w:r>
          </w:p>
        </w:tc>
        <w:tc>
          <w:tcPr>
            <w:tcW w:type="dxa" w:w="1701"/>
            <w:vAlign w:val="center"/>
          </w:tcPr>
          <w:p>
            <w:pPr>
              <w:spacing w:after="60"/>
            </w:pPr>
            <w:r>
              <w:rPr>
                <w:sz w:val="19"/>
              </w:rPr>
            </w:r>
          </w:p>
        </w:tc>
        <w:tc>
          <w:tcPr>
            <w:tcW w:type="dxa" w:w="1417"/>
            <w:vAlign w:val="center"/>
          </w:tcPr>
          <w:p>
            <w:pPr>
              <w:spacing w:after="60"/>
            </w:pPr>
            <w:r>
              <w:rPr>
                <w:sz w:val="19"/>
              </w:rPr>
            </w:r>
          </w:p>
        </w:tc>
      </w:tr>
      <w:tr>
        <w:tc>
          <w:tcPr>
            <w:tcW w:type="dxa" w:w="2268"/>
            <w:vAlign w:val="center"/>
          </w:tcPr>
          <w:p>
            <w:pPr>
              <w:spacing w:after="60"/>
            </w:pPr>
            <w:r>
              <w:rPr>
                <w:sz w:val="19"/>
              </w:rPr>
              <w:t>Authorized Signatory</w:t>
            </w:r>
          </w:p>
        </w:tc>
        <w:tc>
          <w:tcPr>
            <w:tcW w:type="dxa" w:w="1984"/>
            <w:vAlign w:val="center"/>
          </w:tcPr>
          <w:p>
            <w:pPr>
              <w:spacing w:after="60"/>
            </w:pPr>
            <w:r>
              <w:rPr>
                <w:sz w:val="19"/>
              </w:rPr>
              <w:t>[Name]</w:t>
            </w:r>
          </w:p>
        </w:tc>
        <w:tc>
          <w:tcPr>
            <w:tcW w:type="dxa" w:w="1701"/>
            <w:vAlign w:val="center"/>
          </w:tcPr>
          <w:p>
            <w:pPr>
              <w:spacing w:after="60"/>
            </w:pPr>
            <w:r>
              <w:rPr>
                <w:sz w:val="19"/>
              </w:rPr>
              <w:t>Client</w:t>
            </w:r>
          </w:p>
        </w:tc>
        <w:tc>
          <w:tcPr>
            <w:tcW w:type="dxa" w:w="1701"/>
            <w:vAlign w:val="center"/>
          </w:tcPr>
          <w:p>
            <w:pPr>
              <w:spacing w:after="60"/>
            </w:pPr>
            <w:r>
              <w:rPr>
                <w:sz w:val="19"/>
              </w:rPr>
            </w:r>
          </w:p>
        </w:tc>
        <w:tc>
          <w:tcPr>
            <w:tcW w:type="dxa" w:w="1417"/>
            <w:vAlign w:val="center"/>
          </w:tcPr>
          <w:p>
            <w:pPr>
              <w:spacing w:after="60"/>
            </w:pPr>
            <w:r>
              <w:rPr>
                <w:sz w:val="19"/>
              </w:rPr>
            </w:r>
          </w:p>
        </w:tc>
      </w:tr>
      <w:tr>
        <w:tc>
          <w:tcPr>
            <w:tcW w:type="dxa" w:w="2268"/>
            <w:vAlign w:val="center"/>
          </w:tcPr>
          <w:p>
            <w:pPr>
              <w:spacing w:after="60"/>
            </w:pPr>
            <w:r>
              <w:rPr>
                <w:sz w:val="19"/>
              </w:rPr>
              <w:t>Project Sponsor</w:t>
            </w:r>
          </w:p>
        </w:tc>
        <w:tc>
          <w:tcPr>
            <w:tcW w:type="dxa" w:w="1984"/>
            <w:vAlign w:val="center"/>
          </w:tcPr>
          <w:p>
            <w:pPr>
              <w:spacing w:after="60"/>
            </w:pPr>
            <w:r>
              <w:rPr>
                <w:sz w:val="19"/>
              </w:rPr>
              <w:t>[Name]</w:t>
            </w:r>
          </w:p>
        </w:tc>
        <w:tc>
          <w:tcPr>
            <w:tcW w:type="dxa" w:w="1701"/>
            <w:vAlign w:val="center"/>
          </w:tcPr>
          <w:p>
            <w:pPr>
              <w:spacing w:after="60"/>
            </w:pPr>
            <w:r>
              <w:rPr>
                <w:sz w:val="19"/>
              </w:rPr>
              <w:t>Client</w:t>
            </w:r>
          </w:p>
        </w:tc>
        <w:tc>
          <w:tcPr>
            <w:tcW w:type="dxa" w:w="1701"/>
            <w:vAlign w:val="center"/>
          </w:tcPr>
          <w:p>
            <w:pPr>
              <w:spacing w:after="60"/>
            </w:pPr>
            <w:r>
              <w:rPr>
                <w:sz w:val="19"/>
              </w:rPr>
            </w:r>
          </w:p>
        </w:tc>
        <w:tc>
          <w:tcPr>
            <w:tcW w:type="dxa" w:w="1417"/>
            <w:vAlign w:val="center"/>
          </w:tcPr>
          <w:p>
            <w:pPr>
              <w:spacing w:after="60"/>
            </w:pPr>
            <w:r>
              <w:rPr>
                <w:sz w:val="19"/>
              </w:rPr>
            </w:r>
          </w:p>
        </w:tc>
      </w:tr>
    </w:tbl>
    <w:p/>
    <w:p>
      <w:pPr>
        <w:pStyle w:val="Heading2"/>
      </w:pPr>
      <w:r>
        <w:t>Related Documents</w:t>
      </w:r>
    </w:p>
    <w:p>
      <w:pPr>
        <w:pStyle w:val="ListBullet"/>
        <w:spacing w:after="60"/>
      </w:pPr>
      <w:r>
        <w:t>Master Services Agreement (“MSA”) between ABC Company and Client — [Reference No., Date]</w:t>
      </w:r>
    </w:p>
    <w:p>
      <w:pPr>
        <w:pStyle w:val="ListBullet"/>
        <w:spacing w:after="60"/>
      </w:pPr>
      <w:r>
        <w:t>AMC RFP &amp; Portfolio Insight Orchestrator — Solution Architecture Reference (“Architecture Document”)</w:t>
      </w:r>
    </w:p>
    <w:p>
      <w:pPr>
        <w:pStyle w:val="ListBullet"/>
        <w:spacing w:after="60"/>
      </w:pPr>
      <w:r>
        <w:t>AMC RFP &amp; Portfolio Insight Orchestrator — Phase 1 Deliverable Package (predecessor engagement, referenced for context only; not part of this SOW)</w:t>
      </w:r>
    </w:p>
    <w:p>
      <w:pPr>
        <w:pStyle w:val="ListBullet"/>
        <w:spacing w:after="60"/>
      </w:pPr>
      <w:r>
        <w:t>ABC Company Data Protection, Information Security, and Acceptable Use Policies</w:t>
      </w:r>
    </w:p>
    <w:p>
      <w:r>
        <w:br w:type="page"/>
      </w:r>
    </w:p>
    <w:p>
      <w:pPr>
        <w:pStyle w:val="Heading1"/>
      </w:pPr>
      <w:r>
        <w:t>Table of Contents</w:t>
      </w:r>
    </w:p>
    <w:p>
      <w:pPr>
        <w:spacing w:after="200"/>
      </w:pPr>
      <w:r>
        <w:rPr>
          <w:b w:val="0"/>
          <w:i/>
          <w:color w:val="595959"/>
          <w:sz w:val="17"/>
        </w:rPr>
        <w:t>Note to reader: This SOW uses fixed section numbering below; if opened in Microsoft Word, update this list to a native Table of Contents field (References → Table of Contents) for automatic page numbering.</w:t>
      </w:r>
    </w:p>
    <w:p>
      <w:pPr>
        <w:spacing w:after="60"/>
      </w:pPr>
      <w:r>
        <w:t>1. Introduction and Purpose</w:t>
      </w:r>
    </w:p>
    <w:p>
      <w:pPr>
        <w:spacing w:after="60"/>
      </w:pPr>
      <w:r>
        <w:t>2. Definitions</w:t>
      </w:r>
    </w:p>
    <w:p>
      <w:pPr>
        <w:spacing w:after="60"/>
      </w:pPr>
      <w:r>
        <w:t>3. Background and Project Context</w:t>
      </w:r>
    </w:p>
    <w:p>
      <w:pPr>
        <w:spacing w:after="60"/>
      </w:pPr>
      <w:r>
        <w:t>4. Objectives</w:t>
      </w:r>
    </w:p>
    <w:p>
      <w:pPr>
        <w:spacing w:after="60"/>
      </w:pPr>
      <w:r>
        <w:t>5. Scope of Work</w:t>
      </w:r>
    </w:p>
    <w:p>
      <w:pPr>
        <w:spacing w:after="60"/>
      </w:pPr>
      <w:r>
        <w:t>6. Out of Scope</w:t>
      </w:r>
    </w:p>
    <w:p>
      <w:pPr>
        <w:spacing w:after="60"/>
      </w:pPr>
      <w:r>
        <w:t>7. Deliverables</w:t>
      </w:r>
    </w:p>
    <w:p>
      <w:pPr>
        <w:spacing w:after="60"/>
      </w:pPr>
      <w:r>
        <w:t>8. Project Timeline and Milestones</w:t>
      </w:r>
    </w:p>
    <w:p>
      <w:pPr>
        <w:spacing w:after="60"/>
      </w:pPr>
      <w:r>
        <w:t>9. Roles, Responsibilities and Governance</w:t>
      </w:r>
    </w:p>
    <w:p>
      <w:pPr>
        <w:spacing w:after="60"/>
      </w:pPr>
      <w:r>
        <w:t>10. Acceptance Criteria and Testing</w:t>
      </w:r>
    </w:p>
    <w:p>
      <w:pPr>
        <w:spacing w:after="60"/>
      </w:pPr>
      <w:r>
        <w:t>11. Assumptions and Dependencies</w:t>
      </w:r>
    </w:p>
    <w:p>
      <w:pPr>
        <w:spacing w:after="60"/>
      </w:pPr>
      <w:r>
        <w:t>12. Change Control Process</w:t>
      </w:r>
    </w:p>
    <w:p>
      <w:pPr>
        <w:spacing w:after="60"/>
      </w:pPr>
      <w:r>
        <w:t>13. Fees, Invoicing and Payment Terms</w:t>
      </w:r>
    </w:p>
    <w:p>
      <w:pPr>
        <w:spacing w:after="60"/>
      </w:pPr>
      <w:r>
        <w:t>14. Service Levels and Support (Post Go-Live)</w:t>
      </w:r>
    </w:p>
    <w:p>
      <w:pPr>
        <w:spacing w:after="60"/>
      </w:pPr>
      <w:r>
        <w:t>15. Confidentiality and Data Protection</w:t>
      </w:r>
    </w:p>
    <w:p>
      <w:pPr>
        <w:spacing w:after="60"/>
      </w:pPr>
      <w:r>
        <w:t>16. Intellectual Property Rights</w:t>
      </w:r>
    </w:p>
    <w:p>
      <w:pPr>
        <w:spacing w:after="60"/>
      </w:pPr>
      <w:r>
        <w:t>17. Warranties</w:t>
      </w:r>
    </w:p>
    <w:p>
      <w:pPr>
        <w:spacing w:after="60"/>
      </w:pPr>
      <w:r>
        <w:t>18. Limitation of Liability</w:t>
      </w:r>
    </w:p>
    <w:p>
      <w:pPr>
        <w:spacing w:after="60"/>
      </w:pPr>
      <w:r>
        <w:t>19. Term, Termination and Suspension</w:t>
      </w:r>
    </w:p>
    <w:p>
      <w:pPr>
        <w:spacing w:after="60"/>
      </w:pPr>
      <w:r>
        <w:t>20. Compliance and Regulatory Considerations</w:t>
      </w:r>
    </w:p>
    <w:p>
      <w:pPr>
        <w:spacing w:after="60"/>
      </w:pPr>
      <w:r>
        <w:t>21. Notices</w:t>
      </w:r>
    </w:p>
    <w:p>
      <w:pPr>
        <w:spacing w:after="60"/>
      </w:pPr>
      <w:r>
        <w:t>22. Governing Law and Dispute Resolution</w:t>
      </w:r>
    </w:p>
    <w:p>
      <w:pPr>
        <w:spacing w:after="60"/>
      </w:pPr>
      <w:r>
        <w:t>23. Entire Agreement and Precedence</w:t>
      </w:r>
    </w:p>
    <w:p>
      <w:pPr>
        <w:spacing w:after="60"/>
      </w:pPr>
      <w:r>
        <w:t>24. Signatures</w:t>
      </w:r>
    </w:p>
    <w:p>
      <w:pPr>
        <w:spacing w:after="60"/>
      </w:pPr>
      <w:r>
        <w:t>Appendix A — Deliverable Acceptance Certificate (Template)</w:t>
      </w:r>
    </w:p>
    <w:p>
      <w:pPr>
        <w:spacing w:after="60"/>
      </w:pPr>
      <w:r>
        <w:t>Appendix B — Change Request Form (Template)</w:t>
      </w:r>
    </w:p>
    <w:p>
      <w:pPr>
        <w:spacing w:after="60"/>
      </w:pPr>
      <w:r>
        <w:t>Appendix C — Environment and Access Requirements</w:t>
      </w:r>
    </w:p>
    <w:p>
      <w:pPr>
        <w:spacing w:after="60"/>
      </w:pPr>
      <w:r>
        <w:t>Appendix D — Glossary of Technical Terms</w:t>
      </w:r>
    </w:p>
    <w:p>
      <w:r>
        <w:br w:type="page"/>
      </w:r>
    </w:p>
    <w:p>
      <w:pPr>
        <w:pStyle w:val="Heading1"/>
      </w:pPr>
      <w:r>
        <w:t>1. Introduction and Purpose</w:t>
      </w:r>
    </w:p>
    <w:p>
      <w:pPr>
        <w:spacing w:after="120"/>
      </w:pPr>
      <w:r>
        <w:rPr>
          <w:b w:val="0"/>
          <w:i w:val="0"/>
        </w:rPr>
        <w:t>This Statement of Work (“SOW”) is entered into by and between ABC Company (“Service Provider”, “ABC”, or “we”) and [Client Legal Entity Name] (“Client”), collectively referred to as the “Parties” and individually as a “Party”, and is governed by, and incorporated into, the Master Services Agreement referenced on the cover page (the “MSA”).</w:t>
      </w:r>
    </w:p>
    <w:p>
      <w:pPr>
        <w:spacing w:after="120"/>
      </w:pPr>
      <w:r>
        <w:rPr>
          <w:b w:val="0"/>
          <w:i w:val="0"/>
        </w:rPr>
        <w:t>This SOW defines the entire scope of work, deliverables, project timeline, staffing, governance, acceptance criteria, and commercial terms applicable to the engagement described herein. In the event of a conflict between this SOW and the MSA, the terms of the MSA shall prevail unless this SOW expressly states that a specific provision supersedes the MSA for purposes of this engagement only.</w:t>
      </w:r>
    </w:p>
    <w:p>
      <w:pPr>
        <w:spacing w:after="120"/>
      </w:pPr>
      <w:r>
        <w:rPr>
          <w:b w:val="0"/>
          <w:i w:val="0"/>
        </w:rPr>
        <w:t>Upon execution by authorized representatives of both Parties, this SOW becomes a legally binding document enforceable in accordance with its terms and the terms of the MSA.</w:t>
      </w:r>
    </w:p>
    <w:p>
      <w:pPr>
        <w:pStyle w:val="Heading1"/>
      </w:pPr>
      <w:r>
        <w:t>2. Definitions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2E4A"/>
            <w:vAlign w:val="center"/>
          </w:tcPr>
          <w:p>
            <w:pPr>
              <w:spacing w:after="60"/>
              <w:jc w:val="left"/>
            </w:pPr>
            <w:r>
              <w:rPr>
                <w:b/>
                <w:color w:val="FFFFFF"/>
                <w:sz w:val="19"/>
              </w:rPr>
              <w:t>Term</w:t>
            </w:r>
          </w:p>
        </w:tc>
        <w:tc>
          <w:tcPr>
            <w:tcW w:type="dxa" w:w="7370"/>
            <w:shd w:val="clear" w:color="auto" w:fill="1F2E4A"/>
            <w:vAlign w:val="center"/>
          </w:tcPr>
          <w:p>
            <w:pPr>
              <w:spacing w:after="60"/>
              <w:jc w:val="left"/>
            </w:pPr>
            <w:r>
              <w:rPr>
                <w:b/>
                <w:color w:val="FFFFFF"/>
                <w:sz w:val="19"/>
              </w:rPr>
              <w:t>Definition</w:t>
            </w:r>
          </w:p>
        </w:tc>
      </w:tr>
      <w:tr>
        <w:tc>
          <w:tcPr>
            <w:tcW w:type="dxa" w:w="2268"/>
            <w:vAlign w:val="center"/>
          </w:tcPr>
          <w:p>
            <w:pPr>
              <w:spacing w:after="60"/>
            </w:pPr>
            <w:r>
              <w:rPr>
                <w:sz w:val="19"/>
              </w:rPr>
              <w:t>Solution / System</w:t>
            </w:r>
          </w:p>
        </w:tc>
        <w:tc>
          <w:tcPr>
            <w:tcW w:type="dxa" w:w="7370"/>
            <w:vAlign w:val="center"/>
          </w:tcPr>
          <w:p>
            <w:pPr>
              <w:spacing w:after="60"/>
            </w:pPr>
            <w:r>
              <w:rPr>
                <w:sz w:val="19"/>
              </w:rPr>
              <w:t>The “AMC RFP &amp; Portfolio Insight Orchestrator”, a multi-agent, AI-driven orchestration system that ingests institutional RFP and portfolio queries and produces compliant, client-ready responses through an automated quantitative/qualitative analysis and compliance-review workflow.</w:t>
            </w:r>
          </w:p>
        </w:tc>
      </w:tr>
      <w:tr>
        <w:tc>
          <w:tcPr>
            <w:tcW w:type="dxa" w:w="2268"/>
            <w:vAlign w:val="center"/>
          </w:tcPr>
          <w:p>
            <w:pPr>
              <w:spacing w:after="60"/>
            </w:pPr>
            <w:r>
              <w:rPr>
                <w:sz w:val="19"/>
              </w:rPr>
              <w:t>Phase 1</w:t>
            </w:r>
          </w:p>
        </w:tc>
        <w:tc>
          <w:tcPr>
            <w:tcW w:type="dxa" w:w="7370"/>
            <w:vAlign w:val="center"/>
          </w:tcPr>
          <w:p>
            <w:pPr>
              <w:spacing w:after="60"/>
            </w:pPr>
            <w:r>
              <w:rPr>
                <w:sz w:val="19"/>
              </w:rPr>
              <w:t>The predecessor engagement covering design and build of the core agentic AI solution (multi-agent orchestration graph, compliance-review loop, and associated agent logic). Phase 1 is expressly excluded from this SOW and is referenced solely for context.</w:t>
            </w:r>
          </w:p>
        </w:tc>
      </w:tr>
      <w:tr>
        <w:tc>
          <w:tcPr>
            <w:tcW w:type="dxa" w:w="2268"/>
            <w:vAlign w:val="center"/>
          </w:tcPr>
          <w:p>
            <w:pPr>
              <w:spacing w:after="60"/>
            </w:pPr>
            <w:r>
              <w:rPr>
                <w:sz w:val="19"/>
              </w:rPr>
              <w:t>Environment(s)</w:t>
            </w:r>
          </w:p>
        </w:tc>
        <w:tc>
          <w:tcPr>
            <w:tcW w:type="dxa" w:w="7370"/>
            <w:vAlign w:val="center"/>
          </w:tcPr>
          <w:p>
            <w:pPr>
              <w:spacing w:after="60"/>
            </w:pPr>
            <w:r>
              <w:rPr>
                <w:sz w:val="19"/>
              </w:rPr>
              <w:t>The Development (“Dev”), Staging, and Production (“Prod”) deployment environments provisioned on Amazon Web Services (“AWS”) for the Solution.</w:t>
            </w:r>
          </w:p>
        </w:tc>
      </w:tr>
      <w:tr>
        <w:tc>
          <w:tcPr>
            <w:tcW w:type="dxa" w:w="2268"/>
            <w:vAlign w:val="center"/>
          </w:tcPr>
          <w:p>
            <w:pPr>
              <w:spacing w:after="60"/>
            </w:pPr>
            <w:r>
              <w:rPr>
                <w:sz w:val="19"/>
              </w:rPr>
              <w:t>Deliverable</w:t>
            </w:r>
          </w:p>
        </w:tc>
        <w:tc>
          <w:tcPr>
            <w:tcW w:type="dxa" w:w="7370"/>
            <w:vAlign w:val="center"/>
          </w:tcPr>
          <w:p>
            <w:pPr>
              <w:spacing w:after="60"/>
            </w:pPr>
            <w:r>
              <w:rPr>
                <w:sz w:val="19"/>
              </w:rPr>
              <w:t>Any work product, artifact, system component, document, or outcome that ABC is required to provide to Client under this SOW, as listed in Section 7.</w:t>
            </w:r>
          </w:p>
        </w:tc>
      </w:tr>
      <w:tr>
        <w:tc>
          <w:tcPr>
            <w:tcW w:type="dxa" w:w="2268"/>
            <w:vAlign w:val="center"/>
          </w:tcPr>
          <w:p>
            <w:pPr>
              <w:spacing w:after="60"/>
            </w:pPr>
            <w:r>
              <w:rPr>
                <w:sz w:val="19"/>
              </w:rPr>
              <w:t>Milestone</w:t>
            </w:r>
          </w:p>
        </w:tc>
        <w:tc>
          <w:tcPr>
            <w:tcW w:type="dxa" w:w="7370"/>
            <w:vAlign w:val="center"/>
          </w:tcPr>
          <w:p>
            <w:pPr>
              <w:spacing w:after="60"/>
            </w:pPr>
            <w:r>
              <w:rPr>
                <w:sz w:val="19"/>
              </w:rPr>
              <w:t>A defined point in the project timeline at which one or more Deliverables are completed and submitted for Client acceptance, as set out in Section 8.</w:t>
            </w:r>
          </w:p>
        </w:tc>
      </w:tr>
      <w:tr>
        <w:tc>
          <w:tcPr>
            <w:tcW w:type="dxa" w:w="2268"/>
            <w:vAlign w:val="center"/>
          </w:tcPr>
          <w:p>
            <w:pPr>
              <w:spacing w:after="60"/>
            </w:pPr>
            <w:r>
              <w:rPr>
                <w:sz w:val="19"/>
              </w:rPr>
              <w:t>Acceptance Criteria</w:t>
            </w:r>
          </w:p>
        </w:tc>
        <w:tc>
          <w:tcPr>
            <w:tcW w:type="dxa" w:w="7370"/>
            <w:vAlign w:val="center"/>
          </w:tcPr>
          <w:p>
            <w:pPr>
              <w:spacing w:after="60"/>
            </w:pPr>
            <w:r>
              <w:rPr>
                <w:sz w:val="19"/>
              </w:rPr>
              <w:t>The objective criteria, defined in Section 10, against which a Deliverable is evaluated to determine whether it satisfies the requirements of this SOW.</w:t>
            </w:r>
          </w:p>
        </w:tc>
      </w:tr>
      <w:tr>
        <w:tc>
          <w:tcPr>
            <w:tcW w:type="dxa" w:w="2268"/>
            <w:vAlign w:val="center"/>
          </w:tcPr>
          <w:p>
            <w:pPr>
              <w:spacing w:after="60"/>
            </w:pPr>
            <w:r>
              <w:rPr>
                <w:sz w:val="19"/>
              </w:rPr>
              <w:t>Business Day</w:t>
            </w:r>
          </w:p>
        </w:tc>
        <w:tc>
          <w:tcPr>
            <w:tcW w:type="dxa" w:w="7370"/>
            <w:vAlign w:val="center"/>
          </w:tcPr>
          <w:p>
            <w:pPr>
              <w:spacing w:after="60"/>
            </w:pPr>
            <w:r>
              <w:rPr>
                <w:sz w:val="19"/>
              </w:rPr>
              <w:t>Monday through Friday, excluding public holidays observed in the location from which the applicable ABC delivery team operates.</w:t>
            </w:r>
          </w:p>
        </w:tc>
      </w:tr>
    </w:tbl>
    <w:p/>
    <w:p>
      <w:pPr>
        <w:pStyle w:val="Heading1"/>
      </w:pPr>
      <w:r>
        <w:t>3. Background and Project Context</w:t>
      </w:r>
    </w:p>
    <w:p>
      <w:pPr>
        <w:spacing w:after="120"/>
      </w:pPr>
      <w:r>
        <w:rPr>
          <w:b w:val="0"/>
          <w:i w:val="0"/>
        </w:rPr>
        <w:t>Client engaged ABC Company to design, build, and operationalize an AI-driven orchestration system to accelerate and standardize the production of compliant responses to institutional Requests for Proposal (RFPs) and portfolio information requests for Client's Asset Management Company (AMC) business. The Solution combines automated quantitative data retrieval, qualitative narrative generation grounded in Client-approved source content, and an automated “LLM-as-a-Judge” compliance review loop, culminating in a synthesized, client-ready report.</w:t>
      </w:r>
    </w:p>
    <w:p>
      <w:pPr>
        <w:spacing w:after="120"/>
      </w:pPr>
      <w:r>
        <w:rPr>
          <w:b w:val="0"/>
          <w:i w:val="0"/>
        </w:rPr>
        <w:t>The engagement is organized into four sequential phases:</w:t>
      </w:r>
    </w:p>
    <w:p>
      <w:pPr>
        <w:pStyle w:val="ListBullet"/>
        <w:spacing w:after="60"/>
      </w:pPr>
      <w:r>
        <w:rPr>
          <w:b/>
        </w:rPr>
        <w:t xml:space="preserve">Phase 1 (prior engagement, out of scope): </w:t>
      </w:r>
      <w:r>
        <w:t xml:space="preserve">Phase 1 — Agentic AI Solution Build: design and implementation of the core multi-agent orchestration logic, compliance rubric, and local development environment. </w:t>
      </w:r>
    </w:p>
    <w:p>
      <w:pPr>
        <w:pStyle w:val="ListBullet"/>
        <w:spacing w:after="60"/>
      </w:pPr>
      <w:r>
        <w:rPr>
          <w:b/>
        </w:rPr>
        <w:t xml:space="preserve">Phase 2 (in scope): </w:t>
      </w:r>
      <w:r>
        <w:t xml:space="preserve">Cloud deployment of the Solution onto AWS using Amazon Bedrock AgentCore, including infrastructure-as-code, containerization, data-layer migration to managed AWS services, and knowledge-base provisioning. </w:t>
      </w:r>
    </w:p>
    <w:p>
      <w:pPr>
        <w:pStyle w:val="ListBullet"/>
        <w:spacing w:after="60"/>
      </w:pPr>
      <w:r>
        <w:rPr>
          <w:b/>
        </w:rPr>
        <w:t xml:space="preserve">Phase 3 (in scope): </w:t>
      </w:r>
      <w:r>
        <w:t xml:space="preserve">Design and implementation of automated CI/CD pipelines, federated cloud authentication, environment governance, and release management processes. </w:t>
      </w:r>
    </w:p>
    <w:p>
      <w:pPr>
        <w:pStyle w:val="ListBullet"/>
        <w:spacing w:after="60"/>
      </w:pPr>
      <w:r>
        <w:rPr>
          <w:b/>
        </w:rPr>
        <w:t xml:space="preserve">Phase 4 (in scope): </w:t>
      </w:r>
      <w:r>
        <w:t xml:space="preserve">Compliance and quality hardening, advanced tool and memory integrations, observability and monitoring, and progressive rollout to Staging and Production environments, together with associated testing, verification, and managed operations support. </w:t>
      </w:r>
    </w:p>
    <w:p>
      <w:pPr>
        <w:spacing w:after="120"/>
      </w:pPr>
      <w:r>
        <w:rPr>
          <w:b w:val="0"/>
          <w:i w:val="0"/>
        </w:rPr>
        <w:t>This SOW governs Phases 2 through 4 only. Phase 1 has been completed under a separate engagement / prior statement of work and is not re-scoped, re-priced, or warranted under this document, except to the extent that Phase 2-4 activities build upon Phase 1 work product as pre-existing input, as further described in Section 11 (Assumptions and Dependencies).</w:t>
      </w:r>
    </w:p>
    <w:p>
      <w:pPr>
        <w:pStyle w:val="Heading1"/>
      </w:pPr>
      <w:r>
        <w:t>4. Objectives</w:t>
      </w:r>
    </w:p>
    <w:p>
      <w:pPr>
        <w:spacing w:after="120"/>
      </w:pPr>
      <w:r>
        <w:rPr>
          <w:b w:val="0"/>
          <w:i w:val="0"/>
        </w:rPr>
        <w:t>The objectives of the engagement described in this SOW are to:</w:t>
      </w:r>
    </w:p>
    <w:p>
      <w:pPr>
        <w:pStyle w:val="ListNumber"/>
        <w:spacing w:after="60"/>
      </w:pPr>
      <w:r>
        <w:t>Deploy the Solution to a secure, scalable, and cost-optimized AWS production landing zone using Amazon Bedrock AgentCore Runtime, Gateway, and Memory services.</w:t>
      </w:r>
    </w:p>
    <w:p>
      <w:pPr>
        <w:pStyle w:val="ListNumber"/>
        <w:spacing w:after="60"/>
      </w:pPr>
      <w:r>
        <w:t>Migrate the Solution's data layer from local development stores to managed, production-grade AWS services (Amazon DynamoDB and a Bedrock Knowledge Base) without disruption to agent logic or business rules established in Phase 1.</w:t>
      </w:r>
    </w:p>
    <w:p>
      <w:pPr>
        <w:pStyle w:val="ListNumber"/>
        <w:spacing w:after="60"/>
      </w:pPr>
      <w:r>
        <w:t>Establish a fully automated, auditable Continuous Integration / Continuous Deployment (CI/CD) pipeline using federated (OIDC) authentication, eliminating long-lived cloud credentials and enabling repeatable, low-risk releases across Dev, Staging, and Production.</w:t>
      </w:r>
    </w:p>
    <w:p>
      <w:pPr>
        <w:pStyle w:val="ListNumber"/>
        <w:spacing w:after="60"/>
      </w:pPr>
      <w:r>
        <w:t>Strengthen the compliance-review workflow to reduce fabrication risk, improve grounding of AI-generated commentary in approved source content, and increase the consistency of automated compliance verdicts.</w:t>
      </w:r>
    </w:p>
    <w:p>
      <w:pPr>
        <w:pStyle w:val="ListNumber"/>
        <w:spacing w:after="60"/>
      </w:pPr>
      <w:r>
        <w:t>Extend the Solution with production-grade tool integration (Gateway-routed tools) and conversational memory (multi-turn session continuity) to improve response quality and user experience.</w:t>
      </w:r>
    </w:p>
    <w:p>
      <w:pPr>
        <w:pStyle w:val="ListNumber"/>
        <w:spacing w:after="60"/>
      </w:pPr>
      <w:r>
        <w:t>Implement observability, monitoring, and alerting sufficient to operate the Solution reliably in Production, and to hand over a fully documented, tested, and supportable system to Client's operations team.</w:t>
      </w:r>
    </w:p>
    <w:p>
      <w:pPr>
        <w:pStyle w:val="ListNumber"/>
        <w:spacing w:after="60"/>
      </w:pPr>
      <w:r>
        <w:t>Progressively roll out the Solution to Staging and Production environments with appropriate governance, testing, and sign-off gates at each stage.</w:t>
      </w:r>
    </w:p>
    <w:p>
      <w:r>
        <w:br w:type="page"/>
      </w:r>
    </w:p>
    <w:p>
      <w:pPr>
        <w:pStyle w:val="Heading1"/>
      </w:pPr>
      <w:r>
        <w:t>5. Scope of Work</w:t>
      </w:r>
    </w:p>
    <w:p>
      <w:pPr>
        <w:spacing w:after="120"/>
      </w:pPr>
      <w:r>
        <w:rPr>
          <w:b w:val="0"/>
          <w:i w:val="0"/>
        </w:rPr>
        <w:t>This Section describes, at a work-package level, the activities ABC will perform under each in-scope phase. Detailed technical design decisions remain subject to the governance process described in Section 9 and the change control process described in Section 12.</w:t>
      </w:r>
    </w:p>
    <w:p>
      <w:pPr>
        <w:pStyle w:val="Heading2"/>
      </w:pPr>
      <w:r>
        <w:t>5.1  Phase 2 — Cloud Deployment to Amazon Bedrock AgentCore</w:t>
      </w:r>
    </w:p>
    <w:p>
      <w:pPr>
        <w:spacing w:after="120"/>
      </w:pPr>
      <w:r>
        <w:rPr>
          <w:b w:val="0"/>
          <w:i w:val="0"/>
        </w:rPr>
        <w:t>Phase 2 covers migration of the Phase-1-built Solution from a local development stack (SQLite / local vector store, local LLM runtime) to a production-capable AWS deployment. Work packages:</w:t>
      </w:r>
    </w:p>
    <w:p>
      <w:pPr>
        <w:pStyle w:val="ListBullet"/>
        <w:spacing w:after="60"/>
      </w:pPr>
      <w:r>
        <w:t>Design and build modular Infrastructure-as-Code (Terraform) covering: Amazon Bedrock AgentCore Runtime, Gateway, and Memory; Amazon ECR; Amazon DynamoDB; vector storage (Amazon OpenSearch Serverless and/or Amazon S3 Vectors, as applicable per environment); AWS Lambda tool stubs; IAM roles and policies; and observability resources (dashboards, alarms, log groups). One isolated Terraform root module per environment (Dev, Staging, Production).</w:t>
      </w:r>
    </w:p>
    <w:p>
      <w:pPr>
        <w:pStyle w:val="ListBullet"/>
        <w:spacing w:after="60"/>
      </w:pPr>
      <w:r>
        <w:t>Build an AgentCore-compliant HTTP entrypoint for the Solution and package it as a container image (linux/arm64) suitable for deployment on Amazon Bedrock AgentCore Runtime.</w:t>
      </w:r>
    </w:p>
    <w:p>
      <w:pPr>
        <w:pStyle w:val="ListBullet"/>
        <w:spacing w:after="60"/>
      </w:pPr>
      <w:r>
        <w:t>Migrate the quantitative data layer from SQLite to Amazon DynamoDB, and the qualitative / narrative data layer from a local vector store to a managed Amazon Bedrock Knowledge Base (including vector index provisioning), preserving all business logic, tool contracts, and compliance behavior validated in Phase 1.</w:t>
      </w:r>
    </w:p>
    <w:p>
      <w:pPr>
        <w:pStyle w:val="ListBullet"/>
        <w:spacing w:after="60"/>
      </w:pPr>
      <w:r>
        <w:t>Provision and configure the Bedrock Knowledge Base data source, and establish an initial document ingestion process for Client-approved source content (fund/portfolio commentary or equivalent reference material).</w:t>
      </w:r>
    </w:p>
    <w:p>
      <w:pPr>
        <w:pStyle w:val="ListBullet"/>
        <w:spacing w:after="60"/>
      </w:pPr>
      <w:r>
        <w:t>Extend the existing user interface with a dual operating mode (local / deployed runtime) so that authorized users and testers can validate the Solution against either environment.</w:t>
      </w:r>
    </w:p>
    <w:p>
      <w:pPr>
        <w:pStyle w:val="ListBullet"/>
        <w:spacing w:after="60"/>
      </w:pPr>
      <w:r>
        <w:t>Execute deployment verification for each provisioned environment, including live end-to-end invocation testing, infrastructure validation (“plan–apply–verify” discipline against the real cloud provider rather than static analysis alone), and resolution of environment-specific defects identified during verification.</w:t>
      </w:r>
    </w:p>
    <w:p>
      <w:pPr>
        <w:pStyle w:val="Heading2"/>
      </w:pPr>
      <w:r>
        <w:t>5.2  Phase 3 — CI/CD Implementation</w:t>
      </w:r>
    </w:p>
    <w:p>
      <w:pPr>
        <w:spacing w:after="120"/>
      </w:pPr>
      <w:r>
        <w:rPr>
          <w:b w:val="0"/>
          <w:i w:val="0"/>
        </w:rPr>
        <w:t>Phase 3 covers design and implementation of automated build, test, and release pipelines for the Solution and its supporting infrastructure. Work packages:</w:t>
      </w:r>
    </w:p>
    <w:p>
      <w:pPr>
        <w:pStyle w:val="ListBullet"/>
        <w:spacing w:after="60"/>
      </w:pPr>
      <w:r>
        <w:t>Design and implement federated (OIDC) authentication between the Client's chosen source control / CI platform and AWS, eliminating the use of long-lived cloud access keys for automated pipelines.</w:t>
      </w:r>
    </w:p>
    <w:p>
      <w:pPr>
        <w:pStyle w:val="ListBullet"/>
        <w:spacing w:after="60"/>
      </w:pPr>
      <w:r>
        <w:t>Implement a Pull-Request validation pipeline that automatically runs static analysis (linting, type-checking), unit tests, a container build sanity check, and an infrastructure change preview (“plan-only”) on every proposed code change, without requiring elevated cloud permissions.</w:t>
      </w:r>
    </w:p>
    <w:p>
      <w:pPr>
        <w:pStyle w:val="ListBullet"/>
        <w:spacing w:after="60"/>
      </w:pPr>
      <w:r>
        <w:t>Implement a manually triggered deployment pipeline following a “build-once, promote-the-same-artifact” pattern: a single container image is built and tagged once, then promoted unchanged across Dev, Staging, and Production, to guarantee environment parity between what is tested and what is released.</w:t>
      </w:r>
    </w:p>
    <w:p>
      <w:pPr>
        <w:pStyle w:val="ListBullet"/>
        <w:spacing w:after="60"/>
      </w:pPr>
      <w:r>
        <w:t>Implement least-privilege, per-environment cloud identity and access roles for the deployment pipeline, scoped to the minimum permissions required for each environment's resources.</w:t>
      </w:r>
    </w:p>
    <w:p>
      <w:pPr>
        <w:pStyle w:val="ListBullet"/>
        <w:spacing w:after="60"/>
      </w:pPr>
      <w:r>
        <w:t>Implement an automated content-ingestion pipeline so that new or updated Client source content uploaded to the designated storage location is automatically synchronized into the Bedrock Knowledge Base without manual intervention.</w:t>
      </w:r>
    </w:p>
    <w:p>
      <w:pPr>
        <w:pStyle w:val="ListBullet"/>
        <w:spacing w:after="60"/>
      </w:pPr>
      <w:r>
        <w:t>Document environment governance procedures (protected branches, environment-level approvals, secrets/variables management) and produce a CI/CD operations runbook for Client's engineering team.</w:t>
      </w:r>
    </w:p>
    <w:p>
      <w:pPr>
        <w:pStyle w:val="Heading2"/>
      </w:pPr>
      <w:r>
        <w:t>5.3  Phase 4 — Compliance Hardening, Advanced Integrations, Monitoring, and Managed Rollout</w:t>
      </w:r>
    </w:p>
    <w:p>
      <w:pPr>
        <w:spacing w:after="120"/>
      </w:pPr>
      <w:r>
        <w:rPr>
          <w:b w:val="0"/>
          <w:i w:val="0"/>
        </w:rPr>
        <w:t>Phase 4 covers quality, compliance, and operational hardening of the Solution, targeted feature extensions, and progressive rollout through Staging and Production. Work packages:</w:t>
      </w:r>
    </w:p>
    <w:p>
      <w:pPr>
        <w:pStyle w:val="Heading3"/>
      </w:pPr>
      <w:r>
        <w:t>5.3.1  Compliance and Quality Hardening</w:t>
      </w:r>
    </w:p>
    <w:p>
      <w:pPr>
        <w:pStyle w:val="ListBullet"/>
        <w:spacing w:after="60"/>
      </w:pPr>
      <w:r>
        <w:t>Investigate and remediate instances of AI-generated content not being properly grounded in approved source material, including code-level safeguards (not reliant on prompt instructions alone) to enforce honest “no information available” responses when no relevant source content exists.</w:t>
      </w:r>
    </w:p>
    <w:p>
      <w:pPr>
        <w:pStyle w:val="ListBullet"/>
        <w:spacing w:after="60"/>
      </w:pPr>
      <w:r>
        <w:t>Extend the automated compliance rubric with additional review dimensions identified during testing (e.g., a grounding / anti-fabrication rule), and mirror rubric changes into Client-facing compliance documentation.</w:t>
      </w:r>
    </w:p>
    <w:p>
      <w:pPr>
        <w:pStyle w:val="ListBullet"/>
        <w:spacing w:after="60"/>
      </w:pPr>
      <w:r>
        <w:t>Investigate and tune sources of inconsistency in automated compliance verdicts (“judge determinism”), document root-cause findings, and apply supportable configuration changes (e.g., generation-parameter tuning) where they measurably improve consistency without degrading output quality.</w:t>
      </w:r>
    </w:p>
    <w:p>
      <w:pPr>
        <w:pStyle w:val="ListBullet"/>
        <w:spacing w:after="60"/>
      </w:pPr>
      <w:r>
        <w:t>Expand the automated regression test suite (unit and integration tests) to cover new compliance behaviors and to serve as an ongoing quality gate within the CI/CD pipeline delivered under Phase 3.</w:t>
      </w:r>
    </w:p>
    <w:p>
      <w:pPr>
        <w:pStyle w:val="Heading3"/>
      </w:pPr>
      <w:r>
        <w:t>5.3.2  Advanced Platform Integrations</w:t>
      </w:r>
    </w:p>
    <w:p>
      <w:pPr>
        <w:pStyle w:val="ListBullet"/>
        <w:spacing w:after="60"/>
      </w:pPr>
      <w:r>
        <w:t>Implement Gateway-routed tool integrations, exposing production tool logic (quantitative data lookup and knowledge-base retrieval) behind managed, authenticated Gateway targets backed by serverless compute, in place of direct in-process data access.</w:t>
      </w:r>
    </w:p>
    <w:p>
      <w:pPr>
        <w:pStyle w:val="ListBullet"/>
        <w:spacing w:after="60"/>
      </w:pPr>
      <w:r>
        <w:t>Implement conversational memory integration so that the Solution can maintain multi-turn session context (e.g., correctly resolving follow-up questions that refer back to a prior turn) using a managed, auditable memory store, opt-in and configurable per Client requirements.</w:t>
      </w:r>
    </w:p>
    <w:p>
      <w:pPr>
        <w:pStyle w:val="Heading3"/>
      </w:pPr>
      <w:r>
        <w:t>5.3.3  Observability, Monitoring and Operations Readiness</w:t>
      </w:r>
    </w:p>
    <w:p>
      <w:pPr>
        <w:pStyle w:val="ListBullet"/>
        <w:spacing w:after="60"/>
      </w:pPr>
      <w:r>
        <w:t>Implement environment health/readiness checks and expand logging, dashboards, and alerting to give Client's operations team visibility into Solution availability, error rates, and key operational metrics (e.g., compliance escalation rate, invocation latency).</w:t>
      </w:r>
    </w:p>
    <w:p>
      <w:pPr>
        <w:pStyle w:val="ListBullet"/>
        <w:spacing w:after="60"/>
      </w:pPr>
      <w:r>
        <w:t>Investigate and remediate observability gaps identified during testing (e.g., application log delivery to the cloud logging platform).</w:t>
      </w:r>
    </w:p>
    <w:p>
      <w:pPr>
        <w:pStyle w:val="ListBullet"/>
        <w:spacing w:after="60"/>
      </w:pPr>
      <w:r>
        <w:t>Produce and hand over an operations runbook, architecture reference, and troubleshooting guide sufficient for Client's team (or a designated ABC managed-services team, if separately contracted) to operate the Solution post go-live.</w:t>
      </w:r>
    </w:p>
    <w:p>
      <w:pPr>
        <w:pStyle w:val="Heading3"/>
      </w:pPr>
      <w:r>
        <w:t>5.3.4  Staging and Production Rollout</w:t>
      </w:r>
    </w:p>
    <w:p>
      <w:pPr>
        <w:pStyle w:val="ListBullet"/>
        <w:spacing w:after="60"/>
      </w:pPr>
      <w:r>
        <w:t>Provision the Staging environment using the same Infrastructure-as-Code and CI/CD pipelines validated in Dev, execute the same deployment verification discipline, and obtain Client sign-off before proceeding to Production.</w:t>
      </w:r>
    </w:p>
    <w:p>
      <w:pPr>
        <w:pStyle w:val="ListBullet"/>
        <w:spacing w:after="60"/>
      </w:pPr>
      <w:r>
        <w:t>Provision the Production environment, execute a controlled first release, and perform live end-to-end verification against Production infrastructure.</w:t>
      </w:r>
    </w:p>
    <w:p>
      <w:pPr>
        <w:pStyle w:val="ListBullet"/>
        <w:spacing w:after="60"/>
      </w:pPr>
      <w:r>
        <w:t>Provide hypercare support for an agreed period immediately following Production go-live, as defined in Section 14.</w:t>
      </w:r>
    </w:p>
    <w:p>
      <w:r>
        <w:br w:type="page"/>
      </w:r>
    </w:p>
    <w:p>
      <w:pPr>
        <w:pStyle w:val="Heading1"/>
      </w:pPr>
      <w:r>
        <w:t>6. Out of Scope</w:t>
      </w:r>
    </w:p>
    <w:p>
      <w:pPr>
        <w:spacing w:after="120"/>
      </w:pPr>
      <w:r>
        <w:rPr>
          <w:b w:val="0"/>
          <w:i w:val="0"/>
        </w:rPr>
        <w:t>The following are expressly excluded from this SOW. Any request by Client for ABC to perform out-of-scope work shall be handled exclusively through the Change Control process described in Section 12, and may result in adjustments to fees, timeline, or both.</w:t>
      </w:r>
    </w:p>
    <w:p>
      <w:pPr>
        <w:pStyle w:val="ListBullet"/>
        <w:spacing w:after="60"/>
      </w:pPr>
      <w:r>
        <w:t>Phase 1 — Agentic AI Solution Build, including the original design of the multi-agent orchestration graph, agent prompts/business logic, and the initial compliance rubric. Phase 1 is treated as a completed, pre-existing input to this engagement.</w:t>
      </w:r>
    </w:p>
    <w:p>
      <w:pPr>
        <w:pStyle w:val="ListBullet"/>
        <w:spacing w:after="60"/>
      </w:pPr>
      <w:r>
        <w:t>Development of new business functionality or agent capabilities beyond those described in Section 5 (e.g., new RFP question types, new asset classes, new report formats), unless separately agreed via Change Control.</w:t>
      </w:r>
    </w:p>
    <w:p>
      <w:pPr>
        <w:pStyle w:val="ListBullet"/>
        <w:spacing w:after="60"/>
      </w:pPr>
      <w:r>
        <w:t>Sourcing, drafting, review, or legal/regulatory approval of the underlying content used to populate the Knowledge Base (fund commentary, portfolio data, disclosures). Client is solely responsible for the accuracy, completeness, and compliance of all source content it provides.</w:t>
      </w:r>
    </w:p>
    <w:p>
      <w:pPr>
        <w:pStyle w:val="ListBullet"/>
        <w:spacing w:after="60"/>
      </w:pPr>
      <w:r>
        <w:t>Procurement of, or contracting for, underlying AWS cloud services, third-party SaaS/licenses, or any other infrastructure consumed by the Solution. Client is responsible for maintaining an active, appropriately funded AWS account (see Section 11).</w:t>
      </w:r>
    </w:p>
    <w:p>
      <w:pPr>
        <w:pStyle w:val="ListBullet"/>
        <w:spacing w:after="60"/>
      </w:pPr>
      <w:r>
        <w:t>Ongoing managed operations / application support beyond the hypercare period defined in Section 14, unless covered by a separate managed services agreement or SOW.</w:t>
      </w:r>
    </w:p>
    <w:p>
      <w:pPr>
        <w:pStyle w:val="ListBullet"/>
        <w:spacing w:after="60"/>
      </w:pPr>
      <w:r>
        <w:t>Data migration of historical RFP responses, portfolio records, or other legacy content not already part of the Phase 1 mock/reference data set, unless separately scoped.</w:t>
      </w:r>
    </w:p>
    <w:p>
      <w:pPr>
        <w:pStyle w:val="ListBullet"/>
        <w:spacing w:after="60"/>
      </w:pPr>
      <w:r>
        <w:t>Load testing, penetration testing, or third-party security audits beyond ABC's standard secure-development and code-review practices, unless separately scoped and priced.</w:t>
      </w:r>
    </w:p>
    <w:p>
      <w:pPr>
        <w:pStyle w:val="ListBullet"/>
        <w:spacing w:after="60"/>
      </w:pPr>
      <w:r>
        <w:t>Training of Client end users beyond the knowledge-transfer sessions described in Section 9, and change management / user adoption programs.</w:t>
      </w:r>
    </w:p>
    <w:p>
      <w:pPr>
        <w:pStyle w:val="ListBullet"/>
        <w:spacing w:after="60"/>
      </w:pPr>
      <w:r>
        <w:t>Multi-region, disaster-recovery, or high-availability architectures beyond the single-region design validated in Phase 2, unless separately scoped.</w:t>
      </w:r>
    </w:p>
    <w:p>
      <w:r>
        <w:br w:type="page"/>
      </w:r>
    </w:p>
    <w:p>
      <w:pPr>
        <w:pStyle w:val="Heading1"/>
      </w:pPr>
      <w:r>
        <w:t>7. Deliverables</w:t>
      </w:r>
    </w:p>
    <w:p>
      <w:pPr>
        <w:spacing w:after="120"/>
      </w:pPr>
      <w:r>
        <w:rPr>
          <w:b w:val="0"/>
          <w:i w:val="0"/>
        </w:rPr>
        <w:t>The table below lists the Deliverables ABC will provide under this SOW, organized by phase. Each Deliverable is subject to the Acceptance Criteria defined in Section 10.</w:t>
      </w:r>
    </w:p>
    <w:p>
      <w:pPr>
        <w:pStyle w:val="Heading2"/>
      </w:pPr>
      <w:r>
        <w:t>7.1  Phase 2 Deliverables</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F2E4A"/>
            <w:vAlign w:val="center"/>
          </w:tcPr>
          <w:p>
            <w:pPr>
              <w:spacing w:after="60"/>
              <w:jc w:val="left"/>
            </w:pPr>
            <w:r>
              <w:rPr>
                <w:b/>
                <w:color w:val="FFFFFF"/>
                <w:sz w:val="19"/>
              </w:rPr>
              <w:t>#</w:t>
            </w:r>
          </w:p>
        </w:tc>
        <w:tc>
          <w:tcPr>
            <w:tcW w:type="dxa" w:w="2835"/>
            <w:shd w:val="clear" w:color="auto" w:fill="1F2E4A"/>
            <w:vAlign w:val="center"/>
          </w:tcPr>
          <w:p>
            <w:pPr>
              <w:spacing w:after="60"/>
              <w:jc w:val="left"/>
            </w:pPr>
            <w:r>
              <w:rPr>
                <w:b/>
                <w:color w:val="FFFFFF"/>
                <w:sz w:val="19"/>
              </w:rPr>
              <w:t>Deliverable</w:t>
            </w:r>
          </w:p>
        </w:tc>
        <w:tc>
          <w:tcPr>
            <w:tcW w:type="dxa" w:w="5953"/>
            <w:shd w:val="clear" w:color="auto" w:fill="1F2E4A"/>
            <w:vAlign w:val="center"/>
          </w:tcPr>
          <w:p>
            <w:pPr>
              <w:spacing w:after="60"/>
              <w:jc w:val="left"/>
            </w:pPr>
            <w:r>
              <w:rPr>
                <w:b/>
                <w:color w:val="FFFFFF"/>
                <w:sz w:val="19"/>
              </w:rPr>
              <w:t>Description / Form</w:t>
            </w:r>
          </w:p>
        </w:tc>
      </w:tr>
      <w:tr>
        <w:tc>
          <w:tcPr>
            <w:tcW w:type="dxa" w:w="850"/>
            <w:vAlign w:val="center"/>
          </w:tcPr>
          <w:p>
            <w:pPr>
              <w:spacing w:after="60"/>
            </w:pPr>
            <w:r>
              <w:rPr>
                <w:sz w:val="19"/>
              </w:rPr>
              <w:t>D2.1</w:t>
            </w:r>
          </w:p>
        </w:tc>
        <w:tc>
          <w:tcPr>
            <w:tcW w:type="dxa" w:w="2835"/>
            <w:vAlign w:val="center"/>
          </w:tcPr>
          <w:p>
            <w:pPr>
              <w:spacing w:after="60"/>
            </w:pPr>
            <w:r>
              <w:rPr>
                <w:sz w:val="19"/>
              </w:rPr>
              <w:t>Infrastructure-as-Code Modules</w:t>
            </w:r>
          </w:p>
        </w:tc>
        <w:tc>
          <w:tcPr>
            <w:tcW w:type="dxa" w:w="5953"/>
            <w:vAlign w:val="center"/>
          </w:tcPr>
          <w:p>
            <w:pPr>
              <w:spacing w:after="60"/>
            </w:pPr>
            <w:r>
              <w:rPr>
                <w:sz w:val="19"/>
              </w:rPr>
              <w:t>Version-controlled Terraform modules and per-environment root configurations for AgentCore, ECR, DynamoDB, vector store, IAM, and observability resources.</w:t>
            </w:r>
          </w:p>
        </w:tc>
      </w:tr>
      <w:tr>
        <w:tc>
          <w:tcPr>
            <w:tcW w:type="dxa" w:w="850"/>
            <w:vAlign w:val="center"/>
          </w:tcPr>
          <w:p>
            <w:pPr>
              <w:spacing w:after="60"/>
            </w:pPr>
            <w:r>
              <w:rPr>
                <w:sz w:val="19"/>
              </w:rPr>
              <w:t>D2.2</w:t>
            </w:r>
          </w:p>
        </w:tc>
        <w:tc>
          <w:tcPr>
            <w:tcW w:type="dxa" w:w="2835"/>
            <w:vAlign w:val="center"/>
          </w:tcPr>
          <w:p>
            <w:pPr>
              <w:spacing w:after="60"/>
            </w:pPr>
            <w:r>
              <w:rPr>
                <w:sz w:val="19"/>
              </w:rPr>
              <w:t>Containerized Application Image</w:t>
            </w:r>
          </w:p>
        </w:tc>
        <w:tc>
          <w:tcPr>
            <w:tcW w:type="dxa" w:w="5953"/>
            <w:vAlign w:val="center"/>
          </w:tcPr>
          <w:p>
            <w:pPr>
              <w:spacing w:after="60"/>
            </w:pPr>
            <w:r>
              <w:rPr>
                <w:sz w:val="19"/>
              </w:rPr>
              <w:t>AgentCore-compliant container image build definition (Dockerfile) and a build/push procedure.</w:t>
            </w:r>
          </w:p>
        </w:tc>
      </w:tr>
      <w:tr>
        <w:tc>
          <w:tcPr>
            <w:tcW w:type="dxa" w:w="850"/>
            <w:vAlign w:val="center"/>
          </w:tcPr>
          <w:p>
            <w:pPr>
              <w:spacing w:after="60"/>
            </w:pPr>
            <w:r>
              <w:rPr>
                <w:sz w:val="19"/>
              </w:rPr>
              <w:t>D2.3</w:t>
            </w:r>
          </w:p>
        </w:tc>
        <w:tc>
          <w:tcPr>
            <w:tcW w:type="dxa" w:w="2835"/>
            <w:vAlign w:val="center"/>
          </w:tcPr>
          <w:p>
            <w:pPr>
              <w:spacing w:after="60"/>
            </w:pPr>
            <w:r>
              <w:rPr>
                <w:sz w:val="19"/>
              </w:rPr>
              <w:t>Data Layer Migration</w:t>
            </w:r>
          </w:p>
        </w:tc>
        <w:tc>
          <w:tcPr>
            <w:tcW w:type="dxa" w:w="5953"/>
            <w:vAlign w:val="center"/>
          </w:tcPr>
          <w:p>
            <w:pPr>
              <w:spacing w:after="60"/>
            </w:pPr>
            <w:r>
              <w:rPr>
                <w:sz w:val="19"/>
              </w:rPr>
              <w:t>Working DynamoDB and Bedrock Knowledge Base data-access implementation, functionally equivalent to the Phase 1 local data layer.</w:t>
            </w:r>
          </w:p>
        </w:tc>
      </w:tr>
      <w:tr>
        <w:tc>
          <w:tcPr>
            <w:tcW w:type="dxa" w:w="850"/>
            <w:vAlign w:val="center"/>
          </w:tcPr>
          <w:p>
            <w:pPr>
              <w:spacing w:after="60"/>
            </w:pPr>
            <w:r>
              <w:rPr>
                <w:sz w:val="19"/>
              </w:rPr>
              <w:t>D2.4</w:t>
            </w:r>
          </w:p>
        </w:tc>
        <w:tc>
          <w:tcPr>
            <w:tcW w:type="dxa" w:w="2835"/>
            <w:vAlign w:val="center"/>
          </w:tcPr>
          <w:p>
            <w:pPr>
              <w:spacing w:after="60"/>
            </w:pPr>
            <w:r>
              <w:rPr>
                <w:sz w:val="19"/>
              </w:rPr>
              <w:t>Provisioned Dev Environment</w:t>
            </w:r>
          </w:p>
        </w:tc>
        <w:tc>
          <w:tcPr>
            <w:tcW w:type="dxa" w:w="5953"/>
            <w:vAlign w:val="center"/>
          </w:tcPr>
          <w:p>
            <w:pPr>
              <w:spacing w:after="60"/>
            </w:pPr>
            <w:r>
              <w:rPr>
                <w:sz w:val="19"/>
              </w:rPr>
              <w:t>A live, verified Dev environment on AWS with a working, end-to-end tested deployment of the Solution.</w:t>
            </w:r>
          </w:p>
        </w:tc>
      </w:tr>
      <w:tr>
        <w:tc>
          <w:tcPr>
            <w:tcW w:type="dxa" w:w="850"/>
            <w:vAlign w:val="center"/>
          </w:tcPr>
          <w:p>
            <w:pPr>
              <w:spacing w:after="60"/>
            </w:pPr>
            <w:r>
              <w:rPr>
                <w:sz w:val="19"/>
              </w:rPr>
              <w:t>D2.5</w:t>
            </w:r>
          </w:p>
        </w:tc>
        <w:tc>
          <w:tcPr>
            <w:tcW w:type="dxa" w:w="2835"/>
            <w:vAlign w:val="center"/>
          </w:tcPr>
          <w:p>
            <w:pPr>
              <w:spacing w:after="60"/>
            </w:pPr>
            <w:r>
              <w:rPr>
                <w:sz w:val="19"/>
              </w:rPr>
              <w:t>Updated User Interface</w:t>
            </w:r>
          </w:p>
        </w:tc>
        <w:tc>
          <w:tcPr>
            <w:tcW w:type="dxa" w:w="5953"/>
            <w:vAlign w:val="center"/>
          </w:tcPr>
          <w:p>
            <w:pPr>
              <w:spacing w:after="60"/>
            </w:pPr>
            <w:r>
              <w:rPr>
                <w:sz w:val="19"/>
              </w:rPr>
              <w:t>Dual-mode (local / deployed runtime) user interface, demonstrated against a live deployment.</w:t>
            </w:r>
          </w:p>
        </w:tc>
      </w:tr>
      <w:tr>
        <w:tc>
          <w:tcPr>
            <w:tcW w:type="dxa" w:w="850"/>
            <w:vAlign w:val="center"/>
          </w:tcPr>
          <w:p>
            <w:pPr>
              <w:spacing w:after="60"/>
            </w:pPr>
            <w:r>
              <w:rPr>
                <w:sz w:val="19"/>
              </w:rPr>
              <w:t>D2.6</w:t>
            </w:r>
          </w:p>
        </w:tc>
        <w:tc>
          <w:tcPr>
            <w:tcW w:type="dxa" w:w="2835"/>
            <w:vAlign w:val="center"/>
          </w:tcPr>
          <w:p>
            <w:pPr>
              <w:spacing w:after="60"/>
            </w:pPr>
            <w:r>
              <w:rPr>
                <w:sz w:val="19"/>
              </w:rPr>
              <w:t>Phase 2 Deployment Verification Report</w:t>
            </w:r>
          </w:p>
        </w:tc>
        <w:tc>
          <w:tcPr>
            <w:tcW w:type="dxa" w:w="5953"/>
            <w:vAlign w:val="center"/>
          </w:tcPr>
          <w:p>
            <w:pPr>
              <w:spacing w:after="60"/>
            </w:pPr>
            <w:r>
              <w:rPr>
                <w:sz w:val="19"/>
              </w:rPr>
              <w:t>Written summary of test invocations, results, and any defects found and resolved.</w:t>
            </w:r>
          </w:p>
        </w:tc>
      </w:tr>
    </w:tbl>
    <w:p/>
    <w:p>
      <w:pPr>
        <w:pStyle w:val="Heading2"/>
      </w:pPr>
      <w:r>
        <w:t>7.2  Phase 3 Deliverables</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F2E4A"/>
            <w:vAlign w:val="center"/>
          </w:tcPr>
          <w:p>
            <w:pPr>
              <w:spacing w:after="60"/>
              <w:jc w:val="left"/>
            </w:pPr>
            <w:r>
              <w:rPr>
                <w:b/>
                <w:color w:val="FFFFFF"/>
                <w:sz w:val="19"/>
              </w:rPr>
              <w:t>#</w:t>
            </w:r>
          </w:p>
        </w:tc>
        <w:tc>
          <w:tcPr>
            <w:tcW w:type="dxa" w:w="2835"/>
            <w:shd w:val="clear" w:color="auto" w:fill="1F2E4A"/>
            <w:vAlign w:val="center"/>
          </w:tcPr>
          <w:p>
            <w:pPr>
              <w:spacing w:after="60"/>
              <w:jc w:val="left"/>
            </w:pPr>
            <w:r>
              <w:rPr>
                <w:b/>
                <w:color w:val="FFFFFF"/>
                <w:sz w:val="19"/>
              </w:rPr>
              <w:t>Deliverable</w:t>
            </w:r>
          </w:p>
        </w:tc>
        <w:tc>
          <w:tcPr>
            <w:tcW w:type="dxa" w:w="5953"/>
            <w:shd w:val="clear" w:color="auto" w:fill="1F2E4A"/>
            <w:vAlign w:val="center"/>
          </w:tcPr>
          <w:p>
            <w:pPr>
              <w:spacing w:after="60"/>
              <w:jc w:val="left"/>
            </w:pPr>
            <w:r>
              <w:rPr>
                <w:b/>
                <w:color w:val="FFFFFF"/>
                <w:sz w:val="19"/>
              </w:rPr>
              <w:t>Description / Form</w:t>
            </w:r>
          </w:p>
        </w:tc>
      </w:tr>
      <w:tr>
        <w:tc>
          <w:tcPr>
            <w:tcW w:type="dxa" w:w="850"/>
            <w:vAlign w:val="center"/>
          </w:tcPr>
          <w:p>
            <w:pPr>
              <w:spacing w:after="60"/>
            </w:pPr>
            <w:r>
              <w:rPr>
                <w:sz w:val="19"/>
              </w:rPr>
              <w:t>D3.1</w:t>
            </w:r>
          </w:p>
        </w:tc>
        <w:tc>
          <w:tcPr>
            <w:tcW w:type="dxa" w:w="2835"/>
            <w:vAlign w:val="center"/>
          </w:tcPr>
          <w:p>
            <w:pPr>
              <w:spacing w:after="60"/>
            </w:pPr>
            <w:r>
              <w:rPr>
                <w:sz w:val="19"/>
              </w:rPr>
              <w:t>CI/CD Identity &amp; Access Module</w:t>
            </w:r>
          </w:p>
        </w:tc>
        <w:tc>
          <w:tcPr>
            <w:tcW w:type="dxa" w:w="5953"/>
            <w:vAlign w:val="center"/>
          </w:tcPr>
          <w:p>
            <w:pPr>
              <w:spacing w:after="60"/>
            </w:pPr>
            <w:r>
              <w:rPr>
                <w:sz w:val="19"/>
              </w:rPr>
              <w:t>Infrastructure-as-Code for federated (OIDC) authentication and per-environment least-privilege deployment roles.</w:t>
            </w:r>
          </w:p>
        </w:tc>
      </w:tr>
      <w:tr>
        <w:tc>
          <w:tcPr>
            <w:tcW w:type="dxa" w:w="850"/>
            <w:vAlign w:val="center"/>
          </w:tcPr>
          <w:p>
            <w:pPr>
              <w:spacing w:after="60"/>
            </w:pPr>
            <w:r>
              <w:rPr>
                <w:sz w:val="19"/>
              </w:rPr>
              <w:t>D3.2</w:t>
            </w:r>
          </w:p>
        </w:tc>
        <w:tc>
          <w:tcPr>
            <w:tcW w:type="dxa" w:w="2835"/>
            <w:vAlign w:val="center"/>
          </w:tcPr>
          <w:p>
            <w:pPr>
              <w:spacing w:after="60"/>
            </w:pPr>
            <w:r>
              <w:rPr>
                <w:sz w:val="19"/>
              </w:rPr>
              <w:t>Pull-Request Validation Pipeline</w:t>
            </w:r>
          </w:p>
        </w:tc>
        <w:tc>
          <w:tcPr>
            <w:tcW w:type="dxa" w:w="5953"/>
            <w:vAlign w:val="center"/>
          </w:tcPr>
          <w:p>
            <w:pPr>
              <w:spacing w:after="60"/>
            </w:pPr>
            <w:r>
              <w:rPr>
                <w:sz w:val="19"/>
              </w:rPr>
              <w:t>Automated workflow performing lint/type-check/unit test/build-sanity/infrastructure-plan checks on every proposed change.</w:t>
            </w:r>
          </w:p>
        </w:tc>
      </w:tr>
      <w:tr>
        <w:tc>
          <w:tcPr>
            <w:tcW w:type="dxa" w:w="850"/>
            <w:vAlign w:val="center"/>
          </w:tcPr>
          <w:p>
            <w:pPr>
              <w:spacing w:after="60"/>
            </w:pPr>
            <w:r>
              <w:rPr>
                <w:sz w:val="19"/>
              </w:rPr>
              <w:t>D3.3</w:t>
            </w:r>
          </w:p>
        </w:tc>
        <w:tc>
          <w:tcPr>
            <w:tcW w:type="dxa" w:w="2835"/>
            <w:vAlign w:val="center"/>
          </w:tcPr>
          <w:p>
            <w:pPr>
              <w:spacing w:after="60"/>
            </w:pPr>
            <w:r>
              <w:rPr>
                <w:sz w:val="19"/>
              </w:rPr>
              <w:t>Deployment Pipeline</w:t>
            </w:r>
          </w:p>
        </w:tc>
        <w:tc>
          <w:tcPr>
            <w:tcW w:type="dxa" w:w="5953"/>
            <w:vAlign w:val="center"/>
          </w:tcPr>
          <w:p>
            <w:pPr>
              <w:spacing w:after="60"/>
            </w:pPr>
            <w:r>
              <w:rPr>
                <w:sz w:val="19"/>
              </w:rPr>
              <w:t>Automated, manually triggered build-once/promote-the-same-artifact release workflow covering Dev, Staging, and Production.</w:t>
            </w:r>
          </w:p>
        </w:tc>
      </w:tr>
      <w:tr>
        <w:tc>
          <w:tcPr>
            <w:tcW w:type="dxa" w:w="850"/>
            <w:vAlign w:val="center"/>
          </w:tcPr>
          <w:p>
            <w:pPr>
              <w:spacing w:after="60"/>
            </w:pPr>
            <w:r>
              <w:rPr>
                <w:sz w:val="19"/>
              </w:rPr>
              <w:t>D3.4</w:t>
            </w:r>
          </w:p>
        </w:tc>
        <w:tc>
          <w:tcPr>
            <w:tcW w:type="dxa" w:w="2835"/>
            <w:vAlign w:val="center"/>
          </w:tcPr>
          <w:p>
            <w:pPr>
              <w:spacing w:after="60"/>
            </w:pPr>
            <w:r>
              <w:rPr>
                <w:sz w:val="19"/>
              </w:rPr>
              <w:t>Automated Content Ingestion Pipeline</w:t>
            </w:r>
          </w:p>
        </w:tc>
        <w:tc>
          <w:tcPr>
            <w:tcW w:type="dxa" w:w="5953"/>
            <w:vAlign w:val="center"/>
          </w:tcPr>
          <w:p>
            <w:pPr>
              <w:spacing w:after="60"/>
            </w:pPr>
            <w:r>
              <w:rPr>
                <w:sz w:val="19"/>
              </w:rPr>
              <w:t>Event-driven pipeline synchronizing new/updated Client source content into the Knowledge Base without manual steps.</w:t>
            </w:r>
          </w:p>
        </w:tc>
      </w:tr>
      <w:tr>
        <w:tc>
          <w:tcPr>
            <w:tcW w:type="dxa" w:w="850"/>
            <w:vAlign w:val="center"/>
          </w:tcPr>
          <w:p>
            <w:pPr>
              <w:spacing w:after="60"/>
            </w:pPr>
            <w:r>
              <w:rPr>
                <w:sz w:val="19"/>
              </w:rPr>
              <w:t>D3.5</w:t>
            </w:r>
          </w:p>
        </w:tc>
        <w:tc>
          <w:tcPr>
            <w:tcW w:type="dxa" w:w="2835"/>
            <w:vAlign w:val="center"/>
          </w:tcPr>
          <w:p>
            <w:pPr>
              <w:spacing w:after="60"/>
            </w:pPr>
            <w:r>
              <w:rPr>
                <w:sz w:val="19"/>
              </w:rPr>
              <w:t>CI/CD Runbook</w:t>
            </w:r>
          </w:p>
        </w:tc>
        <w:tc>
          <w:tcPr>
            <w:tcW w:type="dxa" w:w="5953"/>
            <w:vAlign w:val="center"/>
          </w:tcPr>
          <w:p>
            <w:pPr>
              <w:spacing w:after="60"/>
            </w:pPr>
            <w:r>
              <w:rPr>
                <w:sz w:val="19"/>
              </w:rPr>
              <w:t>Documented setup and operating procedures for the pipelines and environment governance model.</w:t>
            </w:r>
          </w:p>
        </w:tc>
      </w:tr>
    </w:tbl>
    <w:p/>
    <w:p>
      <w:pPr>
        <w:pStyle w:val="Heading2"/>
      </w:pPr>
      <w:r>
        <w:t>7.3  Phase 4 Deliverables</w:t>
      </w:r>
    </w:p>
    <w:tbl>
      <w:tblPr>
        <w:tblStyle w:val="TableGrid"/>
        <w:tblW w:type="auto" w:w="0"/>
        <w:jc w:val="center"/>
        <w:tblLook w:firstColumn="1" w:firstRow="1" w:lastColumn="0" w:lastRow="0" w:noHBand="0" w:noVBand="1" w:val="04A0"/>
      </w:tblPr>
      <w:tblGrid>
        <w:gridCol w:w="3249"/>
        <w:gridCol w:w="3249"/>
        <w:gridCol w:w="3249"/>
      </w:tblGrid>
      <w:tr>
        <w:tc>
          <w:tcPr>
            <w:tcW w:type="dxa" w:w="850"/>
            <w:shd w:val="clear" w:color="auto" w:fill="1F2E4A"/>
            <w:vAlign w:val="center"/>
          </w:tcPr>
          <w:p>
            <w:pPr>
              <w:spacing w:after="60"/>
              <w:jc w:val="left"/>
            </w:pPr>
            <w:r>
              <w:rPr>
                <w:b/>
                <w:color w:val="FFFFFF"/>
                <w:sz w:val="19"/>
              </w:rPr>
              <w:t>#</w:t>
            </w:r>
          </w:p>
        </w:tc>
        <w:tc>
          <w:tcPr>
            <w:tcW w:type="dxa" w:w="2835"/>
            <w:shd w:val="clear" w:color="auto" w:fill="1F2E4A"/>
            <w:vAlign w:val="center"/>
          </w:tcPr>
          <w:p>
            <w:pPr>
              <w:spacing w:after="60"/>
              <w:jc w:val="left"/>
            </w:pPr>
            <w:r>
              <w:rPr>
                <w:b/>
                <w:color w:val="FFFFFF"/>
                <w:sz w:val="19"/>
              </w:rPr>
              <w:t>Deliverable</w:t>
            </w:r>
          </w:p>
        </w:tc>
        <w:tc>
          <w:tcPr>
            <w:tcW w:type="dxa" w:w="5953"/>
            <w:shd w:val="clear" w:color="auto" w:fill="1F2E4A"/>
            <w:vAlign w:val="center"/>
          </w:tcPr>
          <w:p>
            <w:pPr>
              <w:spacing w:after="60"/>
              <w:jc w:val="left"/>
            </w:pPr>
            <w:r>
              <w:rPr>
                <w:b/>
                <w:color w:val="FFFFFF"/>
                <w:sz w:val="19"/>
              </w:rPr>
              <w:t>Description / Form</w:t>
            </w:r>
          </w:p>
        </w:tc>
      </w:tr>
      <w:tr>
        <w:tc>
          <w:tcPr>
            <w:tcW w:type="dxa" w:w="850"/>
            <w:vAlign w:val="center"/>
          </w:tcPr>
          <w:p>
            <w:pPr>
              <w:spacing w:after="60"/>
            </w:pPr>
            <w:r>
              <w:rPr>
                <w:sz w:val="19"/>
              </w:rPr>
              <w:t>D4.1</w:t>
            </w:r>
          </w:p>
        </w:tc>
        <w:tc>
          <w:tcPr>
            <w:tcW w:type="dxa" w:w="2835"/>
            <w:vAlign w:val="center"/>
          </w:tcPr>
          <w:p>
            <w:pPr>
              <w:spacing w:after="60"/>
            </w:pPr>
            <w:r>
              <w:rPr>
                <w:sz w:val="19"/>
              </w:rPr>
              <w:t>Compliance Hardening Package</w:t>
            </w:r>
          </w:p>
        </w:tc>
        <w:tc>
          <w:tcPr>
            <w:tcW w:type="dxa" w:w="5953"/>
            <w:vAlign w:val="center"/>
          </w:tcPr>
          <w:p>
            <w:pPr>
              <w:spacing w:after="60"/>
            </w:pPr>
            <w:r>
              <w:rPr>
                <w:sz w:val="19"/>
              </w:rPr>
              <w:t>Code-level grounding safeguards, updated compliance rubric, and associated documentation and tests.</w:t>
            </w:r>
          </w:p>
        </w:tc>
      </w:tr>
      <w:tr>
        <w:tc>
          <w:tcPr>
            <w:tcW w:type="dxa" w:w="850"/>
            <w:vAlign w:val="center"/>
          </w:tcPr>
          <w:p>
            <w:pPr>
              <w:spacing w:after="60"/>
            </w:pPr>
            <w:r>
              <w:rPr>
                <w:sz w:val="19"/>
              </w:rPr>
              <w:t>D4.2</w:t>
            </w:r>
          </w:p>
        </w:tc>
        <w:tc>
          <w:tcPr>
            <w:tcW w:type="dxa" w:w="2835"/>
            <w:vAlign w:val="center"/>
          </w:tcPr>
          <w:p>
            <w:pPr>
              <w:spacing w:after="60"/>
            </w:pPr>
            <w:r>
              <w:rPr>
                <w:sz w:val="19"/>
              </w:rPr>
              <w:t>Judge-Determinism Investigation Report</w:t>
            </w:r>
          </w:p>
        </w:tc>
        <w:tc>
          <w:tcPr>
            <w:tcW w:type="dxa" w:w="5953"/>
            <w:vAlign w:val="center"/>
          </w:tcPr>
          <w:p>
            <w:pPr>
              <w:spacing w:after="60"/>
            </w:pPr>
            <w:r>
              <w:rPr>
                <w:sz w:val="19"/>
              </w:rPr>
              <w:t>Findings, root-cause analysis, and applied configuration changes regarding compliance-verdict consistency.</w:t>
            </w:r>
          </w:p>
        </w:tc>
      </w:tr>
      <w:tr>
        <w:tc>
          <w:tcPr>
            <w:tcW w:type="dxa" w:w="850"/>
            <w:vAlign w:val="center"/>
          </w:tcPr>
          <w:p>
            <w:pPr>
              <w:spacing w:after="60"/>
            </w:pPr>
            <w:r>
              <w:rPr>
                <w:sz w:val="19"/>
              </w:rPr>
              <w:t>D4.3</w:t>
            </w:r>
          </w:p>
        </w:tc>
        <w:tc>
          <w:tcPr>
            <w:tcW w:type="dxa" w:w="2835"/>
            <w:vAlign w:val="center"/>
          </w:tcPr>
          <w:p>
            <w:pPr>
              <w:spacing w:after="60"/>
            </w:pPr>
            <w:r>
              <w:rPr>
                <w:sz w:val="19"/>
              </w:rPr>
              <w:t>Gateway-Routed Tool Integration</w:t>
            </w:r>
          </w:p>
        </w:tc>
        <w:tc>
          <w:tcPr>
            <w:tcW w:type="dxa" w:w="5953"/>
            <w:vAlign w:val="center"/>
          </w:tcPr>
          <w:p>
            <w:pPr>
              <w:spacing w:after="60"/>
            </w:pPr>
            <w:r>
              <w:rPr>
                <w:sz w:val="19"/>
              </w:rPr>
              <w:t>Production tool logic exposed via authenticated Gateway targets, tested end-to-end.</w:t>
            </w:r>
          </w:p>
        </w:tc>
      </w:tr>
      <w:tr>
        <w:tc>
          <w:tcPr>
            <w:tcW w:type="dxa" w:w="850"/>
            <w:vAlign w:val="center"/>
          </w:tcPr>
          <w:p>
            <w:pPr>
              <w:spacing w:after="60"/>
            </w:pPr>
            <w:r>
              <w:rPr>
                <w:sz w:val="19"/>
              </w:rPr>
              <w:t>D4.4</w:t>
            </w:r>
          </w:p>
        </w:tc>
        <w:tc>
          <w:tcPr>
            <w:tcW w:type="dxa" w:w="2835"/>
            <w:vAlign w:val="center"/>
          </w:tcPr>
          <w:p>
            <w:pPr>
              <w:spacing w:after="60"/>
            </w:pPr>
            <w:r>
              <w:rPr>
                <w:sz w:val="19"/>
              </w:rPr>
              <w:t>Conversational Memory Integration</w:t>
            </w:r>
          </w:p>
        </w:tc>
        <w:tc>
          <w:tcPr>
            <w:tcW w:type="dxa" w:w="5953"/>
            <w:vAlign w:val="center"/>
          </w:tcPr>
          <w:p>
            <w:pPr>
              <w:spacing w:after="60"/>
            </w:pPr>
            <w:r>
              <w:rPr>
                <w:sz w:val="19"/>
              </w:rPr>
              <w:t>Multi-turn session continuity capability, configurable and tested end-to-end with a documented verification method.</w:t>
            </w:r>
          </w:p>
        </w:tc>
      </w:tr>
      <w:tr>
        <w:tc>
          <w:tcPr>
            <w:tcW w:type="dxa" w:w="850"/>
            <w:vAlign w:val="center"/>
          </w:tcPr>
          <w:p>
            <w:pPr>
              <w:spacing w:after="60"/>
            </w:pPr>
            <w:r>
              <w:rPr>
                <w:sz w:val="19"/>
              </w:rPr>
              <w:t>D4.5</w:t>
            </w:r>
          </w:p>
        </w:tc>
        <w:tc>
          <w:tcPr>
            <w:tcW w:type="dxa" w:w="2835"/>
            <w:vAlign w:val="center"/>
          </w:tcPr>
          <w:p>
            <w:pPr>
              <w:spacing w:after="60"/>
            </w:pPr>
            <w:r>
              <w:rPr>
                <w:sz w:val="19"/>
              </w:rPr>
              <w:t>Observability &amp; Monitoring Package</w:t>
            </w:r>
          </w:p>
        </w:tc>
        <w:tc>
          <w:tcPr>
            <w:tcW w:type="dxa" w:w="5953"/>
            <w:vAlign w:val="center"/>
          </w:tcPr>
          <w:p>
            <w:pPr>
              <w:spacing w:after="60"/>
            </w:pPr>
            <w:r>
              <w:rPr>
                <w:sz w:val="19"/>
              </w:rPr>
              <w:t>Dashboards, alarms, health/readiness checks, and associated operations documentation.</w:t>
            </w:r>
          </w:p>
        </w:tc>
      </w:tr>
      <w:tr>
        <w:tc>
          <w:tcPr>
            <w:tcW w:type="dxa" w:w="850"/>
            <w:vAlign w:val="center"/>
          </w:tcPr>
          <w:p>
            <w:pPr>
              <w:spacing w:after="60"/>
            </w:pPr>
            <w:r>
              <w:rPr>
                <w:sz w:val="19"/>
              </w:rPr>
              <w:t>D4.6</w:t>
            </w:r>
          </w:p>
        </w:tc>
        <w:tc>
          <w:tcPr>
            <w:tcW w:type="dxa" w:w="2835"/>
            <w:vAlign w:val="center"/>
          </w:tcPr>
          <w:p>
            <w:pPr>
              <w:spacing w:after="60"/>
            </w:pPr>
            <w:r>
              <w:rPr>
                <w:sz w:val="19"/>
              </w:rPr>
              <w:t>Provisioned Staging Environment</w:t>
            </w:r>
          </w:p>
        </w:tc>
        <w:tc>
          <w:tcPr>
            <w:tcW w:type="dxa" w:w="5953"/>
            <w:vAlign w:val="center"/>
          </w:tcPr>
          <w:p>
            <w:pPr>
              <w:spacing w:after="60"/>
            </w:pPr>
            <w:r>
              <w:rPr>
                <w:sz w:val="19"/>
              </w:rPr>
              <w:t>A live, verified Staging environment with Client sign-off.</w:t>
            </w:r>
          </w:p>
        </w:tc>
      </w:tr>
      <w:tr>
        <w:tc>
          <w:tcPr>
            <w:tcW w:type="dxa" w:w="850"/>
            <w:vAlign w:val="center"/>
          </w:tcPr>
          <w:p>
            <w:pPr>
              <w:spacing w:after="60"/>
            </w:pPr>
            <w:r>
              <w:rPr>
                <w:sz w:val="19"/>
              </w:rPr>
              <w:t>D4.7</w:t>
            </w:r>
          </w:p>
        </w:tc>
        <w:tc>
          <w:tcPr>
            <w:tcW w:type="dxa" w:w="2835"/>
            <w:vAlign w:val="center"/>
          </w:tcPr>
          <w:p>
            <w:pPr>
              <w:spacing w:after="60"/>
            </w:pPr>
            <w:r>
              <w:rPr>
                <w:sz w:val="19"/>
              </w:rPr>
              <w:t>Provisioned Production Environment</w:t>
            </w:r>
          </w:p>
        </w:tc>
        <w:tc>
          <w:tcPr>
            <w:tcW w:type="dxa" w:w="5953"/>
            <w:vAlign w:val="center"/>
          </w:tcPr>
          <w:p>
            <w:pPr>
              <w:spacing w:after="60"/>
            </w:pPr>
            <w:r>
              <w:rPr>
                <w:sz w:val="19"/>
              </w:rPr>
              <w:t>A live, verified Production environment, following successful Staging sign-off.</w:t>
            </w:r>
          </w:p>
        </w:tc>
      </w:tr>
      <w:tr>
        <w:tc>
          <w:tcPr>
            <w:tcW w:type="dxa" w:w="850"/>
            <w:vAlign w:val="center"/>
          </w:tcPr>
          <w:p>
            <w:pPr>
              <w:spacing w:after="60"/>
            </w:pPr>
            <w:r>
              <w:rPr>
                <w:sz w:val="19"/>
              </w:rPr>
              <w:t>D4.8</w:t>
            </w:r>
          </w:p>
        </w:tc>
        <w:tc>
          <w:tcPr>
            <w:tcW w:type="dxa" w:w="2835"/>
            <w:vAlign w:val="center"/>
          </w:tcPr>
          <w:p>
            <w:pPr>
              <w:spacing w:after="60"/>
            </w:pPr>
            <w:r>
              <w:rPr>
                <w:sz w:val="19"/>
              </w:rPr>
              <w:t>Regression Test Suite</w:t>
            </w:r>
          </w:p>
        </w:tc>
        <w:tc>
          <w:tcPr>
            <w:tcW w:type="dxa" w:w="5953"/>
            <w:vAlign w:val="center"/>
          </w:tcPr>
          <w:p>
            <w:pPr>
              <w:spacing w:after="60"/>
            </w:pPr>
            <w:r>
              <w:rPr>
                <w:sz w:val="19"/>
              </w:rPr>
              <w:t>Expanded automated unit and integration test suite covering Phase 2-4 functionality, integrated into the CI/CD pipeline.</w:t>
            </w:r>
          </w:p>
        </w:tc>
      </w:tr>
      <w:tr>
        <w:tc>
          <w:tcPr>
            <w:tcW w:type="dxa" w:w="850"/>
            <w:vAlign w:val="center"/>
          </w:tcPr>
          <w:p>
            <w:pPr>
              <w:spacing w:after="60"/>
            </w:pPr>
            <w:r>
              <w:rPr>
                <w:sz w:val="19"/>
              </w:rPr>
              <w:t>D4.9</w:t>
            </w:r>
          </w:p>
        </w:tc>
        <w:tc>
          <w:tcPr>
            <w:tcW w:type="dxa" w:w="2835"/>
            <w:vAlign w:val="center"/>
          </w:tcPr>
          <w:p>
            <w:pPr>
              <w:spacing w:after="60"/>
            </w:pPr>
            <w:r>
              <w:rPr>
                <w:sz w:val="19"/>
              </w:rPr>
              <w:t>Final Solution Documentation &amp; Handover Package</w:t>
            </w:r>
          </w:p>
        </w:tc>
        <w:tc>
          <w:tcPr>
            <w:tcW w:type="dxa" w:w="5953"/>
            <w:vAlign w:val="center"/>
          </w:tcPr>
          <w:p>
            <w:pPr>
              <w:spacing w:after="60"/>
            </w:pPr>
            <w:r>
              <w:rPr>
                <w:sz w:val="19"/>
              </w:rPr>
              <w:t>Architecture reference, user guide, operations runbook, and knowledge-transfer session(s).</w:t>
            </w:r>
          </w:p>
        </w:tc>
      </w:tr>
    </w:tbl>
    <w:p/>
    <w:p>
      <w:r>
        <w:br w:type="page"/>
      </w:r>
    </w:p>
    <w:p>
      <w:pPr>
        <w:pStyle w:val="Heading1"/>
      </w:pPr>
      <w:r>
        <w:t>8. Project Timeline and Milestones</w:t>
      </w:r>
    </w:p>
    <w:p>
      <w:pPr>
        <w:spacing w:after="120"/>
      </w:pPr>
      <w:r>
        <w:rPr>
          <w:b w:val="0"/>
          <w:i w:val="0"/>
        </w:rPr>
        <w:t>The indicative timeline below is expressed in elapsed weeks from the Effective Date and assumes timely Client participation and decision-making as described in Section 11. ABC and Client will agree specific calendar dates in the Project Kick-off Meeting, to be recorded in an updated version of this Section without requiring a formal Change Request, provided the total duration and fees are unaffected.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1F2E4A"/>
            <w:vAlign w:val="center"/>
          </w:tcPr>
          <w:p>
            <w:pPr>
              <w:spacing w:after="60"/>
              <w:jc w:val="left"/>
            </w:pPr>
            <w:r>
              <w:rPr>
                <w:b/>
                <w:color w:val="FFFFFF"/>
                <w:sz w:val="19"/>
              </w:rPr>
              <w:t>Milestone</w:t>
            </w:r>
          </w:p>
        </w:tc>
        <w:tc>
          <w:tcPr>
            <w:tcW w:type="dxa" w:w="3685"/>
            <w:shd w:val="clear" w:color="auto" w:fill="1F2E4A"/>
            <w:vAlign w:val="center"/>
          </w:tcPr>
          <w:p>
            <w:pPr>
              <w:spacing w:after="60"/>
              <w:jc w:val="left"/>
            </w:pPr>
            <w:r>
              <w:rPr>
                <w:b/>
                <w:color w:val="FFFFFF"/>
                <w:sz w:val="19"/>
              </w:rPr>
              <w:t>Description</w:t>
            </w:r>
          </w:p>
        </w:tc>
        <w:tc>
          <w:tcPr>
            <w:tcW w:type="dxa" w:w="2268"/>
            <w:shd w:val="clear" w:color="auto" w:fill="1F2E4A"/>
            <w:vAlign w:val="center"/>
          </w:tcPr>
          <w:p>
            <w:pPr>
              <w:spacing w:after="60"/>
              <w:jc w:val="left"/>
            </w:pPr>
            <w:r>
              <w:rPr>
                <w:b/>
                <w:color w:val="FFFFFF"/>
                <w:sz w:val="19"/>
              </w:rPr>
              <w:t>Target (Weeks from Effective Date)</w:t>
            </w:r>
          </w:p>
        </w:tc>
        <w:tc>
          <w:tcPr>
            <w:tcW w:type="dxa" w:w="2551"/>
            <w:shd w:val="clear" w:color="auto" w:fill="1F2E4A"/>
            <w:vAlign w:val="center"/>
          </w:tcPr>
          <w:p>
            <w:pPr>
              <w:spacing w:after="60"/>
              <w:jc w:val="left"/>
            </w:pPr>
            <w:r>
              <w:rPr>
                <w:b/>
                <w:color w:val="FFFFFF"/>
                <w:sz w:val="19"/>
              </w:rPr>
              <w:t>Associated Deliverables</w:t>
            </w:r>
          </w:p>
        </w:tc>
      </w:tr>
      <w:tr>
        <w:tc>
          <w:tcPr>
            <w:tcW w:type="dxa" w:w="1134"/>
            <w:vAlign w:val="center"/>
          </w:tcPr>
          <w:p>
            <w:pPr>
              <w:spacing w:after="60"/>
            </w:pPr>
            <w:r>
              <w:rPr>
                <w:sz w:val="19"/>
              </w:rPr>
              <w:t>M0</w:t>
            </w:r>
          </w:p>
        </w:tc>
        <w:tc>
          <w:tcPr>
            <w:tcW w:type="dxa" w:w="3685"/>
            <w:vAlign w:val="center"/>
          </w:tcPr>
          <w:p>
            <w:pPr>
              <w:spacing w:after="60"/>
            </w:pPr>
            <w:r>
              <w:rPr>
                <w:sz w:val="19"/>
              </w:rPr>
              <w:t>Project Kick-off &amp; Environment Access Confirmed</w:t>
            </w:r>
          </w:p>
        </w:tc>
        <w:tc>
          <w:tcPr>
            <w:tcW w:type="dxa" w:w="2268"/>
            <w:vAlign w:val="center"/>
          </w:tcPr>
          <w:p>
            <w:pPr>
              <w:spacing w:after="60"/>
            </w:pPr>
            <w:r>
              <w:rPr>
                <w:sz w:val="19"/>
              </w:rPr>
              <w:t>Week 0</w:t>
            </w:r>
          </w:p>
        </w:tc>
        <w:tc>
          <w:tcPr>
            <w:tcW w:type="dxa" w:w="2551"/>
            <w:vAlign w:val="center"/>
          </w:tcPr>
          <w:p>
            <w:pPr>
              <w:spacing w:after="60"/>
            </w:pPr>
            <w:r>
              <w:rPr>
                <w:sz w:val="19"/>
              </w:rPr>
              <w:t>Kick-off minutes; access/dependency checklist (Appendix C)</w:t>
            </w:r>
          </w:p>
        </w:tc>
      </w:tr>
      <w:tr>
        <w:tc>
          <w:tcPr>
            <w:tcW w:type="dxa" w:w="1134"/>
            <w:vAlign w:val="center"/>
          </w:tcPr>
          <w:p>
            <w:pPr>
              <w:spacing w:after="60"/>
            </w:pPr>
            <w:r>
              <w:rPr>
                <w:sz w:val="19"/>
              </w:rPr>
              <w:t>M1</w:t>
            </w:r>
          </w:p>
        </w:tc>
        <w:tc>
          <w:tcPr>
            <w:tcW w:type="dxa" w:w="3685"/>
            <w:vAlign w:val="center"/>
          </w:tcPr>
          <w:p>
            <w:pPr>
              <w:spacing w:after="60"/>
            </w:pPr>
            <w:r>
              <w:rPr>
                <w:sz w:val="19"/>
              </w:rPr>
              <w:t>Phase 2 Complete — Dev Environment Live</w:t>
            </w:r>
          </w:p>
        </w:tc>
        <w:tc>
          <w:tcPr>
            <w:tcW w:type="dxa" w:w="2268"/>
            <w:vAlign w:val="center"/>
          </w:tcPr>
          <w:p>
            <w:pPr>
              <w:spacing w:after="60"/>
            </w:pPr>
            <w:r>
              <w:rPr>
                <w:sz w:val="19"/>
              </w:rPr>
              <w:t>Week 4</w:t>
            </w:r>
          </w:p>
        </w:tc>
        <w:tc>
          <w:tcPr>
            <w:tcW w:type="dxa" w:w="2551"/>
            <w:vAlign w:val="center"/>
          </w:tcPr>
          <w:p>
            <w:pPr>
              <w:spacing w:after="60"/>
            </w:pPr>
            <w:r>
              <w:rPr>
                <w:sz w:val="19"/>
              </w:rPr>
              <w:t>D2.1 – D2.6</w:t>
            </w:r>
          </w:p>
        </w:tc>
      </w:tr>
      <w:tr>
        <w:tc>
          <w:tcPr>
            <w:tcW w:type="dxa" w:w="1134"/>
            <w:vAlign w:val="center"/>
          </w:tcPr>
          <w:p>
            <w:pPr>
              <w:spacing w:after="60"/>
            </w:pPr>
            <w:r>
              <w:rPr>
                <w:sz w:val="19"/>
              </w:rPr>
              <w:t>M2</w:t>
            </w:r>
          </w:p>
        </w:tc>
        <w:tc>
          <w:tcPr>
            <w:tcW w:type="dxa" w:w="3685"/>
            <w:vAlign w:val="center"/>
          </w:tcPr>
          <w:p>
            <w:pPr>
              <w:spacing w:after="60"/>
            </w:pPr>
            <w:r>
              <w:rPr>
                <w:sz w:val="19"/>
              </w:rPr>
              <w:t>Phase 3 Complete — CI/CD Operational</w:t>
            </w:r>
          </w:p>
        </w:tc>
        <w:tc>
          <w:tcPr>
            <w:tcW w:type="dxa" w:w="2268"/>
            <w:vAlign w:val="center"/>
          </w:tcPr>
          <w:p>
            <w:pPr>
              <w:spacing w:after="60"/>
            </w:pPr>
            <w:r>
              <w:rPr>
                <w:sz w:val="19"/>
              </w:rPr>
              <w:t>Week 7</w:t>
            </w:r>
          </w:p>
        </w:tc>
        <w:tc>
          <w:tcPr>
            <w:tcW w:type="dxa" w:w="2551"/>
            <w:vAlign w:val="center"/>
          </w:tcPr>
          <w:p>
            <w:pPr>
              <w:spacing w:after="60"/>
            </w:pPr>
            <w:r>
              <w:rPr>
                <w:sz w:val="19"/>
              </w:rPr>
              <w:t>D3.1 – D3.5</w:t>
            </w:r>
          </w:p>
        </w:tc>
      </w:tr>
      <w:tr>
        <w:tc>
          <w:tcPr>
            <w:tcW w:type="dxa" w:w="1134"/>
            <w:vAlign w:val="center"/>
          </w:tcPr>
          <w:p>
            <w:pPr>
              <w:spacing w:after="60"/>
            </w:pPr>
            <w:r>
              <w:rPr>
                <w:sz w:val="19"/>
              </w:rPr>
              <w:t>M3</w:t>
            </w:r>
          </w:p>
        </w:tc>
        <w:tc>
          <w:tcPr>
            <w:tcW w:type="dxa" w:w="3685"/>
            <w:vAlign w:val="center"/>
          </w:tcPr>
          <w:p>
            <w:pPr>
              <w:spacing w:after="60"/>
            </w:pPr>
            <w:r>
              <w:rPr>
                <w:sz w:val="19"/>
              </w:rPr>
              <w:t>Phase 4a Complete — Compliance Hardening &amp; Advanced Integrations (Dev)</w:t>
            </w:r>
          </w:p>
        </w:tc>
        <w:tc>
          <w:tcPr>
            <w:tcW w:type="dxa" w:w="2268"/>
            <w:vAlign w:val="center"/>
          </w:tcPr>
          <w:p>
            <w:pPr>
              <w:spacing w:after="60"/>
            </w:pPr>
            <w:r>
              <w:rPr>
                <w:sz w:val="19"/>
              </w:rPr>
              <w:t>Week 10</w:t>
            </w:r>
          </w:p>
        </w:tc>
        <w:tc>
          <w:tcPr>
            <w:tcW w:type="dxa" w:w="2551"/>
            <w:vAlign w:val="center"/>
          </w:tcPr>
          <w:p>
            <w:pPr>
              <w:spacing w:after="60"/>
            </w:pPr>
            <w:r>
              <w:rPr>
                <w:sz w:val="19"/>
              </w:rPr>
              <w:t>D4.1 – D4.5</w:t>
            </w:r>
          </w:p>
        </w:tc>
      </w:tr>
      <w:tr>
        <w:tc>
          <w:tcPr>
            <w:tcW w:type="dxa" w:w="1134"/>
            <w:vAlign w:val="center"/>
          </w:tcPr>
          <w:p>
            <w:pPr>
              <w:spacing w:after="60"/>
            </w:pPr>
            <w:r>
              <w:rPr>
                <w:sz w:val="19"/>
              </w:rPr>
              <w:t>M4</w:t>
            </w:r>
          </w:p>
        </w:tc>
        <w:tc>
          <w:tcPr>
            <w:tcW w:type="dxa" w:w="3685"/>
            <w:vAlign w:val="center"/>
          </w:tcPr>
          <w:p>
            <w:pPr>
              <w:spacing w:after="60"/>
            </w:pPr>
            <w:r>
              <w:rPr>
                <w:sz w:val="19"/>
              </w:rPr>
              <w:t>Phase 4b Complete — Staging Sign-off</w:t>
            </w:r>
          </w:p>
        </w:tc>
        <w:tc>
          <w:tcPr>
            <w:tcW w:type="dxa" w:w="2268"/>
            <w:vAlign w:val="center"/>
          </w:tcPr>
          <w:p>
            <w:pPr>
              <w:spacing w:after="60"/>
            </w:pPr>
            <w:r>
              <w:rPr>
                <w:sz w:val="19"/>
              </w:rPr>
              <w:t>Week 12</w:t>
            </w:r>
          </w:p>
        </w:tc>
        <w:tc>
          <w:tcPr>
            <w:tcW w:type="dxa" w:w="2551"/>
            <w:vAlign w:val="center"/>
          </w:tcPr>
          <w:p>
            <w:pPr>
              <w:spacing w:after="60"/>
            </w:pPr>
            <w:r>
              <w:rPr>
                <w:sz w:val="19"/>
              </w:rPr>
              <w:t>D4.6</w:t>
            </w:r>
          </w:p>
        </w:tc>
      </w:tr>
      <w:tr>
        <w:tc>
          <w:tcPr>
            <w:tcW w:type="dxa" w:w="1134"/>
            <w:vAlign w:val="center"/>
          </w:tcPr>
          <w:p>
            <w:pPr>
              <w:spacing w:after="60"/>
            </w:pPr>
            <w:r>
              <w:rPr>
                <w:sz w:val="19"/>
              </w:rPr>
              <w:t>M5</w:t>
            </w:r>
          </w:p>
        </w:tc>
        <w:tc>
          <w:tcPr>
            <w:tcW w:type="dxa" w:w="3685"/>
            <w:vAlign w:val="center"/>
          </w:tcPr>
          <w:p>
            <w:pPr>
              <w:spacing w:after="60"/>
            </w:pPr>
            <w:r>
              <w:rPr>
                <w:sz w:val="19"/>
              </w:rPr>
              <w:t>Phase 4c Complete — Production Go-Live</w:t>
            </w:r>
          </w:p>
        </w:tc>
        <w:tc>
          <w:tcPr>
            <w:tcW w:type="dxa" w:w="2268"/>
            <w:vAlign w:val="center"/>
          </w:tcPr>
          <w:p>
            <w:pPr>
              <w:spacing w:after="60"/>
            </w:pPr>
            <w:r>
              <w:rPr>
                <w:sz w:val="19"/>
              </w:rPr>
              <w:t>Week 13</w:t>
            </w:r>
          </w:p>
        </w:tc>
        <w:tc>
          <w:tcPr>
            <w:tcW w:type="dxa" w:w="2551"/>
            <w:vAlign w:val="center"/>
          </w:tcPr>
          <w:p>
            <w:pPr>
              <w:spacing w:after="60"/>
            </w:pPr>
            <w:r>
              <w:rPr>
                <w:sz w:val="19"/>
              </w:rPr>
              <w:t>D4.7</w:t>
            </w:r>
          </w:p>
        </w:tc>
      </w:tr>
      <w:tr>
        <w:tc>
          <w:tcPr>
            <w:tcW w:type="dxa" w:w="1134"/>
            <w:vAlign w:val="center"/>
          </w:tcPr>
          <w:p>
            <w:pPr>
              <w:spacing w:after="60"/>
            </w:pPr>
            <w:r>
              <w:rPr>
                <w:sz w:val="19"/>
              </w:rPr>
              <w:t>M6</w:t>
            </w:r>
          </w:p>
        </w:tc>
        <w:tc>
          <w:tcPr>
            <w:tcW w:type="dxa" w:w="3685"/>
            <w:vAlign w:val="center"/>
          </w:tcPr>
          <w:p>
            <w:pPr>
              <w:spacing w:after="60"/>
            </w:pPr>
            <w:r>
              <w:rPr>
                <w:sz w:val="19"/>
              </w:rPr>
              <w:t>Hypercare Complete &amp; Final Handover</w:t>
            </w:r>
          </w:p>
        </w:tc>
        <w:tc>
          <w:tcPr>
            <w:tcW w:type="dxa" w:w="2268"/>
            <w:vAlign w:val="center"/>
          </w:tcPr>
          <w:p>
            <w:pPr>
              <w:spacing w:after="60"/>
            </w:pPr>
            <w:r>
              <w:rPr>
                <w:sz w:val="19"/>
              </w:rPr>
              <w:t>Week 15</w:t>
            </w:r>
          </w:p>
        </w:tc>
        <w:tc>
          <w:tcPr>
            <w:tcW w:type="dxa" w:w="2551"/>
            <w:vAlign w:val="center"/>
          </w:tcPr>
          <w:p>
            <w:pPr>
              <w:spacing w:after="60"/>
            </w:pPr>
            <w:r>
              <w:rPr>
                <w:sz w:val="19"/>
              </w:rPr>
              <w:t>D4.8, D4.9; Final Acceptance Certificate</w:t>
            </w:r>
          </w:p>
        </w:tc>
      </w:tr>
    </w:tbl>
    <w:p/>
    <w:p>
      <w:pPr>
        <w:spacing w:after="120"/>
      </w:pPr>
      <w:r>
        <w:rPr>
          <w:b w:val="0"/>
          <w:i/>
          <w:color w:val="595959"/>
          <w:sz w:val="19"/>
        </w:rPr>
        <w:t>Total indicative duration: 15 weeks from the Effective Date, inclusive of a two-week post-go-live hypercare period. This timeline is an estimate based on information available as of the date of this SOW and is subject to adjustment via Change Control if Client-caused delays, scope changes, or unforeseen technical constraints arise.</w:t>
      </w:r>
    </w:p>
    <w:p>
      <w:r>
        <w:br w:type="page"/>
      </w:r>
    </w:p>
    <w:p>
      <w:pPr>
        <w:pStyle w:val="Heading1"/>
      </w:pPr>
      <w:r>
        <w:t>9. Roles, Responsibilities and Governance</w:t>
      </w:r>
    </w:p>
    <w:p>
      <w:pPr>
        <w:pStyle w:val="Heading2"/>
      </w:pPr>
      <w:r>
        <w:t>9.1  ABC Company Team</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F2E4A"/>
            <w:vAlign w:val="center"/>
          </w:tcPr>
          <w:p>
            <w:pPr>
              <w:spacing w:after="60"/>
              <w:jc w:val="left"/>
            </w:pPr>
            <w:r>
              <w:rPr>
                <w:b/>
                <w:color w:val="FFFFFF"/>
                <w:sz w:val="19"/>
              </w:rPr>
              <w:t>Role</w:t>
            </w:r>
          </w:p>
        </w:tc>
        <w:tc>
          <w:tcPr>
            <w:tcW w:type="dxa" w:w="6803"/>
            <w:shd w:val="clear" w:color="auto" w:fill="1F2E4A"/>
            <w:vAlign w:val="center"/>
          </w:tcPr>
          <w:p>
            <w:pPr>
              <w:spacing w:after="60"/>
              <w:jc w:val="left"/>
            </w:pPr>
            <w:r>
              <w:rPr>
                <w:b/>
                <w:color w:val="FFFFFF"/>
                <w:sz w:val="19"/>
              </w:rPr>
              <w:t>Responsibility</w:t>
            </w:r>
          </w:p>
        </w:tc>
      </w:tr>
      <w:tr>
        <w:tc>
          <w:tcPr>
            <w:tcW w:type="dxa" w:w="2835"/>
            <w:vAlign w:val="center"/>
          </w:tcPr>
          <w:p>
            <w:pPr>
              <w:spacing w:after="60"/>
            </w:pPr>
            <w:r>
              <w:rPr>
                <w:sz w:val="19"/>
              </w:rPr>
              <w:t>Engagement Sponsor</w:t>
            </w:r>
          </w:p>
        </w:tc>
        <w:tc>
          <w:tcPr>
            <w:tcW w:type="dxa" w:w="6803"/>
            <w:vAlign w:val="center"/>
          </w:tcPr>
          <w:p>
            <w:pPr>
              <w:spacing w:after="60"/>
            </w:pPr>
            <w:r>
              <w:rPr>
                <w:sz w:val="19"/>
              </w:rPr>
              <w:t>Overall accountability for engagement success and commercial relationship.</w:t>
            </w:r>
          </w:p>
        </w:tc>
      </w:tr>
      <w:tr>
        <w:tc>
          <w:tcPr>
            <w:tcW w:type="dxa" w:w="2835"/>
            <w:vAlign w:val="center"/>
          </w:tcPr>
          <w:p>
            <w:pPr>
              <w:spacing w:after="60"/>
            </w:pPr>
            <w:r>
              <w:rPr>
                <w:sz w:val="19"/>
              </w:rPr>
              <w:t>Delivery / Program Director</w:t>
            </w:r>
          </w:p>
        </w:tc>
        <w:tc>
          <w:tcPr>
            <w:tcW w:type="dxa" w:w="6803"/>
            <w:vAlign w:val="center"/>
          </w:tcPr>
          <w:p>
            <w:pPr>
              <w:spacing w:after="60"/>
            </w:pPr>
            <w:r>
              <w:rPr>
                <w:sz w:val="19"/>
              </w:rPr>
              <w:t>Day-to-day delivery accountability, risk/issue escalation, status reporting.</w:t>
            </w:r>
          </w:p>
        </w:tc>
      </w:tr>
      <w:tr>
        <w:tc>
          <w:tcPr>
            <w:tcW w:type="dxa" w:w="2835"/>
            <w:vAlign w:val="center"/>
          </w:tcPr>
          <w:p>
            <w:pPr>
              <w:spacing w:after="60"/>
            </w:pPr>
            <w:r>
              <w:rPr>
                <w:sz w:val="19"/>
              </w:rPr>
              <w:t>Cloud/DevOps Engineer(s)</w:t>
            </w:r>
          </w:p>
        </w:tc>
        <w:tc>
          <w:tcPr>
            <w:tcW w:type="dxa" w:w="6803"/>
            <w:vAlign w:val="center"/>
          </w:tcPr>
          <w:p>
            <w:pPr>
              <w:spacing w:after="60"/>
            </w:pPr>
            <w:r>
              <w:rPr>
                <w:sz w:val="19"/>
              </w:rPr>
              <w:t>Infrastructure-as-Code, CI/CD pipeline design and implementation, environment provisioning.</w:t>
            </w:r>
          </w:p>
        </w:tc>
      </w:tr>
      <w:tr>
        <w:tc>
          <w:tcPr>
            <w:tcW w:type="dxa" w:w="2835"/>
            <w:vAlign w:val="center"/>
          </w:tcPr>
          <w:p>
            <w:pPr>
              <w:spacing w:after="60"/>
            </w:pPr>
            <w:r>
              <w:rPr>
                <w:sz w:val="19"/>
              </w:rPr>
              <w:t>AI/ML Engineer(s)</w:t>
            </w:r>
          </w:p>
        </w:tc>
        <w:tc>
          <w:tcPr>
            <w:tcW w:type="dxa" w:w="6803"/>
            <w:vAlign w:val="center"/>
          </w:tcPr>
          <w:p>
            <w:pPr>
              <w:spacing w:after="60"/>
            </w:pPr>
            <w:r>
              <w:rPr>
                <w:sz w:val="19"/>
              </w:rPr>
              <w:t>Agent integration, compliance rubric changes, Knowledge Base and memory integration.</w:t>
            </w:r>
          </w:p>
        </w:tc>
      </w:tr>
      <w:tr>
        <w:tc>
          <w:tcPr>
            <w:tcW w:type="dxa" w:w="2835"/>
            <w:vAlign w:val="center"/>
          </w:tcPr>
          <w:p>
            <w:pPr>
              <w:spacing w:after="60"/>
            </w:pPr>
            <w:r>
              <w:rPr>
                <w:sz w:val="19"/>
              </w:rPr>
              <w:t>QA / Test Engineer(s)</w:t>
            </w:r>
          </w:p>
        </w:tc>
        <w:tc>
          <w:tcPr>
            <w:tcW w:type="dxa" w:w="6803"/>
            <w:vAlign w:val="center"/>
          </w:tcPr>
          <w:p>
            <w:pPr>
              <w:spacing w:after="60"/>
            </w:pPr>
            <w:r>
              <w:rPr>
                <w:sz w:val="19"/>
              </w:rPr>
              <w:t>Test strategy execution, regression suite maintenance, deployment verification.</w:t>
            </w:r>
          </w:p>
        </w:tc>
      </w:tr>
      <w:tr>
        <w:tc>
          <w:tcPr>
            <w:tcW w:type="dxa" w:w="2835"/>
            <w:vAlign w:val="center"/>
          </w:tcPr>
          <w:p>
            <w:pPr>
              <w:spacing w:after="60"/>
            </w:pPr>
            <w:r>
              <w:rPr>
                <w:sz w:val="19"/>
              </w:rPr>
              <w:t>Security Lead</w:t>
            </w:r>
          </w:p>
        </w:tc>
        <w:tc>
          <w:tcPr>
            <w:tcW w:type="dxa" w:w="6803"/>
            <w:vAlign w:val="center"/>
          </w:tcPr>
          <w:p>
            <w:pPr>
              <w:spacing w:after="60"/>
            </w:pPr>
            <w:r>
              <w:rPr>
                <w:sz w:val="19"/>
              </w:rPr>
              <w:t>Review of IAM design, secrets management, and CI/CD authentication model.</w:t>
            </w:r>
          </w:p>
        </w:tc>
      </w:tr>
    </w:tbl>
    <w:p/>
    <w:p>
      <w:pPr>
        <w:pStyle w:val="Heading2"/>
      </w:pPr>
      <w:r>
        <w:t>9.2  Client Team</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F2E4A"/>
            <w:vAlign w:val="center"/>
          </w:tcPr>
          <w:p>
            <w:pPr>
              <w:spacing w:after="60"/>
              <w:jc w:val="left"/>
            </w:pPr>
            <w:r>
              <w:rPr>
                <w:b/>
                <w:color w:val="FFFFFF"/>
                <w:sz w:val="19"/>
              </w:rPr>
              <w:t>Role</w:t>
            </w:r>
          </w:p>
        </w:tc>
        <w:tc>
          <w:tcPr>
            <w:tcW w:type="dxa" w:w="6803"/>
            <w:shd w:val="clear" w:color="auto" w:fill="1F2E4A"/>
            <w:vAlign w:val="center"/>
          </w:tcPr>
          <w:p>
            <w:pPr>
              <w:spacing w:after="60"/>
              <w:jc w:val="left"/>
            </w:pPr>
            <w:r>
              <w:rPr>
                <w:b/>
                <w:color w:val="FFFFFF"/>
                <w:sz w:val="19"/>
              </w:rPr>
              <w:t>Responsibility</w:t>
            </w:r>
          </w:p>
        </w:tc>
      </w:tr>
      <w:tr>
        <w:tc>
          <w:tcPr>
            <w:tcW w:type="dxa" w:w="2835"/>
            <w:vAlign w:val="center"/>
          </w:tcPr>
          <w:p>
            <w:pPr>
              <w:spacing w:after="60"/>
            </w:pPr>
            <w:r>
              <w:rPr>
                <w:sz w:val="19"/>
              </w:rPr>
              <w:t>Project Sponsor</w:t>
            </w:r>
          </w:p>
        </w:tc>
        <w:tc>
          <w:tcPr>
            <w:tcW w:type="dxa" w:w="6803"/>
            <w:vAlign w:val="center"/>
          </w:tcPr>
          <w:p>
            <w:pPr>
              <w:spacing w:after="60"/>
            </w:pPr>
            <w:r>
              <w:rPr>
                <w:sz w:val="19"/>
              </w:rPr>
              <w:t>Business decision-making authority; resolves escalations from the Client side.</w:t>
            </w:r>
          </w:p>
        </w:tc>
      </w:tr>
      <w:tr>
        <w:tc>
          <w:tcPr>
            <w:tcW w:type="dxa" w:w="2835"/>
            <w:vAlign w:val="center"/>
          </w:tcPr>
          <w:p>
            <w:pPr>
              <w:spacing w:after="60"/>
            </w:pPr>
            <w:r>
              <w:rPr>
                <w:sz w:val="19"/>
              </w:rPr>
              <w:t>Technical Point of Contact</w:t>
            </w:r>
          </w:p>
        </w:tc>
        <w:tc>
          <w:tcPr>
            <w:tcW w:type="dxa" w:w="6803"/>
            <w:vAlign w:val="center"/>
          </w:tcPr>
          <w:p>
            <w:pPr>
              <w:spacing w:after="60"/>
            </w:pPr>
            <w:r>
              <w:rPr>
                <w:sz w:val="19"/>
              </w:rPr>
              <w:t>Provides/coordinates AWS account access, source-control access, and technical decisions.</w:t>
            </w:r>
          </w:p>
        </w:tc>
      </w:tr>
      <w:tr>
        <w:tc>
          <w:tcPr>
            <w:tcW w:type="dxa" w:w="2835"/>
            <w:vAlign w:val="center"/>
          </w:tcPr>
          <w:p>
            <w:pPr>
              <w:spacing w:after="60"/>
            </w:pPr>
            <w:r>
              <w:rPr>
                <w:sz w:val="19"/>
              </w:rPr>
              <w:t>Compliance / Business SME</w:t>
            </w:r>
          </w:p>
        </w:tc>
        <w:tc>
          <w:tcPr>
            <w:tcW w:type="dxa" w:w="6803"/>
            <w:vAlign w:val="center"/>
          </w:tcPr>
          <w:p>
            <w:pPr>
              <w:spacing w:after="60"/>
            </w:pPr>
            <w:r>
              <w:rPr>
                <w:sz w:val="19"/>
              </w:rPr>
              <w:t>Reviews and approves compliance rubric changes and source content used for grounding.</w:t>
            </w:r>
          </w:p>
        </w:tc>
      </w:tr>
      <w:tr>
        <w:tc>
          <w:tcPr>
            <w:tcW w:type="dxa" w:w="2835"/>
            <w:vAlign w:val="center"/>
          </w:tcPr>
          <w:p>
            <w:pPr>
              <w:spacing w:after="60"/>
            </w:pPr>
            <w:r>
              <w:rPr>
                <w:sz w:val="19"/>
              </w:rPr>
              <w:t>Security &amp; IT Governance Contact</w:t>
            </w:r>
          </w:p>
        </w:tc>
        <w:tc>
          <w:tcPr>
            <w:tcW w:type="dxa" w:w="6803"/>
            <w:vAlign w:val="center"/>
          </w:tcPr>
          <w:p>
            <w:pPr>
              <w:spacing w:after="60"/>
            </w:pPr>
            <w:r>
              <w:rPr>
                <w:sz w:val="19"/>
              </w:rPr>
              <w:t>Reviews and approves IAM roles, data classification, and access requests.</w:t>
            </w:r>
          </w:p>
        </w:tc>
      </w:tr>
      <w:tr>
        <w:tc>
          <w:tcPr>
            <w:tcW w:type="dxa" w:w="2835"/>
            <w:vAlign w:val="center"/>
          </w:tcPr>
          <w:p>
            <w:pPr>
              <w:spacing w:after="60"/>
            </w:pPr>
            <w:r>
              <w:rPr>
                <w:sz w:val="19"/>
              </w:rPr>
              <w:t>User Acceptance Testers</w:t>
            </w:r>
          </w:p>
        </w:tc>
        <w:tc>
          <w:tcPr>
            <w:tcW w:type="dxa" w:w="6803"/>
            <w:vAlign w:val="center"/>
          </w:tcPr>
          <w:p>
            <w:pPr>
              <w:spacing w:after="60"/>
            </w:pPr>
            <w:r>
              <w:rPr>
                <w:sz w:val="19"/>
              </w:rPr>
              <w:t>Participate in acceptance testing at each Milestone per Section 10.</w:t>
            </w:r>
          </w:p>
        </w:tc>
      </w:tr>
    </w:tbl>
    <w:p/>
    <w:p>
      <w:pPr>
        <w:pStyle w:val="Heading2"/>
      </w:pPr>
      <w:r>
        <w:t>9.3  Governance Cadence</w:t>
      </w:r>
    </w:p>
    <w:p>
      <w:pPr>
        <w:pStyle w:val="ListBullet"/>
        <w:spacing w:after="60"/>
      </w:pPr>
      <w:r>
        <w:t>Weekly project status meeting (progress against Section 8 timeline, risks, issues, decisions required).</w:t>
      </w:r>
    </w:p>
    <w:p>
      <w:pPr>
        <w:pStyle w:val="ListBullet"/>
        <w:spacing w:after="60"/>
      </w:pPr>
      <w:r>
        <w:t>Milestone review meeting at the completion of each Milestone in Section 8, to walk through Deliverables and initiate formal acceptance per Section 10.</w:t>
      </w:r>
    </w:p>
    <w:p>
      <w:pPr>
        <w:pStyle w:val="ListBullet"/>
        <w:spacing w:after="60"/>
      </w:pPr>
      <w:r>
        <w:t>Steering Committee meeting (Engagement Sponsor + Project Sponsor level) at Phase boundaries (post-M1, post-M2, post-M5), or ad hoc if escalated.</w:t>
      </w:r>
    </w:p>
    <w:p>
      <w:pPr>
        <w:pStyle w:val="ListBullet"/>
        <w:spacing w:after="60"/>
      </w:pPr>
      <w:r>
        <w:t>A single shared RAID (Risks, Assumptions, Issues, Decisions) log maintained by ABC and reviewed jointly at each status meeting.</w:t>
      </w:r>
    </w:p>
    <w:p>
      <w:pPr>
        <w:pStyle w:val="Heading1"/>
      </w:pPr>
      <w:r>
        <w:t>10. Acceptance Criteria and Testing</w:t>
      </w:r>
    </w:p>
    <w:p>
      <w:pPr>
        <w:spacing w:after="120"/>
      </w:pPr>
      <w:r>
        <w:rPr>
          <w:b w:val="0"/>
          <w:i w:val="0"/>
        </w:rPr>
        <w:t>Each Deliverable will be evaluated against the following general acceptance criteria, in addition to any Deliverable-specific criteria agreed during detailed design:</w:t>
      </w:r>
    </w:p>
    <w:p>
      <w:pPr>
        <w:pStyle w:val="ListBullet"/>
        <w:spacing w:after="60"/>
      </w:pPr>
      <w:r>
        <w:t>The Deliverable functions as described in Section 5 / Section 7 when exercised against a live, non-mocked instance of the relevant Environment (unit-test or mocked verification alone is not sufficient for Environment-level Deliverables).</w:t>
      </w:r>
    </w:p>
    <w:p>
      <w:pPr>
        <w:pStyle w:val="ListBullet"/>
        <w:spacing w:after="60"/>
      </w:pPr>
      <w:r>
        <w:t>Applicable automated test suites (unit and, where feasible, integration) pass in ABC's CI pipeline at the time of submission.</w:t>
      </w:r>
    </w:p>
    <w:p>
      <w:pPr>
        <w:pStyle w:val="ListBullet"/>
        <w:spacing w:after="60"/>
      </w:pPr>
      <w:r>
        <w:t>Infrastructure changes show no material unintended configuration drift when independently re-verified (e.g., an infrastructure “plan” showing only the intended changes).</w:t>
      </w:r>
    </w:p>
    <w:p>
      <w:pPr>
        <w:pStyle w:val="ListBullet"/>
        <w:spacing w:after="60"/>
      </w:pPr>
      <w:r>
        <w:t>Associated documentation (as applicable) is updated and delivered together with the Deliverable.</w:t>
      </w:r>
    </w:p>
    <w:p>
      <w:pPr>
        <w:pStyle w:val="ListBullet"/>
        <w:spacing w:after="60"/>
      </w:pPr>
      <w:r>
        <w:t>No open defect classified as “Critical” or “High” severity (per the jointly agreed defect severity matrix) remains unresolved.</w:t>
      </w:r>
    </w:p>
    <w:p>
      <w:pPr>
        <w:pStyle w:val="Heading2"/>
      </w:pPr>
      <w:r>
        <w:t>10.1  Acceptance Procedure</w:t>
      </w:r>
    </w:p>
    <w:p>
      <w:pPr>
        <w:pStyle w:val="ListNumber"/>
        <w:spacing w:after="60"/>
      </w:pPr>
      <w:r>
        <w:t>ABC submits a Deliverable for review, together with supporting evidence (test results, demonstration, documentation) via the Deliverable Acceptance Certificate template (Appendix A).</w:t>
      </w:r>
    </w:p>
    <w:p>
      <w:pPr>
        <w:pStyle w:val="ListNumber"/>
        <w:spacing w:after="60"/>
      </w:pPr>
      <w:r>
        <w:t>Client reviews the Deliverable and provides written acceptance, rejection with documented reasons, or a request for minor revision, within five (5) Business Days of submission (“Review Period”).</w:t>
      </w:r>
    </w:p>
    <w:p>
      <w:pPr>
        <w:pStyle w:val="ListNumber"/>
        <w:spacing w:after="60"/>
      </w:pPr>
      <w:r>
        <w:t>If Client does not respond within the Review Period, and ABC has provided written notice of the impending deadline at least one (1) Business Day in advance, the Deliverable shall be deemed accepted, without prejudice to Client's right to report material defects discovered thereafter through standard defect-management channels.</w:t>
      </w:r>
    </w:p>
    <w:p>
      <w:pPr>
        <w:pStyle w:val="ListNumber"/>
        <w:spacing w:after="60"/>
      </w:pPr>
      <w:r>
        <w:t>If rejected, Client will provide specific, written, objectively verifiable reasons referencing the applicable acceptance criteria. ABC will remediate and resubmit within a mutually agreed timeframe.</w:t>
      </w:r>
    </w:p>
    <w:p>
      <w:pPr>
        <w:pStyle w:val="ListNumber"/>
        <w:spacing w:after="60"/>
      </w:pPr>
      <w:r>
        <w:t>Repeated rejection of the same Deliverable for reasons outside the agreed Acceptance Criteria, or introduction of new requirements during review, shall be treated as a scope change subject to Section 12.</w:t>
      </w:r>
    </w:p>
    <w:p>
      <w:r>
        <w:br w:type="page"/>
      </w:r>
    </w:p>
    <w:p>
      <w:pPr>
        <w:pStyle w:val="Heading1"/>
      </w:pPr>
      <w:r>
        <w:t>11. Assumptions and Dependencies</w:t>
      </w:r>
    </w:p>
    <w:p>
      <w:pPr>
        <w:pStyle w:val="Heading2"/>
      </w:pPr>
      <w:r>
        <w:t>11.1  Assumptions</w:t>
      </w:r>
    </w:p>
    <w:p>
      <w:pPr>
        <w:pStyle w:val="ListBullet"/>
        <w:spacing w:after="60"/>
      </w:pPr>
      <w:r>
        <w:t>The Phase 1 Solution (multi-agent orchestration logic, compliance rubric baseline, and reference/mock data set) is complete, stable, and provided to ABC as a working starting point; this SOW does not re-warrant Phase 1 functionality except where Phase 2-4 work directly modifies it (e.g., Section 5.3.1).</w:t>
      </w:r>
    </w:p>
    <w:p>
      <w:pPr>
        <w:pStyle w:val="ListBullet"/>
        <w:spacing w:after="60"/>
      </w:pPr>
      <w:r>
        <w:t>Client maintains an active AWS account, in a commercial region supporting all required AWS services (including Amazon Bedrock model access), with billing in good standing for the duration of the engagement.</w:t>
      </w:r>
    </w:p>
    <w:p>
      <w:pPr>
        <w:pStyle w:val="ListBullet"/>
        <w:spacing w:after="60"/>
      </w:pPr>
      <w:r>
        <w:t>Client owns or has secured all necessary rights to any source content (fund/portfolio commentary, disclosures, or other material) ingested into the Knowledge Base, and such content does not contain personal data or other regulated data unless separately agreed and appropriately safeguarded.</w:t>
      </w:r>
    </w:p>
    <w:p>
      <w:pPr>
        <w:pStyle w:val="ListBullet"/>
        <w:spacing w:after="60"/>
      </w:pPr>
      <w:r>
        <w:t>Client will designate empowered decision-makers per Section 9 who are available for scheduled governance meetings and can turn around review/acceptance requests within the timeframes in Section 10.</w:t>
      </w:r>
    </w:p>
    <w:p>
      <w:pPr>
        <w:pStyle w:val="ListBullet"/>
        <w:spacing w:after="60"/>
      </w:pPr>
      <w:r>
        <w:t>Client-side infrastructure (source control platform, CI/CD runner availability, network connectivity) required for Phase 3 is available and supports OIDC federation with AWS.</w:t>
      </w:r>
    </w:p>
    <w:p>
      <w:pPr>
        <w:pStyle w:val="ListBullet"/>
        <w:spacing w:after="60"/>
      </w:pPr>
      <w:r>
        <w:t>Underlying third-party services consumed by the Solution (including Amazon Bedrock foundation models) remain generally available, priced, and licensed on commercially reasonable terms materially consistent with those available as of the Effective Date.</w:t>
      </w:r>
    </w:p>
    <w:p>
      <w:pPr>
        <w:pStyle w:val="ListBullet"/>
        <w:spacing w:after="60"/>
      </w:pPr>
      <w:r>
        <w:t>Non-production Environments (Dev, Staging) may be provisioned and de-provisioned iteratively during the engagement for cost-management purposes; this is standard practice and does not, by itself, constitute a defect or delay attributable to ABC.</w:t>
      </w:r>
    </w:p>
    <w:p>
      <w:pPr>
        <w:pStyle w:val="Heading2"/>
      </w:pPr>
      <w:r>
        <w:t>11.2  Client Dependencies</w:t>
      </w:r>
    </w:p>
    <w:tbl>
      <w:tblPr>
        <w:tblStyle w:val="TableGrid"/>
        <w:tblW w:type="auto" w:w="0"/>
        <w:jc w:val="center"/>
        <w:tblLook w:firstColumn="1" w:firstRow="1" w:lastColumn="0" w:lastRow="0" w:noHBand="0" w:noVBand="1" w:val="04A0"/>
      </w:tblPr>
      <w:tblGrid>
        <w:gridCol w:w="3249"/>
        <w:gridCol w:w="3249"/>
        <w:gridCol w:w="3249"/>
      </w:tblGrid>
      <w:tr>
        <w:tc>
          <w:tcPr>
            <w:tcW w:type="dxa" w:w="1134"/>
            <w:shd w:val="clear" w:color="auto" w:fill="1F2E4A"/>
            <w:vAlign w:val="center"/>
          </w:tcPr>
          <w:p>
            <w:pPr>
              <w:spacing w:after="60"/>
              <w:jc w:val="left"/>
            </w:pPr>
            <w:r>
              <w:rPr>
                <w:b/>
                <w:color w:val="FFFFFF"/>
                <w:sz w:val="19"/>
              </w:rPr>
              <w:t>#</w:t>
            </w:r>
          </w:p>
        </w:tc>
        <w:tc>
          <w:tcPr>
            <w:tcW w:type="dxa" w:w="5953"/>
            <w:shd w:val="clear" w:color="auto" w:fill="1F2E4A"/>
            <w:vAlign w:val="center"/>
          </w:tcPr>
          <w:p>
            <w:pPr>
              <w:spacing w:after="60"/>
              <w:jc w:val="left"/>
            </w:pPr>
            <w:r>
              <w:rPr>
                <w:b/>
                <w:color w:val="FFFFFF"/>
                <w:sz w:val="19"/>
              </w:rPr>
              <w:t>Dependency</w:t>
            </w:r>
          </w:p>
        </w:tc>
        <w:tc>
          <w:tcPr>
            <w:tcW w:type="dxa" w:w="2551"/>
            <w:shd w:val="clear" w:color="auto" w:fill="1F2E4A"/>
            <w:vAlign w:val="center"/>
          </w:tcPr>
          <w:p>
            <w:pPr>
              <w:spacing w:after="60"/>
              <w:jc w:val="left"/>
            </w:pPr>
            <w:r>
              <w:rPr>
                <w:b/>
                <w:color w:val="FFFFFF"/>
                <w:sz w:val="19"/>
              </w:rPr>
              <w:t>Required By</w:t>
            </w:r>
          </w:p>
        </w:tc>
      </w:tr>
      <w:tr>
        <w:tc>
          <w:tcPr>
            <w:tcW w:type="dxa" w:w="1134"/>
            <w:vAlign w:val="center"/>
          </w:tcPr>
          <w:p>
            <w:pPr>
              <w:spacing w:after="60"/>
            </w:pPr>
            <w:r>
              <w:rPr>
                <w:sz w:val="19"/>
              </w:rPr>
              <w:t>DEP-1</w:t>
            </w:r>
          </w:p>
        </w:tc>
        <w:tc>
          <w:tcPr>
            <w:tcW w:type="dxa" w:w="5953"/>
            <w:vAlign w:val="center"/>
          </w:tcPr>
          <w:p>
            <w:pPr>
              <w:spacing w:after="60"/>
            </w:pPr>
            <w:r>
              <w:rPr>
                <w:sz w:val="19"/>
              </w:rPr>
              <w:t>AWS account access (appropriately scoped) provisioned for the ABC delivery team</w:t>
            </w:r>
          </w:p>
        </w:tc>
        <w:tc>
          <w:tcPr>
            <w:tcW w:type="dxa" w:w="2551"/>
            <w:vAlign w:val="center"/>
          </w:tcPr>
          <w:p>
            <w:pPr>
              <w:spacing w:after="60"/>
            </w:pPr>
            <w:r>
              <w:rPr>
                <w:sz w:val="19"/>
              </w:rPr>
              <w:t>Prior to Week 1</w:t>
            </w:r>
          </w:p>
        </w:tc>
      </w:tr>
      <w:tr>
        <w:tc>
          <w:tcPr>
            <w:tcW w:type="dxa" w:w="1134"/>
            <w:vAlign w:val="center"/>
          </w:tcPr>
          <w:p>
            <w:pPr>
              <w:spacing w:after="60"/>
            </w:pPr>
            <w:r>
              <w:rPr>
                <w:sz w:val="19"/>
              </w:rPr>
              <w:t>DEP-2</w:t>
            </w:r>
          </w:p>
        </w:tc>
        <w:tc>
          <w:tcPr>
            <w:tcW w:type="dxa" w:w="5953"/>
            <w:vAlign w:val="center"/>
          </w:tcPr>
          <w:p>
            <w:pPr>
              <w:spacing w:after="60"/>
            </w:pPr>
            <w:r>
              <w:rPr>
                <w:sz w:val="19"/>
              </w:rPr>
              <w:t>Source control repository and CI platform access provisioned for the ABC delivery team</w:t>
            </w:r>
          </w:p>
        </w:tc>
        <w:tc>
          <w:tcPr>
            <w:tcW w:type="dxa" w:w="2551"/>
            <w:vAlign w:val="center"/>
          </w:tcPr>
          <w:p>
            <w:pPr>
              <w:spacing w:after="60"/>
            </w:pPr>
            <w:r>
              <w:rPr>
                <w:sz w:val="19"/>
              </w:rPr>
              <w:t>Prior to Week 1</w:t>
            </w:r>
          </w:p>
        </w:tc>
      </w:tr>
      <w:tr>
        <w:tc>
          <w:tcPr>
            <w:tcW w:type="dxa" w:w="1134"/>
            <w:vAlign w:val="center"/>
          </w:tcPr>
          <w:p>
            <w:pPr>
              <w:spacing w:after="60"/>
            </w:pPr>
            <w:r>
              <w:rPr>
                <w:sz w:val="19"/>
              </w:rPr>
              <w:t>DEP-3</w:t>
            </w:r>
          </w:p>
        </w:tc>
        <w:tc>
          <w:tcPr>
            <w:tcW w:type="dxa" w:w="5953"/>
            <w:vAlign w:val="center"/>
          </w:tcPr>
          <w:p>
            <w:pPr>
              <w:spacing w:after="60"/>
            </w:pPr>
            <w:r>
              <w:rPr>
                <w:sz w:val="19"/>
              </w:rPr>
              <w:t>Nomination of Technical Point of Contact, Compliance/Business SME, and Security &amp; IT Governance Contact</w:t>
            </w:r>
          </w:p>
        </w:tc>
        <w:tc>
          <w:tcPr>
            <w:tcW w:type="dxa" w:w="2551"/>
            <w:vAlign w:val="center"/>
          </w:tcPr>
          <w:p>
            <w:pPr>
              <w:spacing w:after="60"/>
            </w:pPr>
            <w:r>
              <w:rPr>
                <w:sz w:val="19"/>
              </w:rPr>
              <w:t>Prior to Kick-off</w:t>
            </w:r>
          </w:p>
        </w:tc>
      </w:tr>
      <w:tr>
        <w:tc>
          <w:tcPr>
            <w:tcW w:type="dxa" w:w="1134"/>
            <w:vAlign w:val="center"/>
          </w:tcPr>
          <w:p>
            <w:pPr>
              <w:spacing w:after="60"/>
            </w:pPr>
            <w:r>
              <w:rPr>
                <w:sz w:val="19"/>
              </w:rPr>
              <w:t>DEP-4</w:t>
            </w:r>
          </w:p>
        </w:tc>
        <w:tc>
          <w:tcPr>
            <w:tcW w:type="dxa" w:w="5953"/>
            <w:vAlign w:val="center"/>
          </w:tcPr>
          <w:p>
            <w:pPr>
              <w:spacing w:after="60"/>
            </w:pPr>
            <w:r>
              <w:rPr>
                <w:sz w:val="19"/>
              </w:rPr>
              <w:t>Initial set of Client-approved source content for Knowledge Base ingestion</w:t>
            </w:r>
          </w:p>
        </w:tc>
        <w:tc>
          <w:tcPr>
            <w:tcW w:type="dxa" w:w="2551"/>
            <w:vAlign w:val="center"/>
          </w:tcPr>
          <w:p>
            <w:pPr>
              <w:spacing w:after="60"/>
            </w:pPr>
            <w:r>
              <w:rPr>
                <w:sz w:val="19"/>
              </w:rPr>
              <w:t>Prior to Week 3</w:t>
            </w:r>
          </w:p>
        </w:tc>
      </w:tr>
      <w:tr>
        <w:tc>
          <w:tcPr>
            <w:tcW w:type="dxa" w:w="1134"/>
            <w:vAlign w:val="center"/>
          </w:tcPr>
          <w:p>
            <w:pPr>
              <w:spacing w:after="60"/>
            </w:pPr>
            <w:r>
              <w:rPr>
                <w:sz w:val="19"/>
              </w:rPr>
              <w:t>DEP-5</w:t>
            </w:r>
          </w:p>
        </w:tc>
        <w:tc>
          <w:tcPr>
            <w:tcW w:type="dxa" w:w="5953"/>
            <w:vAlign w:val="center"/>
          </w:tcPr>
          <w:p>
            <w:pPr>
              <w:spacing w:after="60"/>
            </w:pPr>
            <w:r>
              <w:rPr>
                <w:sz w:val="19"/>
              </w:rPr>
              <w:t>Confirmation of target foundation model(s) and any related licensing/commercial approvals</w:t>
            </w:r>
          </w:p>
        </w:tc>
        <w:tc>
          <w:tcPr>
            <w:tcW w:type="dxa" w:w="2551"/>
            <w:vAlign w:val="center"/>
          </w:tcPr>
          <w:p>
            <w:pPr>
              <w:spacing w:after="60"/>
            </w:pPr>
            <w:r>
              <w:rPr>
                <w:sz w:val="19"/>
              </w:rPr>
              <w:t>Prior to Week 1</w:t>
            </w:r>
          </w:p>
        </w:tc>
      </w:tr>
      <w:tr>
        <w:tc>
          <w:tcPr>
            <w:tcW w:type="dxa" w:w="1134"/>
            <w:vAlign w:val="center"/>
          </w:tcPr>
          <w:p>
            <w:pPr>
              <w:spacing w:after="60"/>
            </w:pPr>
            <w:r>
              <w:rPr>
                <w:sz w:val="19"/>
              </w:rPr>
              <w:t>DEP-6</w:t>
            </w:r>
          </w:p>
        </w:tc>
        <w:tc>
          <w:tcPr>
            <w:tcW w:type="dxa" w:w="5953"/>
            <w:vAlign w:val="center"/>
          </w:tcPr>
          <w:p>
            <w:pPr>
              <w:spacing w:after="60"/>
            </w:pPr>
            <w:r>
              <w:rPr>
                <w:sz w:val="19"/>
              </w:rPr>
              <w:t>Timely review and acceptance decisions per Section 10</w:t>
            </w:r>
          </w:p>
        </w:tc>
        <w:tc>
          <w:tcPr>
            <w:tcW w:type="dxa" w:w="2551"/>
            <w:vAlign w:val="center"/>
          </w:tcPr>
          <w:p>
            <w:pPr>
              <w:spacing w:after="60"/>
            </w:pPr>
            <w:r>
              <w:rPr>
                <w:sz w:val="19"/>
              </w:rPr>
              <w:t>Ongoing, per Milestone</w:t>
            </w:r>
          </w:p>
        </w:tc>
      </w:tr>
      <w:tr>
        <w:tc>
          <w:tcPr>
            <w:tcW w:type="dxa" w:w="1134"/>
            <w:vAlign w:val="center"/>
          </w:tcPr>
          <w:p>
            <w:pPr>
              <w:spacing w:after="60"/>
            </w:pPr>
            <w:r>
              <w:rPr>
                <w:sz w:val="19"/>
              </w:rPr>
              <w:t>DEP-7</w:t>
            </w:r>
          </w:p>
        </w:tc>
        <w:tc>
          <w:tcPr>
            <w:tcW w:type="dxa" w:w="5953"/>
            <w:vAlign w:val="center"/>
          </w:tcPr>
          <w:p>
            <w:pPr>
              <w:spacing w:after="60"/>
            </w:pPr>
            <w:r>
              <w:rPr>
                <w:sz w:val="19"/>
              </w:rPr>
              <w:t>GitHub (or equivalent) Environment / branch-protection configuration approvals for Staging and Production</w:t>
            </w:r>
          </w:p>
        </w:tc>
        <w:tc>
          <w:tcPr>
            <w:tcW w:type="dxa" w:w="2551"/>
            <w:vAlign w:val="center"/>
          </w:tcPr>
          <w:p>
            <w:pPr>
              <w:spacing w:after="60"/>
            </w:pPr>
            <w:r>
              <w:rPr>
                <w:sz w:val="19"/>
              </w:rPr>
              <w:t>Prior to Week 8</w:t>
            </w:r>
          </w:p>
        </w:tc>
      </w:tr>
    </w:tbl>
    <w:p/>
    <w:p>
      <w:pPr>
        <w:spacing w:after="120"/>
      </w:pPr>
      <w:r>
        <w:rPr>
          <w:b w:val="0"/>
          <w:i/>
          <w:color w:val="595959"/>
          <w:sz w:val="19"/>
        </w:rPr>
        <w:t>Delay in satisfying a Client Dependency will extend the timeline in Section 8 on a day-for-day (or greater, if on a critical path) basis and may result in additional fees if it causes ABC resources to be idled or re-mobilized, subject to prior written notice to Client.</w:t>
      </w:r>
    </w:p>
    <w:p>
      <w:r>
        <w:br w:type="page"/>
      </w:r>
    </w:p>
    <w:p>
      <w:pPr>
        <w:pStyle w:val="Heading1"/>
      </w:pPr>
      <w:r>
        <w:t>12. Change Control Process</w:t>
      </w:r>
    </w:p>
    <w:p>
      <w:pPr>
        <w:spacing w:after="120"/>
      </w:pPr>
      <w:r>
        <w:rPr>
          <w:b w:val="0"/>
          <w:i w:val="0"/>
        </w:rPr>
        <w:t>Any request to add, remove, or materially modify scope, Deliverables, timeline, or fees described in this SOW shall be handled through the following Change Control process:</w:t>
      </w:r>
    </w:p>
    <w:p>
      <w:pPr>
        <w:pStyle w:val="ListNumber"/>
        <w:spacing w:after="60"/>
      </w:pPr>
      <w:r>
        <w:t>Either Party may submit a Change Request using the template in Appendix B, describing the requested change and its rationale.</w:t>
      </w:r>
    </w:p>
    <w:p>
      <w:pPr>
        <w:pStyle w:val="ListNumber"/>
        <w:spacing w:after="60"/>
      </w:pPr>
      <w:r>
        <w:t>ABC will assess the Change Request within five (5) Business Days and provide a written impact analysis covering scope, timeline, fees, staffing, and risk.</w:t>
      </w:r>
    </w:p>
    <w:p>
      <w:pPr>
        <w:pStyle w:val="ListNumber"/>
        <w:spacing w:after="60"/>
      </w:pPr>
      <w:r>
        <w:t>The Change Request becomes effective only upon written approval by authorized representatives of both Parties, at which point it is incorporated into, and forms part of, this SOW.</w:t>
      </w:r>
    </w:p>
    <w:p>
      <w:pPr>
        <w:pStyle w:val="ListNumber"/>
        <w:spacing w:after="60"/>
      </w:pPr>
      <w:r>
        <w:t>Until a Change Request is approved, ABC will continue to perform the work described in the then-current version of this SOW; ABC is not obligated to commence out-of-scope work absent an approved Change Request.</w:t>
      </w:r>
    </w:p>
    <w:p>
      <w:pPr>
        <w:pStyle w:val="ListNumber"/>
        <w:spacing w:after="60"/>
      </w:pPr>
      <w:r>
        <w:t>Minor clarifications that do not affect scope, timeline, or fees (e.g., confirming a specific calendar date within an already-agreed week) may be agreed in writing (including email) between the Delivery/Program Director and the Technical Point of Contact without a formal Change Request.</w:t>
      </w:r>
    </w:p>
    <w:p>
      <w:pPr>
        <w:pStyle w:val="Heading1"/>
      </w:pPr>
      <w:r>
        <w:t>13. Fees, Invoicing and Payment Terms</w:t>
      </w:r>
    </w:p>
    <w:p>
      <w:pPr>
        <w:spacing w:after="120"/>
      </w:pPr>
      <w:r>
        <w:rPr>
          <w:b w:val="0"/>
          <w:i w:val="0"/>
        </w:rPr>
        <w:t>The commercial terms below are structured on a fixed-fee, milestone-billed basis. All fees are exclusive of applicable taxes, duties, and government levies, which shall be added to invoices as required by applicable law. Amounts shown in brackets are to be confirmed and inserted prior to execution.</w:t>
      </w:r>
    </w:p>
    <w:p>
      <w:pPr>
        <w:pStyle w:val="Heading2"/>
      </w:pPr>
      <w:r>
        <w:t>13.1  Fee Summary</w:t>
      </w:r>
    </w:p>
    <w:tbl>
      <w:tblPr>
        <w:tblStyle w:val="TableGrid"/>
        <w:tblW w:type="auto" w:w="0"/>
        <w:jc w:val="center"/>
        <w:tblLook w:firstColumn="1" w:firstRow="1" w:lastColumn="0" w:lastRow="0" w:noHBand="0" w:noVBand="1" w:val="04A0"/>
      </w:tblPr>
      <w:tblGrid>
        <w:gridCol w:w="3249"/>
        <w:gridCol w:w="3249"/>
        <w:gridCol w:w="3249"/>
      </w:tblGrid>
      <w:tr>
        <w:tc>
          <w:tcPr>
            <w:tcW w:type="dxa" w:w="3969"/>
            <w:shd w:val="clear" w:color="auto" w:fill="1F2E4A"/>
            <w:vAlign w:val="center"/>
          </w:tcPr>
          <w:p>
            <w:pPr>
              <w:spacing w:after="60"/>
              <w:jc w:val="left"/>
            </w:pPr>
            <w:r>
              <w:rPr>
                <w:b/>
                <w:color w:val="FFFFFF"/>
                <w:sz w:val="19"/>
              </w:rPr>
              <w:t>Phase</w:t>
            </w:r>
          </w:p>
        </w:tc>
        <w:tc>
          <w:tcPr>
            <w:tcW w:type="dxa" w:w="2268"/>
            <w:shd w:val="clear" w:color="auto" w:fill="1F2E4A"/>
            <w:vAlign w:val="center"/>
          </w:tcPr>
          <w:p>
            <w:pPr>
              <w:spacing w:after="60"/>
              <w:jc w:val="left"/>
            </w:pPr>
            <w:r>
              <w:rPr>
                <w:b/>
                <w:color w:val="FFFFFF"/>
                <w:sz w:val="19"/>
              </w:rPr>
              <w:t>Fee Basis</w:t>
            </w:r>
          </w:p>
        </w:tc>
        <w:tc>
          <w:tcPr>
            <w:tcW w:type="dxa" w:w="3402"/>
            <w:shd w:val="clear" w:color="auto" w:fill="1F2E4A"/>
            <w:vAlign w:val="center"/>
          </w:tcPr>
          <w:p>
            <w:pPr>
              <w:spacing w:after="60"/>
              <w:jc w:val="left"/>
            </w:pPr>
            <w:r>
              <w:rPr>
                <w:b/>
                <w:color w:val="FFFFFF"/>
                <w:sz w:val="19"/>
              </w:rPr>
              <w:t>Amount</w:t>
            </w:r>
          </w:p>
        </w:tc>
      </w:tr>
      <w:tr>
        <w:tc>
          <w:tcPr>
            <w:tcW w:type="dxa" w:w="3969"/>
            <w:vAlign w:val="center"/>
          </w:tcPr>
          <w:p>
            <w:pPr>
              <w:spacing w:after="60"/>
            </w:pPr>
            <w:r>
              <w:rPr>
                <w:sz w:val="19"/>
              </w:rPr>
              <w:t>Phase 2 — Cloud Deployment</w:t>
            </w:r>
          </w:p>
        </w:tc>
        <w:tc>
          <w:tcPr>
            <w:tcW w:type="dxa" w:w="2268"/>
            <w:vAlign w:val="center"/>
          </w:tcPr>
          <w:p>
            <w:pPr>
              <w:spacing w:after="60"/>
            </w:pPr>
            <w:r>
              <w:rPr>
                <w:sz w:val="19"/>
              </w:rPr>
              <w:t>Fixed Fee</w:t>
            </w:r>
          </w:p>
        </w:tc>
        <w:tc>
          <w:tcPr>
            <w:tcW w:type="dxa" w:w="3402"/>
            <w:vAlign w:val="center"/>
          </w:tcPr>
          <w:p>
            <w:pPr>
              <w:spacing w:after="60"/>
            </w:pPr>
            <w:r>
              <w:rPr>
                <w:sz w:val="19"/>
              </w:rPr>
              <w:t>[Amount] [Currency]</w:t>
            </w:r>
          </w:p>
        </w:tc>
      </w:tr>
      <w:tr>
        <w:tc>
          <w:tcPr>
            <w:tcW w:type="dxa" w:w="3969"/>
            <w:vAlign w:val="center"/>
          </w:tcPr>
          <w:p>
            <w:pPr>
              <w:spacing w:after="60"/>
            </w:pPr>
            <w:r>
              <w:rPr>
                <w:sz w:val="19"/>
              </w:rPr>
              <w:t>Phase 3 — CI/CD Implementation</w:t>
            </w:r>
          </w:p>
        </w:tc>
        <w:tc>
          <w:tcPr>
            <w:tcW w:type="dxa" w:w="2268"/>
            <w:vAlign w:val="center"/>
          </w:tcPr>
          <w:p>
            <w:pPr>
              <w:spacing w:after="60"/>
            </w:pPr>
            <w:r>
              <w:rPr>
                <w:sz w:val="19"/>
              </w:rPr>
              <w:t>Fixed Fee</w:t>
            </w:r>
          </w:p>
        </w:tc>
        <w:tc>
          <w:tcPr>
            <w:tcW w:type="dxa" w:w="3402"/>
            <w:vAlign w:val="center"/>
          </w:tcPr>
          <w:p>
            <w:pPr>
              <w:spacing w:after="60"/>
            </w:pPr>
            <w:r>
              <w:rPr>
                <w:sz w:val="19"/>
              </w:rPr>
              <w:t>[Amount] [Currency]</w:t>
            </w:r>
          </w:p>
        </w:tc>
      </w:tr>
      <w:tr>
        <w:tc>
          <w:tcPr>
            <w:tcW w:type="dxa" w:w="3969"/>
            <w:vAlign w:val="center"/>
          </w:tcPr>
          <w:p>
            <w:pPr>
              <w:spacing w:after="60"/>
            </w:pPr>
            <w:r>
              <w:rPr>
                <w:sz w:val="19"/>
              </w:rPr>
              <w:t>Phase 4 — Compliance Hardening, Integrations &amp; Rollout</w:t>
            </w:r>
          </w:p>
        </w:tc>
        <w:tc>
          <w:tcPr>
            <w:tcW w:type="dxa" w:w="2268"/>
            <w:vAlign w:val="center"/>
          </w:tcPr>
          <w:p>
            <w:pPr>
              <w:spacing w:after="60"/>
            </w:pPr>
            <w:r>
              <w:rPr>
                <w:sz w:val="19"/>
              </w:rPr>
              <w:t>Fixed Fee</w:t>
            </w:r>
          </w:p>
        </w:tc>
        <w:tc>
          <w:tcPr>
            <w:tcW w:type="dxa" w:w="3402"/>
            <w:vAlign w:val="center"/>
          </w:tcPr>
          <w:p>
            <w:pPr>
              <w:spacing w:after="60"/>
            </w:pPr>
            <w:r>
              <w:rPr>
                <w:sz w:val="19"/>
              </w:rPr>
              <w:t>[Amount] [Currency]</w:t>
            </w:r>
          </w:p>
        </w:tc>
      </w:tr>
      <w:tr>
        <w:tc>
          <w:tcPr>
            <w:tcW w:type="dxa" w:w="3969"/>
            <w:vAlign w:val="center"/>
          </w:tcPr>
          <w:p>
            <w:pPr>
              <w:spacing w:after="60"/>
            </w:pPr>
            <w:r>
              <w:rPr>
                <w:sz w:val="19"/>
              </w:rPr>
              <w:t>Total SOW Fees</w:t>
            </w:r>
          </w:p>
        </w:tc>
        <w:tc>
          <w:tcPr>
            <w:tcW w:type="dxa" w:w="2268"/>
            <w:vAlign w:val="center"/>
          </w:tcPr>
          <w:p>
            <w:pPr>
              <w:spacing w:after="60"/>
            </w:pPr>
            <w:r>
              <w:rPr>
                <w:sz w:val="19"/>
              </w:rPr>
            </w:r>
          </w:p>
        </w:tc>
        <w:tc>
          <w:tcPr>
            <w:tcW w:type="dxa" w:w="3402"/>
            <w:vAlign w:val="center"/>
          </w:tcPr>
          <w:p>
            <w:pPr>
              <w:spacing w:after="60"/>
            </w:pPr>
            <w:r>
              <w:rPr>
                <w:sz w:val="19"/>
              </w:rPr>
              <w:t>[Total Amount] [Currency]</w:t>
            </w:r>
          </w:p>
        </w:tc>
      </w:tr>
    </w:tbl>
    <w:p/>
    <w:p>
      <w:pPr>
        <w:pStyle w:val="Heading2"/>
      </w:pPr>
      <w:r>
        <w:t>13.2  Milestone Payment Schedule</w:t>
      </w:r>
    </w:p>
    <w:tbl>
      <w:tblPr>
        <w:tblStyle w:val="TableGrid"/>
        <w:tblW w:type="auto" w:w="0"/>
        <w:jc w:val="center"/>
        <w:tblLook w:firstColumn="1" w:firstRow="1" w:lastColumn="0" w:lastRow="0" w:noHBand="0" w:noVBand="1" w:val="04A0"/>
      </w:tblPr>
      <w:tblGrid>
        <w:gridCol w:w="3249"/>
        <w:gridCol w:w="3249"/>
        <w:gridCol w:w="3249"/>
      </w:tblGrid>
      <w:tr>
        <w:tc>
          <w:tcPr>
            <w:tcW w:type="dxa" w:w="5669"/>
            <w:shd w:val="clear" w:color="auto" w:fill="1F2E4A"/>
            <w:vAlign w:val="center"/>
          </w:tcPr>
          <w:p>
            <w:pPr>
              <w:spacing w:after="60"/>
              <w:jc w:val="left"/>
            </w:pPr>
            <w:r>
              <w:rPr>
                <w:b/>
                <w:color w:val="FFFFFF"/>
                <w:sz w:val="19"/>
              </w:rPr>
              <w:t>Payment Trigger</w:t>
            </w:r>
          </w:p>
        </w:tc>
        <w:tc>
          <w:tcPr>
            <w:tcW w:type="dxa" w:w="1984"/>
            <w:shd w:val="clear" w:color="auto" w:fill="1F2E4A"/>
            <w:vAlign w:val="center"/>
          </w:tcPr>
          <w:p>
            <w:pPr>
              <w:spacing w:after="60"/>
              <w:jc w:val="left"/>
            </w:pPr>
            <w:r>
              <w:rPr>
                <w:b/>
                <w:color w:val="FFFFFF"/>
                <w:sz w:val="19"/>
              </w:rPr>
              <w:t>% of Total Fees</w:t>
            </w:r>
          </w:p>
        </w:tc>
        <w:tc>
          <w:tcPr>
            <w:tcW w:type="dxa" w:w="1984"/>
            <w:shd w:val="clear" w:color="auto" w:fill="1F2E4A"/>
            <w:vAlign w:val="center"/>
          </w:tcPr>
          <w:p>
            <w:pPr>
              <w:spacing w:after="60"/>
              <w:jc w:val="left"/>
            </w:pPr>
            <w:r>
              <w:rPr>
                <w:b/>
                <w:color w:val="FFFFFF"/>
                <w:sz w:val="19"/>
              </w:rPr>
              <w:t>Amount</w:t>
            </w:r>
          </w:p>
        </w:tc>
      </w:tr>
      <w:tr>
        <w:tc>
          <w:tcPr>
            <w:tcW w:type="dxa" w:w="5669"/>
            <w:vAlign w:val="center"/>
          </w:tcPr>
          <w:p>
            <w:pPr>
              <w:spacing w:after="60"/>
            </w:pPr>
            <w:r>
              <w:rPr>
                <w:sz w:val="19"/>
              </w:rPr>
              <w:t>Upon execution of this SOW (mobilization)</w:t>
            </w:r>
          </w:p>
        </w:tc>
        <w:tc>
          <w:tcPr>
            <w:tcW w:type="dxa" w:w="1984"/>
            <w:vAlign w:val="center"/>
          </w:tcPr>
          <w:p>
            <w:pPr>
              <w:spacing w:after="60"/>
            </w:pPr>
            <w:r>
              <w:rPr>
                <w:sz w:val="19"/>
              </w:rPr>
              <w:t>15%</w:t>
            </w:r>
          </w:p>
        </w:tc>
        <w:tc>
          <w:tcPr>
            <w:tcW w:type="dxa" w:w="1984"/>
            <w:vAlign w:val="center"/>
          </w:tcPr>
          <w:p>
            <w:pPr>
              <w:spacing w:after="60"/>
            </w:pPr>
            <w:r>
              <w:rPr>
                <w:sz w:val="19"/>
              </w:rPr>
              <w:t>[Amount]</w:t>
            </w:r>
          </w:p>
        </w:tc>
      </w:tr>
      <w:tr>
        <w:tc>
          <w:tcPr>
            <w:tcW w:type="dxa" w:w="5669"/>
            <w:vAlign w:val="center"/>
          </w:tcPr>
          <w:p>
            <w:pPr>
              <w:spacing w:after="60"/>
            </w:pPr>
            <w:r>
              <w:rPr>
                <w:sz w:val="19"/>
              </w:rPr>
              <w:t>Milestone M1 — Phase 2 Complete (Dev Live)</w:t>
            </w:r>
          </w:p>
        </w:tc>
        <w:tc>
          <w:tcPr>
            <w:tcW w:type="dxa" w:w="1984"/>
            <w:vAlign w:val="center"/>
          </w:tcPr>
          <w:p>
            <w:pPr>
              <w:spacing w:after="60"/>
            </w:pPr>
            <w:r>
              <w:rPr>
                <w:sz w:val="19"/>
              </w:rPr>
              <w:t>20%</w:t>
            </w:r>
          </w:p>
        </w:tc>
        <w:tc>
          <w:tcPr>
            <w:tcW w:type="dxa" w:w="1984"/>
            <w:vAlign w:val="center"/>
          </w:tcPr>
          <w:p>
            <w:pPr>
              <w:spacing w:after="60"/>
            </w:pPr>
            <w:r>
              <w:rPr>
                <w:sz w:val="19"/>
              </w:rPr>
              <w:t>[Amount]</w:t>
            </w:r>
          </w:p>
        </w:tc>
      </w:tr>
      <w:tr>
        <w:tc>
          <w:tcPr>
            <w:tcW w:type="dxa" w:w="5669"/>
            <w:vAlign w:val="center"/>
          </w:tcPr>
          <w:p>
            <w:pPr>
              <w:spacing w:after="60"/>
            </w:pPr>
            <w:r>
              <w:rPr>
                <w:sz w:val="19"/>
              </w:rPr>
              <w:t>Milestone M2 — Phase 3 Complete (CI/CD Operational)</w:t>
            </w:r>
          </w:p>
        </w:tc>
        <w:tc>
          <w:tcPr>
            <w:tcW w:type="dxa" w:w="1984"/>
            <w:vAlign w:val="center"/>
          </w:tcPr>
          <w:p>
            <w:pPr>
              <w:spacing w:after="60"/>
            </w:pPr>
            <w:r>
              <w:rPr>
                <w:sz w:val="19"/>
              </w:rPr>
              <w:t>15%</w:t>
            </w:r>
          </w:p>
        </w:tc>
        <w:tc>
          <w:tcPr>
            <w:tcW w:type="dxa" w:w="1984"/>
            <w:vAlign w:val="center"/>
          </w:tcPr>
          <w:p>
            <w:pPr>
              <w:spacing w:after="60"/>
            </w:pPr>
            <w:r>
              <w:rPr>
                <w:sz w:val="19"/>
              </w:rPr>
              <w:t>[Amount]</w:t>
            </w:r>
          </w:p>
        </w:tc>
      </w:tr>
      <w:tr>
        <w:tc>
          <w:tcPr>
            <w:tcW w:type="dxa" w:w="5669"/>
            <w:vAlign w:val="center"/>
          </w:tcPr>
          <w:p>
            <w:pPr>
              <w:spacing w:after="60"/>
            </w:pPr>
            <w:r>
              <w:rPr>
                <w:sz w:val="19"/>
              </w:rPr>
              <w:t>Milestone M3 — Phase 4a Complete (Compliance &amp; Integrations)</w:t>
            </w:r>
          </w:p>
        </w:tc>
        <w:tc>
          <w:tcPr>
            <w:tcW w:type="dxa" w:w="1984"/>
            <w:vAlign w:val="center"/>
          </w:tcPr>
          <w:p>
            <w:pPr>
              <w:spacing w:after="60"/>
            </w:pPr>
            <w:r>
              <w:rPr>
                <w:sz w:val="19"/>
              </w:rPr>
              <w:t>15%</w:t>
            </w:r>
          </w:p>
        </w:tc>
        <w:tc>
          <w:tcPr>
            <w:tcW w:type="dxa" w:w="1984"/>
            <w:vAlign w:val="center"/>
          </w:tcPr>
          <w:p>
            <w:pPr>
              <w:spacing w:after="60"/>
            </w:pPr>
            <w:r>
              <w:rPr>
                <w:sz w:val="19"/>
              </w:rPr>
              <w:t>[Amount]</w:t>
            </w:r>
          </w:p>
        </w:tc>
      </w:tr>
      <w:tr>
        <w:tc>
          <w:tcPr>
            <w:tcW w:type="dxa" w:w="5669"/>
            <w:vAlign w:val="center"/>
          </w:tcPr>
          <w:p>
            <w:pPr>
              <w:spacing w:after="60"/>
            </w:pPr>
            <w:r>
              <w:rPr>
                <w:sz w:val="19"/>
              </w:rPr>
              <w:t>Milestone M4 — Phase 4b Complete (Staging Sign-off)</w:t>
            </w:r>
          </w:p>
        </w:tc>
        <w:tc>
          <w:tcPr>
            <w:tcW w:type="dxa" w:w="1984"/>
            <w:vAlign w:val="center"/>
          </w:tcPr>
          <w:p>
            <w:pPr>
              <w:spacing w:after="60"/>
            </w:pPr>
            <w:r>
              <w:rPr>
                <w:sz w:val="19"/>
              </w:rPr>
              <w:t>10%</w:t>
            </w:r>
          </w:p>
        </w:tc>
        <w:tc>
          <w:tcPr>
            <w:tcW w:type="dxa" w:w="1984"/>
            <w:vAlign w:val="center"/>
          </w:tcPr>
          <w:p>
            <w:pPr>
              <w:spacing w:after="60"/>
            </w:pPr>
            <w:r>
              <w:rPr>
                <w:sz w:val="19"/>
              </w:rPr>
              <w:t>[Amount]</w:t>
            </w:r>
          </w:p>
        </w:tc>
      </w:tr>
      <w:tr>
        <w:tc>
          <w:tcPr>
            <w:tcW w:type="dxa" w:w="5669"/>
            <w:vAlign w:val="center"/>
          </w:tcPr>
          <w:p>
            <w:pPr>
              <w:spacing w:after="60"/>
            </w:pPr>
            <w:r>
              <w:rPr>
                <w:sz w:val="19"/>
              </w:rPr>
              <w:t>Milestone M5 — Phase 4c Complete (Production Go-Live)</w:t>
            </w:r>
          </w:p>
        </w:tc>
        <w:tc>
          <w:tcPr>
            <w:tcW w:type="dxa" w:w="1984"/>
            <w:vAlign w:val="center"/>
          </w:tcPr>
          <w:p>
            <w:pPr>
              <w:spacing w:after="60"/>
            </w:pPr>
            <w:r>
              <w:rPr>
                <w:sz w:val="19"/>
              </w:rPr>
              <w:t>15%</w:t>
            </w:r>
          </w:p>
        </w:tc>
        <w:tc>
          <w:tcPr>
            <w:tcW w:type="dxa" w:w="1984"/>
            <w:vAlign w:val="center"/>
          </w:tcPr>
          <w:p>
            <w:pPr>
              <w:spacing w:after="60"/>
            </w:pPr>
            <w:r>
              <w:rPr>
                <w:sz w:val="19"/>
              </w:rPr>
              <w:t>[Amount]</w:t>
            </w:r>
          </w:p>
        </w:tc>
      </w:tr>
      <w:tr>
        <w:tc>
          <w:tcPr>
            <w:tcW w:type="dxa" w:w="5669"/>
            <w:vAlign w:val="center"/>
          </w:tcPr>
          <w:p>
            <w:pPr>
              <w:spacing w:after="60"/>
            </w:pPr>
            <w:r>
              <w:rPr>
                <w:sz w:val="19"/>
              </w:rPr>
              <w:t>Milestone M6 — Final Acceptance (post-Hypercare)</w:t>
            </w:r>
          </w:p>
        </w:tc>
        <w:tc>
          <w:tcPr>
            <w:tcW w:type="dxa" w:w="1984"/>
            <w:vAlign w:val="center"/>
          </w:tcPr>
          <w:p>
            <w:pPr>
              <w:spacing w:after="60"/>
            </w:pPr>
            <w:r>
              <w:rPr>
                <w:sz w:val="19"/>
              </w:rPr>
              <w:t>10%</w:t>
            </w:r>
          </w:p>
        </w:tc>
        <w:tc>
          <w:tcPr>
            <w:tcW w:type="dxa" w:w="1984"/>
            <w:vAlign w:val="center"/>
          </w:tcPr>
          <w:p>
            <w:pPr>
              <w:spacing w:after="60"/>
            </w:pPr>
            <w:r>
              <w:rPr>
                <w:sz w:val="19"/>
              </w:rPr>
              <w:t>[Amount]</w:t>
            </w:r>
          </w:p>
        </w:tc>
      </w:tr>
    </w:tbl>
    <w:p/>
    <w:p>
      <w:pPr>
        <w:pStyle w:val="Heading2"/>
      </w:pPr>
      <w:r>
        <w:t>13.3  Invoicing and Payment Terms</w:t>
      </w:r>
    </w:p>
    <w:p>
      <w:pPr>
        <w:pStyle w:val="ListBullet"/>
        <w:spacing w:after="60"/>
      </w:pPr>
      <w:r>
        <w:t>ABC will issue an invoice upon achievement of each payment trigger above, together with the corresponding Deliverable Acceptance Certificate(s) or, where the Review Period in Section 10 has not yet lapsed, evidence of submission for acceptance.</w:t>
      </w:r>
    </w:p>
    <w:p>
      <w:pPr>
        <w:pStyle w:val="ListBullet"/>
        <w:spacing w:after="60"/>
      </w:pPr>
      <w:r>
        <w:t>All invoices are payable within thirty (30) days of the invoice date (“Net 30”), by the payment method specified in the MSA.</w:t>
      </w:r>
    </w:p>
    <w:p>
      <w:pPr>
        <w:pStyle w:val="ListBullet"/>
        <w:spacing w:after="60"/>
      </w:pPr>
      <w:r>
        <w:t>Amounts not disputed in good faith and not paid when due shall accrue interest at the rate specified in the MSA (or, if not specified, the maximum rate permitted by applicable law) from the due date until paid.</w:t>
      </w:r>
    </w:p>
    <w:p>
      <w:pPr>
        <w:pStyle w:val="ListBullet"/>
        <w:spacing w:after="60"/>
      </w:pPr>
      <w:r>
        <w:t>Reasonable, pre-approved travel and out-of-pocket expenses, if any, are billed at cost and are not included in the fees above unless otherwise stated.</w:t>
      </w:r>
    </w:p>
    <w:p>
      <w:pPr>
        <w:pStyle w:val="ListBullet"/>
        <w:spacing w:after="60"/>
      </w:pPr>
      <w:r>
        <w:t>Any AWS or third-party cloud/service consumption costs (compute, storage, model inference, data transfer, etc.) incurred in operating the Environments are billed directly to Client by the relevant third party under Client's own account and are not included in ABC's fees under this SOW.</w:t>
      </w:r>
    </w:p>
    <w:p>
      <w:r>
        <w:br w:type="page"/>
      </w:r>
    </w:p>
    <w:p>
      <w:pPr>
        <w:pStyle w:val="Heading1"/>
      </w:pPr>
      <w:r>
        <w:t>14. Service Levels and Support (Post Go-Live)</w:t>
      </w:r>
    </w:p>
    <w:p>
      <w:pPr>
        <w:spacing w:after="120"/>
      </w:pPr>
      <w:r>
        <w:rPr>
          <w:b w:val="0"/>
          <w:i w:val="0"/>
        </w:rPr>
        <w:t>For the two-week period immediately following Milestone M5 (Production Go-Live) (“Hypercare Period”), ABC will provide heightened support as follows. Support beyond the Hypercare Period requires a separate managed services agreement or SOW.</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shd w:val="clear" w:color="auto" w:fill="1F2E4A"/>
            <w:vAlign w:val="center"/>
          </w:tcPr>
          <w:p>
            <w:pPr>
              <w:spacing w:after="60"/>
              <w:jc w:val="left"/>
            </w:pPr>
            <w:r>
              <w:rPr>
                <w:b/>
                <w:color w:val="FFFFFF"/>
                <w:sz w:val="19"/>
              </w:rPr>
              <w:t>Severity</w:t>
            </w:r>
          </w:p>
        </w:tc>
        <w:tc>
          <w:tcPr>
            <w:tcW w:type="dxa" w:w="4535"/>
            <w:shd w:val="clear" w:color="auto" w:fill="1F2E4A"/>
            <w:vAlign w:val="center"/>
          </w:tcPr>
          <w:p>
            <w:pPr>
              <w:spacing w:after="60"/>
              <w:jc w:val="left"/>
            </w:pPr>
            <w:r>
              <w:rPr>
                <w:b/>
                <w:color w:val="FFFFFF"/>
                <w:sz w:val="19"/>
              </w:rPr>
              <w:t>Definition</w:t>
            </w:r>
          </w:p>
        </w:tc>
        <w:tc>
          <w:tcPr>
            <w:tcW w:type="dxa" w:w="1984"/>
            <w:shd w:val="clear" w:color="auto" w:fill="1F2E4A"/>
            <w:vAlign w:val="center"/>
          </w:tcPr>
          <w:p>
            <w:pPr>
              <w:spacing w:after="60"/>
              <w:jc w:val="left"/>
            </w:pPr>
            <w:r>
              <w:rPr>
                <w:b/>
                <w:color w:val="FFFFFF"/>
                <w:sz w:val="19"/>
              </w:rPr>
              <w:t>Target Initial Response</w:t>
            </w:r>
          </w:p>
        </w:tc>
        <w:tc>
          <w:tcPr>
            <w:tcW w:type="dxa" w:w="1984"/>
            <w:shd w:val="clear" w:color="auto" w:fill="1F2E4A"/>
            <w:vAlign w:val="center"/>
          </w:tcPr>
          <w:p>
            <w:pPr>
              <w:spacing w:after="60"/>
              <w:jc w:val="left"/>
            </w:pPr>
            <w:r>
              <w:rPr>
                <w:b/>
                <w:color w:val="FFFFFF"/>
                <w:sz w:val="19"/>
              </w:rPr>
              <w:t>Target Workaround/Fix</w:t>
            </w:r>
          </w:p>
        </w:tc>
      </w:tr>
      <w:tr>
        <w:tc>
          <w:tcPr>
            <w:tcW w:type="dxa" w:w="1417"/>
            <w:vAlign w:val="center"/>
          </w:tcPr>
          <w:p>
            <w:pPr>
              <w:spacing w:after="60"/>
            </w:pPr>
            <w:r>
              <w:rPr>
                <w:sz w:val="19"/>
              </w:rPr>
              <w:t>Critical</w:t>
            </w:r>
          </w:p>
        </w:tc>
        <w:tc>
          <w:tcPr>
            <w:tcW w:type="dxa" w:w="4535"/>
            <w:vAlign w:val="center"/>
          </w:tcPr>
          <w:p>
            <w:pPr>
              <w:spacing w:after="60"/>
            </w:pPr>
            <w:r>
              <w:rPr>
                <w:sz w:val="19"/>
              </w:rPr>
              <w:t>Production Solution unavailable or producing materially incorrect / non-compliant output with no workaround.</w:t>
            </w:r>
          </w:p>
        </w:tc>
        <w:tc>
          <w:tcPr>
            <w:tcW w:type="dxa" w:w="1984"/>
            <w:vAlign w:val="center"/>
          </w:tcPr>
          <w:p>
            <w:pPr>
              <w:spacing w:after="60"/>
            </w:pPr>
            <w:r>
              <w:rPr>
                <w:sz w:val="19"/>
              </w:rPr>
              <w:t>1 hour (Business Hours)</w:t>
            </w:r>
          </w:p>
        </w:tc>
        <w:tc>
          <w:tcPr>
            <w:tcW w:type="dxa" w:w="1984"/>
            <w:vAlign w:val="center"/>
          </w:tcPr>
          <w:p>
            <w:pPr>
              <w:spacing w:after="60"/>
            </w:pPr>
            <w:r>
              <w:rPr>
                <w:sz w:val="19"/>
              </w:rPr>
              <w:t>Best-effort continuous until mitigated</w:t>
            </w:r>
          </w:p>
        </w:tc>
      </w:tr>
      <w:tr>
        <w:tc>
          <w:tcPr>
            <w:tcW w:type="dxa" w:w="1417"/>
            <w:vAlign w:val="center"/>
          </w:tcPr>
          <w:p>
            <w:pPr>
              <w:spacing w:after="60"/>
            </w:pPr>
            <w:r>
              <w:rPr>
                <w:sz w:val="19"/>
              </w:rPr>
              <w:t>High</w:t>
            </w:r>
          </w:p>
        </w:tc>
        <w:tc>
          <w:tcPr>
            <w:tcW w:type="dxa" w:w="4535"/>
            <w:vAlign w:val="center"/>
          </w:tcPr>
          <w:p>
            <w:pPr>
              <w:spacing w:after="60"/>
            </w:pPr>
            <w:r>
              <w:rPr>
                <w:sz w:val="19"/>
              </w:rPr>
              <w:t>Significant Production functionality impaired; workaround exists.</w:t>
            </w:r>
          </w:p>
        </w:tc>
        <w:tc>
          <w:tcPr>
            <w:tcW w:type="dxa" w:w="1984"/>
            <w:vAlign w:val="center"/>
          </w:tcPr>
          <w:p>
            <w:pPr>
              <w:spacing w:after="60"/>
            </w:pPr>
            <w:r>
              <w:rPr>
                <w:sz w:val="19"/>
              </w:rPr>
              <w:t>4 Business Hours</w:t>
            </w:r>
          </w:p>
        </w:tc>
        <w:tc>
          <w:tcPr>
            <w:tcW w:type="dxa" w:w="1984"/>
            <w:vAlign w:val="center"/>
          </w:tcPr>
          <w:p>
            <w:pPr>
              <w:spacing w:after="60"/>
            </w:pPr>
            <w:r>
              <w:rPr>
                <w:sz w:val="19"/>
              </w:rPr>
              <w:t>2 Business Days</w:t>
            </w:r>
          </w:p>
        </w:tc>
      </w:tr>
      <w:tr>
        <w:tc>
          <w:tcPr>
            <w:tcW w:type="dxa" w:w="1417"/>
            <w:vAlign w:val="center"/>
          </w:tcPr>
          <w:p>
            <w:pPr>
              <w:spacing w:after="60"/>
            </w:pPr>
            <w:r>
              <w:rPr>
                <w:sz w:val="19"/>
              </w:rPr>
              <w:t>Medium</w:t>
            </w:r>
          </w:p>
        </w:tc>
        <w:tc>
          <w:tcPr>
            <w:tcW w:type="dxa" w:w="4535"/>
            <w:vAlign w:val="center"/>
          </w:tcPr>
          <w:p>
            <w:pPr>
              <w:spacing w:after="60"/>
            </w:pPr>
            <w:r>
              <w:rPr>
                <w:sz w:val="19"/>
              </w:rPr>
              <w:t>Non-critical defect with limited business impact.</w:t>
            </w:r>
          </w:p>
        </w:tc>
        <w:tc>
          <w:tcPr>
            <w:tcW w:type="dxa" w:w="1984"/>
            <w:vAlign w:val="center"/>
          </w:tcPr>
          <w:p>
            <w:pPr>
              <w:spacing w:after="60"/>
            </w:pPr>
            <w:r>
              <w:rPr>
                <w:sz w:val="19"/>
              </w:rPr>
              <w:t>1 Business Day</w:t>
            </w:r>
          </w:p>
        </w:tc>
        <w:tc>
          <w:tcPr>
            <w:tcW w:type="dxa" w:w="1984"/>
            <w:vAlign w:val="center"/>
          </w:tcPr>
          <w:p>
            <w:pPr>
              <w:spacing w:after="60"/>
            </w:pPr>
            <w:r>
              <w:rPr>
                <w:sz w:val="19"/>
              </w:rPr>
              <w:t>5 Business Days</w:t>
            </w:r>
          </w:p>
        </w:tc>
      </w:tr>
      <w:tr>
        <w:tc>
          <w:tcPr>
            <w:tcW w:type="dxa" w:w="1417"/>
            <w:vAlign w:val="center"/>
          </w:tcPr>
          <w:p>
            <w:pPr>
              <w:spacing w:after="60"/>
            </w:pPr>
            <w:r>
              <w:rPr>
                <w:sz w:val="19"/>
              </w:rPr>
              <w:t>Low</w:t>
            </w:r>
          </w:p>
        </w:tc>
        <w:tc>
          <w:tcPr>
            <w:tcW w:type="dxa" w:w="4535"/>
            <w:vAlign w:val="center"/>
          </w:tcPr>
          <w:p>
            <w:pPr>
              <w:spacing w:after="60"/>
            </w:pPr>
            <w:r>
              <w:rPr>
                <w:sz w:val="19"/>
              </w:rPr>
              <w:t>Cosmetic or minor documentation issue.</w:t>
            </w:r>
          </w:p>
        </w:tc>
        <w:tc>
          <w:tcPr>
            <w:tcW w:type="dxa" w:w="1984"/>
            <w:vAlign w:val="center"/>
          </w:tcPr>
          <w:p>
            <w:pPr>
              <w:spacing w:after="60"/>
            </w:pPr>
            <w:r>
              <w:rPr>
                <w:sz w:val="19"/>
              </w:rPr>
              <w:t>2 Business Days</w:t>
            </w:r>
          </w:p>
        </w:tc>
        <w:tc>
          <w:tcPr>
            <w:tcW w:type="dxa" w:w="1984"/>
            <w:vAlign w:val="center"/>
          </w:tcPr>
          <w:p>
            <w:pPr>
              <w:spacing w:after="60"/>
            </w:pPr>
            <w:r>
              <w:rPr>
                <w:sz w:val="19"/>
              </w:rPr>
              <w:t>Next scheduled release</w:t>
            </w:r>
          </w:p>
        </w:tc>
      </w:tr>
    </w:tbl>
    <w:p/>
    <w:p>
      <w:pPr>
        <w:spacing w:after="120"/>
      </w:pPr>
      <w:r>
        <w:rPr>
          <w:b w:val="0"/>
          <w:i/>
          <w:color w:val="595959"/>
          <w:sz w:val="19"/>
        </w:rPr>
        <w:t>“Business Hours” means 09:00–18:00, Monday to Friday, in the primary delivery location agreed at kick-off, excluding public holidays. These targets are service objectives, not guaranteed service levels, unless a Service Level Agreement with associated service credits is separately negotiated and attached as an addendum to this SOW.</w:t>
      </w:r>
    </w:p>
    <w:p>
      <w:pPr>
        <w:pStyle w:val="Heading1"/>
      </w:pPr>
      <w:r>
        <w:t>15. Confidentiality and Data Protection</w:t>
      </w:r>
    </w:p>
    <w:p>
      <w:pPr>
        <w:spacing w:after="120"/>
      </w:pPr>
      <w:r>
        <w:rPr>
          <w:b w:val="0"/>
          <w:i w:val="0"/>
        </w:rPr>
        <w:t>Each Party will protect the other Party's Confidential Information in accordance with the confidentiality provisions of the MSA. Without limiting the foregoing, in connection with this SOW:</w:t>
      </w:r>
    </w:p>
    <w:p>
      <w:pPr>
        <w:pStyle w:val="ListBullet"/>
        <w:spacing w:after="60"/>
      </w:pPr>
      <w:r>
        <w:t>ABC will handle any Client data made available for Knowledge Base ingestion, testing, or otherwise, solely for the purposes of performing this SOW, and in accordance with Client's data classification instructions and applicable data protection law.</w:t>
      </w:r>
    </w:p>
    <w:p>
      <w:pPr>
        <w:pStyle w:val="ListBullet"/>
        <w:spacing w:after="60"/>
      </w:pPr>
      <w:r>
        <w:t>Client is solely responsible for ensuring that any personal data or regulated data is not provided to ABC or ingested into the Solution unless the Parties have first agreed appropriate legal and technical safeguards (e.g., a Data Processing Addendum).</w:t>
      </w:r>
    </w:p>
    <w:p>
      <w:pPr>
        <w:pStyle w:val="ListBullet"/>
        <w:spacing w:after="60"/>
      </w:pPr>
      <w:r>
        <w:t>Access credentials, IAM roles, and secrets provisioned for this engagement will be managed by ABC in accordance with ABC's Information Security Policy and revoked or rotated promptly upon completion of the engagement or a team member's rotation off the engagement.</w:t>
      </w:r>
    </w:p>
    <w:p>
      <w:pPr>
        <w:pStyle w:val="ListBullet"/>
        <w:spacing w:after="60"/>
      </w:pPr>
      <w:r>
        <w:t>Non-production Environments will use synthetic, mock, or otherwise de-identified data unless Client explicitly authorizes use of live data for a specific, documented testing purpose.</w:t>
      </w:r>
    </w:p>
    <w:p>
      <w:pPr>
        <w:pStyle w:val="Heading1"/>
      </w:pPr>
      <w:r>
        <w:t>16. Intellectual Property Rights</w:t>
      </w:r>
    </w:p>
    <w:p>
      <w:pPr>
        <w:spacing w:after="120"/>
      </w:pPr>
      <w:r>
        <w:rPr>
          <w:b w:val="0"/>
          <w:i w:val="0"/>
        </w:rPr>
        <w:t>Ownership of work product, pre-existing materials, and any ABC tools, accelerators, frameworks, or methodologies used or created in performing this SOW shall be governed by the intellectual property provisions of the MSA. For clarity and without limiting the MSA:</w:t>
      </w:r>
    </w:p>
    <w:p>
      <w:pPr>
        <w:pStyle w:val="ListBullet"/>
        <w:spacing w:after="60"/>
      </w:pPr>
      <w:r>
        <w:t>Subject to full payment of applicable fees, Client-specific configuration, infrastructure code, and integration code developed specifically for Client under this SOW will be owned by Client as set out in the MSA.</w:t>
      </w:r>
    </w:p>
    <w:p>
      <w:pPr>
        <w:pStyle w:val="ListBullet"/>
        <w:spacing w:after="60"/>
      </w:pPr>
      <w:r>
        <w:t>ABC retains ownership of its pre-existing intellectual property, general methodologies, reusable accelerators, and any know-how developed during the engagement that is not specific to Client's Confidential Information, and grants Client a license to use such items solely as embedded in the Deliverables, as further described in the MSA.</w:t>
      </w:r>
    </w:p>
    <w:p>
      <w:pPr>
        <w:pStyle w:val="ListBullet"/>
        <w:spacing w:after="60"/>
      </w:pPr>
      <w:r>
        <w:t>Third-party and open-source components (including the underlying agent framework, cloud provider services, and any open-source libraries) remain subject to their own respective license terms, which Client agrees to observe.</w:t>
      </w:r>
    </w:p>
    <w:p>
      <w:pPr>
        <w:pStyle w:val="Heading1"/>
      </w:pPr>
      <w:r>
        <w:t>17. Warranties</w:t>
      </w:r>
    </w:p>
    <w:p>
      <w:pPr>
        <w:spacing w:after="120"/>
      </w:pPr>
      <w:r>
        <w:rPr>
          <w:b w:val="0"/>
          <w:i w:val="0"/>
        </w:rPr>
        <w:t>ABC warrants that:</w:t>
      </w:r>
    </w:p>
    <w:p>
      <w:pPr>
        <w:pStyle w:val="ListBullet"/>
        <w:spacing w:after="60"/>
      </w:pPr>
      <w:r>
        <w:t>Services will be performed in a professional and workmanlike manner consistent with generally accepted industry standards by personnel with suitable skill and experience.</w:t>
      </w:r>
    </w:p>
    <w:p>
      <w:pPr>
        <w:pStyle w:val="ListBullet"/>
        <w:spacing w:after="60"/>
      </w:pPr>
      <w:r>
        <w:t>For a period of thirty (30) days following acceptance of a given Deliverable (“Warranty Period”), ABC will, at no additional charge, correct material non-conformance of that Deliverable with the Acceptance Criteria applicable to it, provided the non-conformance is reported in writing during the Warranty Period and is reproducible.</w:t>
      </w:r>
    </w:p>
    <w:p>
      <w:pPr>
        <w:pStyle w:val="ListBullet"/>
        <w:spacing w:after="60"/>
      </w:pPr>
      <w:r>
        <w:t>The foregoing warranty does not cover: (i) issues caused by Client's or a third party's modification of the Solution outside of ABC's involvement; (ii) issues arising from underlying third-party services (including foundation model behavior, availability, or non-determinism inherent to generative AI systems) operating outside ABC's control; (iii) use of the Solution other than as documented; or (iv) Client's own source content or data.</w:t>
      </w:r>
    </w:p>
    <w:p>
      <w:pPr>
        <w:spacing w:after="120"/>
      </w:pPr>
      <w:r>
        <w:rPr>
          <w:b w:val="0"/>
          <w:i/>
          <w:sz w:val="19"/>
        </w:rPr>
        <w:t>ABC's automated compliance-review workflow is designed to reduce, but cannot fully eliminate, the risk of AI-generated non-compliant or inaccurate output; Client acknowledges that human review remains appropriate for outputs used in client- or regulator-facing contexts, and that the Solution's designed behavior, upon exhausting its compliance-retry budget, is to gracefully escalate for human review rather than guarantee a compliant result on every invocation.</w:t>
      </w:r>
    </w:p>
    <w:p>
      <w:pPr>
        <w:spacing w:after="120"/>
      </w:pPr>
      <w:r>
        <w:rPr>
          <w:b w:val="0"/>
          <w:i w:val="0"/>
          <w:sz w:val="18"/>
        </w:rPr>
        <w:t>EXCEPT AS EXPRESSLY SET OUT ABOVE OR IN THE MSA, ABC DISCLAIMS ALL OTHER WARRANTIES, WHETHER EXPRESS, IMPLIED, OR STATUTORY, INCLUDING ANY IMPLIED WARRANTIES OF MERCHANTABILITY, FITNESS FOR A PARTICULAR PURPOSE, AND NON-INFRINGEMENT, TO THE MAXIMUM EXTENT PERMITTED BY APPLICABLE LAW.</w:t>
      </w:r>
    </w:p>
    <w:p>
      <w:r>
        <w:br w:type="page"/>
      </w:r>
    </w:p>
    <w:p>
      <w:pPr>
        <w:pStyle w:val="Heading1"/>
      </w:pPr>
      <w:r>
        <w:t>18. Limitation of Liability</w:t>
      </w:r>
    </w:p>
    <w:p>
      <w:pPr>
        <w:spacing w:after="120"/>
      </w:pPr>
      <w:r>
        <w:rPr>
          <w:b w:val="0"/>
          <w:i w:val="0"/>
        </w:rPr>
        <w:t>The limitations and exclusions of liability set out in the MSA apply in full to this SOW and are incorporated herein by reference. For the avoidance of doubt, nothing in this SOW is intended to expand, reduce, or otherwise modify the liability caps, exclusions, or carve-outs (e.g., for confidentiality breach, gross negligence, wilful misconduct, or infringement) set out in the MSA, unless expressly and specifically stated in this Section.</w:t>
      </w:r>
    </w:p>
    <w:p>
      <w:pPr>
        <w:pStyle w:val="Heading1"/>
      </w:pPr>
      <w:r>
        <w:t>19. Term, Termination and Suspension</w:t>
      </w:r>
    </w:p>
    <w:p>
      <w:pPr>
        <w:spacing w:after="120"/>
      </w:pPr>
      <w:r>
        <w:rPr>
          <w:b w:val="0"/>
          <w:i w:val="0"/>
        </w:rPr>
        <w:t>This SOW commences on the Effective Date and continues until completion of all Deliverables and expiry of the Warranty Period applicable to the final Deliverable, unless earlier terminated in accordance with the MSA or this Section.</w:t>
      </w:r>
    </w:p>
    <w:p>
      <w:pPr>
        <w:pStyle w:val="ListBullet"/>
        <w:spacing w:after="60"/>
      </w:pPr>
      <w:r>
        <w:t>Either Party may terminate this SOW for material breach not cured within thirty (30) days of written notice, in accordance with the termination provisions of the MSA.</w:t>
      </w:r>
    </w:p>
    <w:p>
      <w:pPr>
        <w:pStyle w:val="ListBullet"/>
        <w:spacing w:after="60"/>
      </w:pPr>
      <w:r>
        <w:t>Client may terminate this SOW for convenience upon thirty (30) days' written notice, subject to payment of fees for work performed and irrevocably committed costs incurred up to the effective date of termination, including a pro-rated share of the fees for the Milestone in progress at the time of termination.</w:t>
      </w:r>
    </w:p>
    <w:p>
      <w:pPr>
        <w:pStyle w:val="ListBullet"/>
        <w:spacing w:after="60"/>
      </w:pPr>
      <w:r>
        <w:t>Upon termination or expiry, ABC will, at Client's request and expense, provide reasonable transition assistance and hand over then-current work product for completed and in-progress Deliverables, subject to payment of all outstanding fees.</w:t>
      </w:r>
    </w:p>
    <w:p>
      <w:pPr>
        <w:pStyle w:val="ListBullet"/>
        <w:spacing w:after="60"/>
      </w:pPr>
      <w:r>
        <w:t>ABC may suspend performance, upon written notice, if Client fails to pay undisputed fees when due (and does not cure within fifteen (15) days of notice) or fails to satisfy a material Dependency in Section 11 such that ABC's work cannot reasonably continue.</w:t>
      </w:r>
    </w:p>
    <w:p>
      <w:pPr>
        <w:pStyle w:val="Heading1"/>
      </w:pPr>
      <w:r>
        <w:t>20. Compliance and Regulatory Considerations</w:t>
      </w:r>
    </w:p>
    <w:p>
      <w:pPr>
        <w:spacing w:after="120"/>
      </w:pPr>
      <w:r>
        <w:rPr>
          <w:b w:val="0"/>
          <w:i w:val="0"/>
        </w:rPr>
        <w:t>Client acknowledges that the Solution is a tool to assist Client's own subject-matter experts and compliance function in preparing RFP and portfolio responses, and does not replace Client's own regulatory, legal, and compliance review obligations applicable to content ultimately issued to institutional clients or prospects. Client remains solely responsible for final review and sign-off of any output before external use, and for ensuring such use complies with applicable securities, investment-advisory, and financial promotion regulations in each relevant jurisdiction.</w:t>
      </w:r>
    </w:p>
    <w:p>
      <w:pPr>
        <w:spacing w:after="120"/>
      </w:pPr>
      <w:r>
        <w:rPr>
          <w:b w:val="0"/>
          <w:i w:val="0"/>
        </w:rPr>
        <w:t>ABC will implement reasonable technical safeguards described in Section 5.3.1 to reduce fabrication and grounding risk, and will document known limitations (including any residual non-determinism in automated compliance verdicts) transparently as part of the Deliverables in Section 7.</w:t>
      </w:r>
    </w:p>
    <w:p>
      <w:pPr>
        <w:pStyle w:val="Heading1"/>
      </w:pPr>
      <w:r>
        <w:t>21. Notices</w:t>
      </w:r>
    </w:p>
    <w:p>
      <w:pPr>
        <w:spacing w:after="120"/>
      </w:pPr>
      <w:r>
        <w:rPr>
          <w:b w:val="0"/>
          <w:i w:val="0"/>
        </w:rPr>
        <w:t>Notices under this SOW shall be given in accordance with the notice provisions of the MSA, addressed to the individuals below (or such other individual as either Party may designate in writing):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1F2E4A"/>
            <w:vAlign w:val="center"/>
          </w:tcPr>
          <w:p>
            <w:pPr>
              <w:spacing w:after="60"/>
              <w:jc w:val="left"/>
            </w:pPr>
            <w:r>
              <w:rPr>
                <w:b/>
                <w:color w:val="FFFFFF"/>
                <w:sz w:val="19"/>
              </w:rPr>
              <w:t>Party</w:t>
            </w:r>
          </w:p>
        </w:tc>
        <w:tc>
          <w:tcPr>
            <w:tcW w:type="dxa" w:w="2835"/>
            <w:shd w:val="clear" w:color="auto" w:fill="1F2E4A"/>
            <w:vAlign w:val="center"/>
          </w:tcPr>
          <w:p>
            <w:pPr>
              <w:spacing w:after="60"/>
              <w:jc w:val="left"/>
            </w:pPr>
            <w:r>
              <w:rPr>
                <w:b/>
                <w:color w:val="FFFFFF"/>
                <w:sz w:val="19"/>
              </w:rPr>
              <w:t>Name / Title</w:t>
            </w:r>
          </w:p>
        </w:tc>
        <w:tc>
          <w:tcPr>
            <w:tcW w:type="dxa" w:w="2551"/>
            <w:shd w:val="clear" w:color="auto" w:fill="1F2E4A"/>
            <w:vAlign w:val="center"/>
          </w:tcPr>
          <w:p>
            <w:pPr>
              <w:spacing w:after="60"/>
              <w:jc w:val="left"/>
            </w:pPr>
            <w:r>
              <w:rPr>
                <w:b/>
                <w:color w:val="FFFFFF"/>
                <w:sz w:val="19"/>
              </w:rPr>
              <w:t>Email</w:t>
            </w:r>
          </w:p>
        </w:tc>
        <w:tc>
          <w:tcPr>
            <w:tcW w:type="dxa" w:w="2551"/>
            <w:shd w:val="clear" w:color="auto" w:fill="1F2E4A"/>
            <w:vAlign w:val="center"/>
          </w:tcPr>
          <w:p>
            <w:pPr>
              <w:spacing w:after="60"/>
              <w:jc w:val="left"/>
            </w:pPr>
            <w:r>
              <w:rPr>
                <w:b/>
                <w:color w:val="FFFFFF"/>
                <w:sz w:val="19"/>
              </w:rPr>
              <w:t>Address</w:t>
            </w:r>
          </w:p>
        </w:tc>
      </w:tr>
      <w:tr>
        <w:tc>
          <w:tcPr>
            <w:tcW w:type="dxa" w:w="1701"/>
            <w:vAlign w:val="center"/>
          </w:tcPr>
          <w:p>
            <w:pPr>
              <w:spacing w:after="60"/>
            </w:pPr>
            <w:r>
              <w:rPr>
                <w:sz w:val="19"/>
              </w:rPr>
              <w:t>ABC Company</w:t>
            </w:r>
          </w:p>
        </w:tc>
        <w:tc>
          <w:tcPr>
            <w:tcW w:type="dxa" w:w="2835"/>
            <w:vAlign w:val="center"/>
          </w:tcPr>
          <w:p>
            <w:pPr>
              <w:spacing w:after="60"/>
            </w:pPr>
            <w:r>
              <w:rPr>
                <w:sz w:val="19"/>
              </w:rPr>
              <w:t>[Engagement Sponsor Name / Title]</w:t>
            </w:r>
          </w:p>
        </w:tc>
        <w:tc>
          <w:tcPr>
            <w:tcW w:type="dxa" w:w="2551"/>
            <w:vAlign w:val="center"/>
          </w:tcPr>
          <w:p>
            <w:pPr>
              <w:spacing w:after="60"/>
            </w:pPr>
            <w:r>
              <w:rPr>
                <w:sz w:val="19"/>
              </w:rPr>
              <w:t>[email@abccompany.com]</w:t>
            </w:r>
          </w:p>
        </w:tc>
        <w:tc>
          <w:tcPr>
            <w:tcW w:type="dxa" w:w="2551"/>
            <w:vAlign w:val="center"/>
          </w:tcPr>
          <w:p>
            <w:pPr>
              <w:spacing w:after="60"/>
            </w:pPr>
            <w:r>
              <w:rPr>
                <w:sz w:val="19"/>
              </w:rPr>
              <w:t>[ABC Company Registered Address]</w:t>
            </w:r>
          </w:p>
        </w:tc>
      </w:tr>
      <w:tr>
        <w:tc>
          <w:tcPr>
            <w:tcW w:type="dxa" w:w="1701"/>
            <w:vAlign w:val="center"/>
          </w:tcPr>
          <w:p>
            <w:pPr>
              <w:spacing w:after="60"/>
            </w:pPr>
            <w:r>
              <w:rPr>
                <w:sz w:val="19"/>
              </w:rPr>
              <w:t>Client</w:t>
            </w:r>
          </w:p>
        </w:tc>
        <w:tc>
          <w:tcPr>
            <w:tcW w:type="dxa" w:w="2835"/>
            <w:vAlign w:val="center"/>
          </w:tcPr>
          <w:p>
            <w:pPr>
              <w:spacing w:after="60"/>
            </w:pPr>
            <w:r>
              <w:rPr>
                <w:sz w:val="19"/>
              </w:rPr>
              <w:t>[Project Sponsor Name / Title]</w:t>
            </w:r>
          </w:p>
        </w:tc>
        <w:tc>
          <w:tcPr>
            <w:tcW w:type="dxa" w:w="2551"/>
            <w:vAlign w:val="center"/>
          </w:tcPr>
          <w:p>
            <w:pPr>
              <w:spacing w:after="60"/>
            </w:pPr>
            <w:r>
              <w:rPr>
                <w:sz w:val="19"/>
              </w:rPr>
              <w:t>[email@client.com]</w:t>
            </w:r>
          </w:p>
        </w:tc>
        <w:tc>
          <w:tcPr>
            <w:tcW w:type="dxa" w:w="2551"/>
            <w:vAlign w:val="center"/>
          </w:tcPr>
          <w:p>
            <w:pPr>
              <w:spacing w:after="60"/>
            </w:pPr>
            <w:r>
              <w:rPr>
                <w:sz w:val="19"/>
              </w:rPr>
              <w:t>[Client Registered Address]</w:t>
            </w:r>
          </w:p>
        </w:tc>
      </w:tr>
    </w:tbl>
    <w:p/>
    <w:p>
      <w:pPr>
        <w:pStyle w:val="Heading1"/>
      </w:pPr>
      <w:r>
        <w:t>22. Governing Law and Dispute Resolution</w:t>
      </w:r>
    </w:p>
    <w:p>
      <w:pPr>
        <w:spacing w:after="120"/>
      </w:pPr>
      <w:r>
        <w:rPr>
          <w:b w:val="0"/>
          <w:i w:val="0"/>
        </w:rPr>
        <w:t>This SOW is governed by, and shall be construed in accordance with, the governing law and dispute resolution provisions set out in the MSA. Any dispute arising out of or in connection with this SOW shall first be escalated through the Steering Committee described in Section 9.3 before either Party invokes the formal dispute resolution mechanism in the MSA.</w:t>
      </w:r>
    </w:p>
    <w:p>
      <w:pPr>
        <w:pStyle w:val="Heading1"/>
      </w:pPr>
      <w:r>
        <w:t>23. Entire Agreement and Precedence</w:t>
      </w:r>
    </w:p>
    <w:p>
      <w:pPr>
        <w:spacing w:after="120"/>
      </w:pPr>
      <w:r>
        <w:rPr>
          <w:b w:val="0"/>
          <w:i w:val="0"/>
        </w:rPr>
        <w:t>This SOW, together with the MSA and any Appendices and duly executed Change Requests, constitutes the entire agreement between the Parties with respect to the subject matter described herein, and supersedes all prior or contemporaneous understandings regarding such subject matter. In the event of any conflict, the order of precedence shall be: (1) the MSA; (2) executed Change Requests to this SOW; (3) the body of this SOW; (4) the Appendices to this SOW.</w:t>
      </w:r>
    </w:p>
    <w:p>
      <w:r>
        <w:br w:type="page"/>
      </w:r>
    </w:p>
    <w:p>
      <w:pPr>
        <w:pStyle w:val="Heading1"/>
      </w:pPr>
      <w:r>
        <w:t>24. Signatures</w:t>
      </w:r>
    </w:p>
    <w:p>
      <w:pPr>
        <w:spacing w:after="120"/>
      </w:pPr>
      <w:r>
        <w:rPr>
          <w:b w:val="0"/>
          <w:i w:val="0"/>
        </w:rPr>
        <w:t>IN WITNESS WHEREOF, the Parties, by their duly authorized representatives, have executed this Statement of Work as of the date(s) set out below.</w:t>
      </w:r>
    </w:p>
    <w:p/>
    <w:tbl>
      <w:tblPr>
        <w:tblStyle w:val="TableGrid"/>
        <w:tblW w:type="auto" w:w="0"/>
        <w:tblLook w:firstColumn="1" w:firstRow="1" w:lastColumn="0" w:lastRow="0" w:noHBand="0" w:noVBand="1" w:val="04A0"/>
      </w:tblPr>
      <w:tblGrid>
        <w:gridCol w:w="4873"/>
        <w:gridCol w:w="4873"/>
      </w:tblGrid>
      <w:tr>
        <w:tc>
          <w:tcPr>
            <w:tcW w:type="dxa" w:w="4819"/>
          </w:tcPr>
          <w:p>
            <w:pPr>
              <w:spacing w:before="200" w:after="200"/>
            </w:pPr>
            <w:r>
              <w:rPr>
                <w:b/>
                <w:color w:val="1F2E4A"/>
              </w:rPr>
              <w:t>For ABC Company</w:t>
            </w:r>
          </w:p>
        </w:tc>
        <w:tc>
          <w:tcPr>
            <w:tcW w:type="dxa" w:w="4819"/>
          </w:tcPr>
          <w:p>
            <w:pPr>
              <w:spacing w:before="200" w:after="200"/>
            </w:pPr>
            <w:r>
              <w:rPr>
                <w:b/>
                <w:color w:val="1F2E4A"/>
              </w:rPr>
              <w:t>For Client — [Client Legal Entity Name]</w:t>
            </w:r>
          </w:p>
        </w:tc>
      </w:tr>
      <w:tr>
        <w:tc>
          <w:tcPr>
            <w:tcW w:type="dxa" w:w="4819"/>
          </w:tcPr>
          <w:p>
            <w:pPr>
              <w:spacing w:before="200" w:after="200"/>
            </w:pPr>
            <w:r>
              <w:t>Signature: _______________________________</w:t>
            </w:r>
          </w:p>
        </w:tc>
        <w:tc>
          <w:tcPr>
            <w:tcW w:type="dxa" w:w="4819"/>
          </w:tcPr>
          <w:p>
            <w:pPr>
              <w:spacing w:before="200" w:after="200"/>
            </w:pPr>
            <w:r>
              <w:t>Signature: _______________________________</w:t>
            </w:r>
          </w:p>
        </w:tc>
      </w:tr>
      <w:tr>
        <w:tc>
          <w:tcPr>
            <w:tcW w:type="dxa" w:w="4819"/>
          </w:tcPr>
          <w:p>
            <w:pPr>
              <w:spacing w:before="200" w:after="200"/>
            </w:pPr>
            <w:r>
              <w:t>Name: [Name]</w:t>
            </w:r>
          </w:p>
        </w:tc>
        <w:tc>
          <w:tcPr>
            <w:tcW w:type="dxa" w:w="4819"/>
          </w:tcPr>
          <w:p>
            <w:pPr>
              <w:spacing w:before="200" w:after="200"/>
            </w:pPr>
            <w:r>
              <w:t>Name: [Name]</w:t>
            </w:r>
          </w:p>
        </w:tc>
      </w:tr>
      <w:tr>
        <w:tc>
          <w:tcPr>
            <w:tcW w:type="dxa" w:w="4819"/>
          </w:tcPr>
          <w:p>
            <w:pPr>
              <w:spacing w:before="200" w:after="200"/>
            </w:pPr>
            <w:r>
              <w:t>Title: [Title]</w:t>
            </w:r>
          </w:p>
        </w:tc>
        <w:tc>
          <w:tcPr>
            <w:tcW w:type="dxa" w:w="4819"/>
          </w:tcPr>
          <w:p>
            <w:pPr>
              <w:spacing w:before="200" w:after="200"/>
            </w:pPr>
            <w:r>
              <w:t>Title: [Title]</w:t>
            </w:r>
          </w:p>
        </w:tc>
      </w:tr>
      <w:tr>
        <w:tc>
          <w:tcPr>
            <w:tcW w:type="dxa" w:w="4819"/>
          </w:tcPr>
          <w:p>
            <w:pPr>
              <w:spacing w:before="200" w:after="200"/>
            </w:pPr>
            <w:r>
              <w:t>Date: _______________________________</w:t>
            </w:r>
          </w:p>
        </w:tc>
        <w:tc>
          <w:tcPr>
            <w:tcW w:type="dxa" w:w="4819"/>
          </w:tcPr>
          <w:p>
            <w:pPr>
              <w:spacing w:before="200" w:after="200"/>
            </w:pPr>
            <w:r>
              <w:t>Date: _______________________________</w:t>
            </w:r>
          </w:p>
        </w:tc>
      </w:tr>
      <w:tr>
        <w:tc>
          <w:tcPr>
            <w:tcW w:type="dxa" w:w="4819"/>
          </w:tcPr>
          <w:p>
            <w:pPr>
              <w:spacing w:before="200" w:after="200"/>
            </w:pPr>
            <w:r/>
          </w:p>
        </w:tc>
        <w:tc>
          <w:tcPr>
            <w:tcW w:type="dxa" w:w="4819"/>
          </w:tcPr>
          <w:p>
            <w:pPr>
              <w:spacing w:before="200" w:after="200"/>
            </w:pPr>
            <w:r/>
          </w:p>
        </w:tc>
      </w:tr>
    </w:tbl>
    <w:p>
      <w:r>
        <w:br w:type="page"/>
      </w:r>
    </w:p>
    <w:p>
      <w:pPr>
        <w:pStyle w:val="Heading1"/>
      </w:pPr>
      <w:r>
        <w:t>Appendix A — Deliverable Acceptance Certificate (Template)</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2E4A"/>
            <w:vAlign w:val="center"/>
          </w:tcPr>
          <w:p>
            <w:pPr>
              <w:spacing w:after="60"/>
              <w:jc w:val="left"/>
            </w:pPr>
            <w:r>
              <w:rPr>
                <w:b/>
                <w:color w:val="FFFFFF"/>
                <w:sz w:val="19"/>
              </w:rPr>
              <w:t>Field</w:t>
            </w:r>
          </w:p>
        </w:tc>
        <w:tc>
          <w:tcPr>
            <w:tcW w:type="dxa" w:w="6236"/>
            <w:shd w:val="clear" w:color="auto" w:fill="1F2E4A"/>
            <w:vAlign w:val="center"/>
          </w:tcPr>
          <w:p>
            <w:pPr>
              <w:spacing w:after="60"/>
              <w:jc w:val="left"/>
            </w:pPr>
            <w:r>
              <w:rPr>
                <w:b/>
                <w:color w:val="FFFFFF"/>
                <w:sz w:val="19"/>
              </w:rPr>
              <w:t>Detail</w:t>
            </w:r>
          </w:p>
        </w:tc>
      </w:tr>
      <w:tr>
        <w:tc>
          <w:tcPr>
            <w:tcW w:type="dxa" w:w="3402"/>
            <w:vAlign w:val="center"/>
          </w:tcPr>
          <w:p>
            <w:pPr>
              <w:spacing w:after="60"/>
            </w:pPr>
            <w:r>
              <w:rPr>
                <w:sz w:val="19"/>
              </w:rPr>
              <w:t>Deliverable ID / Name</w:t>
            </w:r>
          </w:p>
        </w:tc>
        <w:tc>
          <w:tcPr>
            <w:tcW w:type="dxa" w:w="6236"/>
            <w:vAlign w:val="center"/>
          </w:tcPr>
          <w:p>
            <w:pPr>
              <w:spacing w:after="60"/>
            </w:pPr>
            <w:r>
              <w:rPr>
                <w:sz w:val="19"/>
              </w:rPr>
              <w:t>[e.g., D2.4 — Provisioned Dev Environment]</w:t>
            </w:r>
          </w:p>
        </w:tc>
      </w:tr>
      <w:tr>
        <w:tc>
          <w:tcPr>
            <w:tcW w:type="dxa" w:w="3402"/>
            <w:vAlign w:val="center"/>
          </w:tcPr>
          <w:p>
            <w:pPr>
              <w:spacing w:after="60"/>
            </w:pPr>
            <w:r>
              <w:rPr>
                <w:sz w:val="19"/>
              </w:rPr>
              <w:t>Milestone</w:t>
            </w:r>
          </w:p>
        </w:tc>
        <w:tc>
          <w:tcPr>
            <w:tcW w:type="dxa" w:w="6236"/>
            <w:vAlign w:val="center"/>
          </w:tcPr>
          <w:p>
            <w:pPr>
              <w:spacing w:after="60"/>
            </w:pPr>
            <w:r>
              <w:rPr>
                <w:sz w:val="19"/>
              </w:rPr>
              <w:t>[e.g., M1]</w:t>
            </w:r>
          </w:p>
        </w:tc>
      </w:tr>
      <w:tr>
        <w:tc>
          <w:tcPr>
            <w:tcW w:type="dxa" w:w="3402"/>
            <w:vAlign w:val="center"/>
          </w:tcPr>
          <w:p>
            <w:pPr>
              <w:spacing w:after="60"/>
            </w:pPr>
            <w:r>
              <w:rPr>
                <w:sz w:val="19"/>
              </w:rPr>
              <w:t>Date Submitted</w:t>
            </w:r>
          </w:p>
        </w:tc>
        <w:tc>
          <w:tcPr>
            <w:tcW w:type="dxa" w:w="6236"/>
            <w:vAlign w:val="center"/>
          </w:tcPr>
          <w:p>
            <w:pPr>
              <w:spacing w:after="60"/>
            </w:pPr>
            <w:r>
              <w:rPr>
                <w:sz w:val="19"/>
              </w:rPr>
              <w:t>[Date]</w:t>
            </w:r>
          </w:p>
        </w:tc>
      </w:tr>
      <w:tr>
        <w:tc>
          <w:tcPr>
            <w:tcW w:type="dxa" w:w="3402"/>
            <w:vAlign w:val="center"/>
          </w:tcPr>
          <w:p>
            <w:pPr>
              <w:spacing w:after="60"/>
            </w:pPr>
            <w:r>
              <w:rPr>
                <w:sz w:val="19"/>
              </w:rPr>
              <w:t>Submitted By (ABC)</w:t>
            </w:r>
          </w:p>
        </w:tc>
        <w:tc>
          <w:tcPr>
            <w:tcW w:type="dxa" w:w="6236"/>
            <w:vAlign w:val="center"/>
          </w:tcPr>
          <w:p>
            <w:pPr>
              <w:spacing w:after="60"/>
            </w:pPr>
            <w:r>
              <w:rPr>
                <w:sz w:val="19"/>
              </w:rPr>
              <w:t>[Name]</w:t>
            </w:r>
          </w:p>
        </w:tc>
      </w:tr>
      <w:tr>
        <w:tc>
          <w:tcPr>
            <w:tcW w:type="dxa" w:w="3402"/>
            <w:vAlign w:val="center"/>
          </w:tcPr>
          <w:p>
            <w:pPr>
              <w:spacing w:after="60"/>
            </w:pPr>
            <w:r>
              <w:rPr>
                <w:sz w:val="19"/>
              </w:rPr>
              <w:t>Acceptance Criteria Reference</w:t>
            </w:r>
          </w:p>
        </w:tc>
        <w:tc>
          <w:tcPr>
            <w:tcW w:type="dxa" w:w="6236"/>
            <w:vAlign w:val="center"/>
          </w:tcPr>
          <w:p>
            <w:pPr>
              <w:spacing w:after="60"/>
            </w:pPr>
            <w:r>
              <w:rPr>
                <w:sz w:val="19"/>
              </w:rPr>
              <w:t>Section 10 + Deliverable-specific criteria (if any)</w:t>
            </w:r>
          </w:p>
        </w:tc>
      </w:tr>
      <w:tr>
        <w:tc>
          <w:tcPr>
            <w:tcW w:type="dxa" w:w="3402"/>
            <w:vAlign w:val="center"/>
          </w:tcPr>
          <w:p>
            <w:pPr>
              <w:spacing w:after="60"/>
            </w:pPr>
            <w:r>
              <w:rPr>
                <w:sz w:val="19"/>
              </w:rPr>
              <w:t>Evidence Provided</w:t>
            </w:r>
          </w:p>
        </w:tc>
        <w:tc>
          <w:tcPr>
            <w:tcW w:type="dxa" w:w="6236"/>
            <w:vAlign w:val="center"/>
          </w:tcPr>
          <w:p>
            <w:pPr>
              <w:spacing w:after="60"/>
            </w:pPr>
            <w:r>
              <w:rPr>
                <w:sz w:val="19"/>
              </w:rPr>
              <w:t>[Test results / demo link / documentation reference]</w:t>
            </w:r>
          </w:p>
        </w:tc>
      </w:tr>
      <w:tr>
        <w:tc>
          <w:tcPr>
            <w:tcW w:type="dxa" w:w="3402"/>
            <w:vAlign w:val="center"/>
          </w:tcPr>
          <w:p>
            <w:pPr>
              <w:spacing w:after="60"/>
            </w:pPr>
            <w:r>
              <w:rPr>
                <w:sz w:val="19"/>
              </w:rPr>
              <w:t>Decision</w:t>
            </w:r>
          </w:p>
        </w:tc>
        <w:tc>
          <w:tcPr>
            <w:tcW w:type="dxa" w:w="6236"/>
            <w:vAlign w:val="center"/>
          </w:tcPr>
          <w:p>
            <w:pPr>
              <w:spacing w:after="60"/>
            </w:pPr>
            <w:r>
              <w:rPr>
                <w:sz w:val="19"/>
              </w:rPr>
              <w:t>☐ Accepted   ☐ Accepted with comments   ☐ Rejected</w:t>
            </w:r>
          </w:p>
        </w:tc>
      </w:tr>
      <w:tr>
        <w:tc>
          <w:tcPr>
            <w:tcW w:type="dxa" w:w="3402"/>
            <w:vAlign w:val="center"/>
          </w:tcPr>
          <w:p>
            <w:pPr>
              <w:spacing w:after="60"/>
            </w:pPr>
            <w:r>
              <w:rPr>
                <w:sz w:val="19"/>
              </w:rPr>
              <w:t>Comments (if any)</w:t>
            </w:r>
          </w:p>
        </w:tc>
        <w:tc>
          <w:tcPr>
            <w:tcW w:type="dxa" w:w="6236"/>
            <w:vAlign w:val="center"/>
          </w:tcPr>
          <w:p>
            <w:pPr>
              <w:spacing w:after="60"/>
            </w:pPr>
            <w:r>
              <w:rPr>
                <w:sz w:val="19"/>
              </w:rPr>
              <w:t>[Free text]</w:t>
            </w:r>
          </w:p>
        </w:tc>
      </w:tr>
      <w:tr>
        <w:tc>
          <w:tcPr>
            <w:tcW w:type="dxa" w:w="3402"/>
            <w:vAlign w:val="center"/>
          </w:tcPr>
          <w:p>
            <w:pPr>
              <w:spacing w:after="60"/>
            </w:pPr>
            <w:r>
              <w:rPr>
                <w:sz w:val="19"/>
              </w:rPr>
              <w:t>Reviewed By (Client)</w:t>
            </w:r>
          </w:p>
        </w:tc>
        <w:tc>
          <w:tcPr>
            <w:tcW w:type="dxa" w:w="6236"/>
            <w:vAlign w:val="center"/>
          </w:tcPr>
          <w:p>
            <w:pPr>
              <w:spacing w:after="60"/>
            </w:pPr>
            <w:r>
              <w:rPr>
                <w:sz w:val="19"/>
              </w:rPr>
              <w:t>[Name / Title]</w:t>
            </w:r>
          </w:p>
        </w:tc>
      </w:tr>
      <w:tr>
        <w:tc>
          <w:tcPr>
            <w:tcW w:type="dxa" w:w="3402"/>
            <w:vAlign w:val="center"/>
          </w:tcPr>
          <w:p>
            <w:pPr>
              <w:spacing w:after="60"/>
            </w:pPr>
            <w:r>
              <w:rPr>
                <w:sz w:val="19"/>
              </w:rPr>
              <w:t>Date Reviewed</w:t>
            </w:r>
          </w:p>
        </w:tc>
        <w:tc>
          <w:tcPr>
            <w:tcW w:type="dxa" w:w="6236"/>
            <w:vAlign w:val="center"/>
          </w:tcPr>
          <w:p>
            <w:pPr>
              <w:spacing w:after="60"/>
            </w:pPr>
            <w:r>
              <w:rPr>
                <w:sz w:val="19"/>
              </w:rPr>
              <w:t>[Date]</w:t>
            </w:r>
          </w:p>
        </w:tc>
      </w:tr>
    </w:tbl>
    <w:p/>
    <w:p>
      <w:pPr>
        <w:pStyle w:val="Heading1"/>
      </w:pPr>
      <w:r>
        <w:t>Appendix B — Change Request Form (Template)</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2E4A"/>
            <w:vAlign w:val="center"/>
          </w:tcPr>
          <w:p>
            <w:pPr>
              <w:spacing w:after="60"/>
              <w:jc w:val="left"/>
            </w:pPr>
            <w:r>
              <w:rPr>
                <w:b/>
                <w:color w:val="FFFFFF"/>
                <w:sz w:val="19"/>
              </w:rPr>
              <w:t>Field</w:t>
            </w:r>
          </w:p>
        </w:tc>
        <w:tc>
          <w:tcPr>
            <w:tcW w:type="dxa" w:w="6236"/>
            <w:shd w:val="clear" w:color="auto" w:fill="1F2E4A"/>
            <w:vAlign w:val="center"/>
          </w:tcPr>
          <w:p>
            <w:pPr>
              <w:spacing w:after="60"/>
              <w:jc w:val="left"/>
            </w:pPr>
            <w:r>
              <w:rPr>
                <w:b/>
                <w:color w:val="FFFFFF"/>
                <w:sz w:val="19"/>
              </w:rPr>
              <w:t>Detail</w:t>
            </w:r>
          </w:p>
        </w:tc>
      </w:tr>
      <w:tr>
        <w:tc>
          <w:tcPr>
            <w:tcW w:type="dxa" w:w="3402"/>
            <w:vAlign w:val="center"/>
          </w:tcPr>
          <w:p>
            <w:pPr>
              <w:spacing w:after="60"/>
            </w:pPr>
            <w:r>
              <w:rPr>
                <w:sz w:val="19"/>
              </w:rPr>
              <w:t>Change Request No.</w:t>
            </w:r>
          </w:p>
        </w:tc>
        <w:tc>
          <w:tcPr>
            <w:tcW w:type="dxa" w:w="6236"/>
            <w:vAlign w:val="center"/>
          </w:tcPr>
          <w:p>
            <w:pPr>
              <w:spacing w:after="60"/>
            </w:pPr>
            <w:r>
              <w:rPr>
                <w:sz w:val="19"/>
              </w:rPr>
              <w:t>[CR-###]</w:t>
            </w:r>
          </w:p>
        </w:tc>
      </w:tr>
      <w:tr>
        <w:tc>
          <w:tcPr>
            <w:tcW w:type="dxa" w:w="3402"/>
            <w:vAlign w:val="center"/>
          </w:tcPr>
          <w:p>
            <w:pPr>
              <w:spacing w:after="60"/>
            </w:pPr>
            <w:r>
              <w:rPr>
                <w:sz w:val="19"/>
              </w:rPr>
              <w:t>Requested By</w:t>
            </w:r>
          </w:p>
        </w:tc>
        <w:tc>
          <w:tcPr>
            <w:tcW w:type="dxa" w:w="6236"/>
            <w:vAlign w:val="center"/>
          </w:tcPr>
          <w:p>
            <w:pPr>
              <w:spacing w:after="60"/>
            </w:pPr>
            <w:r>
              <w:rPr>
                <w:sz w:val="19"/>
              </w:rPr>
              <w:t>[Name / Organization]</w:t>
            </w:r>
          </w:p>
        </w:tc>
      </w:tr>
      <w:tr>
        <w:tc>
          <w:tcPr>
            <w:tcW w:type="dxa" w:w="3402"/>
            <w:vAlign w:val="center"/>
          </w:tcPr>
          <w:p>
            <w:pPr>
              <w:spacing w:after="60"/>
            </w:pPr>
            <w:r>
              <w:rPr>
                <w:sz w:val="19"/>
              </w:rPr>
              <w:t>Date Submitted</w:t>
            </w:r>
          </w:p>
        </w:tc>
        <w:tc>
          <w:tcPr>
            <w:tcW w:type="dxa" w:w="6236"/>
            <w:vAlign w:val="center"/>
          </w:tcPr>
          <w:p>
            <w:pPr>
              <w:spacing w:after="60"/>
            </w:pPr>
            <w:r>
              <w:rPr>
                <w:sz w:val="19"/>
              </w:rPr>
              <w:t>[Date]</w:t>
            </w:r>
          </w:p>
        </w:tc>
      </w:tr>
      <w:tr>
        <w:tc>
          <w:tcPr>
            <w:tcW w:type="dxa" w:w="3402"/>
            <w:vAlign w:val="center"/>
          </w:tcPr>
          <w:p>
            <w:pPr>
              <w:spacing w:after="60"/>
            </w:pPr>
            <w:r>
              <w:rPr>
                <w:sz w:val="19"/>
              </w:rPr>
              <w:t>Description of Requested Change</w:t>
            </w:r>
          </w:p>
        </w:tc>
        <w:tc>
          <w:tcPr>
            <w:tcW w:type="dxa" w:w="6236"/>
            <w:vAlign w:val="center"/>
          </w:tcPr>
          <w:p>
            <w:pPr>
              <w:spacing w:after="60"/>
            </w:pPr>
            <w:r>
              <w:rPr>
                <w:sz w:val="19"/>
              </w:rPr>
              <w:t>[Free text]</w:t>
            </w:r>
          </w:p>
        </w:tc>
      </w:tr>
      <w:tr>
        <w:tc>
          <w:tcPr>
            <w:tcW w:type="dxa" w:w="3402"/>
            <w:vAlign w:val="center"/>
          </w:tcPr>
          <w:p>
            <w:pPr>
              <w:spacing w:after="60"/>
            </w:pPr>
            <w:r>
              <w:rPr>
                <w:sz w:val="19"/>
              </w:rPr>
              <w:t>Business Rationale</w:t>
            </w:r>
          </w:p>
        </w:tc>
        <w:tc>
          <w:tcPr>
            <w:tcW w:type="dxa" w:w="6236"/>
            <w:vAlign w:val="center"/>
          </w:tcPr>
          <w:p>
            <w:pPr>
              <w:spacing w:after="60"/>
            </w:pPr>
            <w:r>
              <w:rPr>
                <w:sz w:val="19"/>
              </w:rPr>
              <w:t>[Free text]</w:t>
            </w:r>
          </w:p>
        </w:tc>
      </w:tr>
      <w:tr>
        <w:tc>
          <w:tcPr>
            <w:tcW w:type="dxa" w:w="3402"/>
            <w:vAlign w:val="center"/>
          </w:tcPr>
          <w:p>
            <w:pPr>
              <w:spacing w:after="60"/>
            </w:pPr>
            <w:r>
              <w:rPr>
                <w:sz w:val="19"/>
              </w:rPr>
              <w:t>Impact — Scope</w:t>
            </w:r>
          </w:p>
        </w:tc>
        <w:tc>
          <w:tcPr>
            <w:tcW w:type="dxa" w:w="6236"/>
            <w:vAlign w:val="center"/>
          </w:tcPr>
          <w:p>
            <w:pPr>
              <w:spacing w:after="60"/>
            </w:pPr>
            <w:r>
              <w:rPr>
                <w:sz w:val="19"/>
              </w:rPr>
              <w:t>[Free text]</w:t>
            </w:r>
          </w:p>
        </w:tc>
      </w:tr>
      <w:tr>
        <w:tc>
          <w:tcPr>
            <w:tcW w:type="dxa" w:w="3402"/>
            <w:vAlign w:val="center"/>
          </w:tcPr>
          <w:p>
            <w:pPr>
              <w:spacing w:after="60"/>
            </w:pPr>
            <w:r>
              <w:rPr>
                <w:sz w:val="19"/>
              </w:rPr>
              <w:t>Impact — Timeline</w:t>
            </w:r>
          </w:p>
        </w:tc>
        <w:tc>
          <w:tcPr>
            <w:tcW w:type="dxa" w:w="6236"/>
            <w:vAlign w:val="center"/>
          </w:tcPr>
          <w:p>
            <w:pPr>
              <w:spacing w:after="60"/>
            </w:pPr>
            <w:r>
              <w:rPr>
                <w:sz w:val="19"/>
              </w:rPr>
              <w:t>[e.g., +X weeks to Milestone Y]</w:t>
            </w:r>
          </w:p>
        </w:tc>
      </w:tr>
      <w:tr>
        <w:tc>
          <w:tcPr>
            <w:tcW w:type="dxa" w:w="3402"/>
            <w:vAlign w:val="center"/>
          </w:tcPr>
          <w:p>
            <w:pPr>
              <w:spacing w:after="60"/>
            </w:pPr>
            <w:r>
              <w:rPr>
                <w:sz w:val="19"/>
              </w:rPr>
              <w:t>Impact — Fees</w:t>
            </w:r>
          </w:p>
        </w:tc>
        <w:tc>
          <w:tcPr>
            <w:tcW w:type="dxa" w:w="6236"/>
            <w:vAlign w:val="center"/>
          </w:tcPr>
          <w:p>
            <w:pPr>
              <w:spacing w:after="60"/>
            </w:pPr>
            <w:r>
              <w:rPr>
                <w:sz w:val="19"/>
              </w:rPr>
              <w:t>[+/− Amount]</w:t>
            </w:r>
          </w:p>
        </w:tc>
      </w:tr>
      <w:tr>
        <w:tc>
          <w:tcPr>
            <w:tcW w:type="dxa" w:w="3402"/>
            <w:vAlign w:val="center"/>
          </w:tcPr>
          <w:p>
            <w:pPr>
              <w:spacing w:after="60"/>
            </w:pPr>
            <w:r>
              <w:rPr>
                <w:sz w:val="19"/>
              </w:rPr>
              <w:t>Impact — Risk</w:t>
            </w:r>
          </w:p>
        </w:tc>
        <w:tc>
          <w:tcPr>
            <w:tcW w:type="dxa" w:w="6236"/>
            <w:vAlign w:val="center"/>
          </w:tcPr>
          <w:p>
            <w:pPr>
              <w:spacing w:after="60"/>
            </w:pPr>
            <w:r>
              <w:rPr>
                <w:sz w:val="19"/>
              </w:rPr>
              <w:t>[Free text]</w:t>
            </w:r>
          </w:p>
        </w:tc>
      </w:tr>
      <w:tr>
        <w:tc>
          <w:tcPr>
            <w:tcW w:type="dxa" w:w="3402"/>
            <w:vAlign w:val="center"/>
          </w:tcPr>
          <w:p>
            <w:pPr>
              <w:spacing w:after="60"/>
            </w:pPr>
            <w:r>
              <w:rPr>
                <w:sz w:val="19"/>
              </w:rPr>
              <w:t>Approved By (ABC)</w:t>
            </w:r>
          </w:p>
        </w:tc>
        <w:tc>
          <w:tcPr>
            <w:tcW w:type="dxa" w:w="6236"/>
            <w:vAlign w:val="center"/>
          </w:tcPr>
          <w:p>
            <w:pPr>
              <w:spacing w:after="60"/>
            </w:pPr>
            <w:r>
              <w:rPr>
                <w:sz w:val="19"/>
              </w:rPr>
              <w:t>[Name / Signature / Date]</w:t>
            </w:r>
          </w:p>
        </w:tc>
      </w:tr>
      <w:tr>
        <w:tc>
          <w:tcPr>
            <w:tcW w:type="dxa" w:w="3402"/>
            <w:vAlign w:val="center"/>
          </w:tcPr>
          <w:p>
            <w:pPr>
              <w:spacing w:after="60"/>
            </w:pPr>
            <w:r>
              <w:rPr>
                <w:sz w:val="19"/>
              </w:rPr>
              <w:t>Approved By (Client)</w:t>
            </w:r>
          </w:p>
        </w:tc>
        <w:tc>
          <w:tcPr>
            <w:tcW w:type="dxa" w:w="6236"/>
            <w:vAlign w:val="center"/>
          </w:tcPr>
          <w:p>
            <w:pPr>
              <w:spacing w:after="60"/>
            </w:pPr>
            <w:r>
              <w:rPr>
                <w:sz w:val="19"/>
              </w:rPr>
              <w:t>[Name / Signature / Date]</w:t>
            </w:r>
          </w:p>
        </w:tc>
      </w:tr>
    </w:tbl>
    <w:p/>
    <w:p>
      <w:pPr>
        <w:pStyle w:val="Heading1"/>
      </w:pPr>
      <w:r>
        <w:t>Appendix C — Environment and Access Requirements</w:t>
      </w:r>
    </w:p>
    <w:p>
      <w:pPr>
        <w:spacing w:after="120"/>
      </w:pPr>
      <w:r>
        <w:rPr>
          <w:b w:val="0"/>
          <w:i w:val="0"/>
        </w:rPr>
        <w:t>The following access is required from Client to enable ABC to begin work. This list will be finalized and reconfirmed at Project Kick-off.</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F2E4A"/>
            <w:vAlign w:val="center"/>
          </w:tcPr>
          <w:p>
            <w:pPr>
              <w:spacing w:after="60"/>
              <w:jc w:val="left"/>
            </w:pPr>
            <w:r>
              <w:rPr>
                <w:b/>
                <w:color w:val="FFFFFF"/>
                <w:sz w:val="19"/>
              </w:rPr>
              <w:t>Item</w:t>
            </w:r>
          </w:p>
        </w:tc>
        <w:tc>
          <w:tcPr>
            <w:tcW w:type="dxa" w:w="5669"/>
            <w:shd w:val="clear" w:color="auto" w:fill="1F2E4A"/>
            <w:vAlign w:val="center"/>
          </w:tcPr>
          <w:p>
            <w:pPr>
              <w:spacing w:after="60"/>
              <w:jc w:val="left"/>
            </w:pPr>
            <w:r>
              <w:rPr>
                <w:b/>
                <w:color w:val="FFFFFF"/>
                <w:sz w:val="19"/>
              </w:rPr>
              <w:t>Detail</w:t>
            </w:r>
          </w:p>
        </w:tc>
        <w:tc>
          <w:tcPr>
            <w:tcW w:type="dxa" w:w="1701"/>
            <w:shd w:val="clear" w:color="auto" w:fill="1F2E4A"/>
            <w:vAlign w:val="center"/>
          </w:tcPr>
          <w:p>
            <w:pPr>
              <w:spacing w:after="60"/>
              <w:jc w:val="left"/>
            </w:pPr>
            <w:r>
              <w:rPr>
                <w:b/>
                <w:color w:val="FFFFFF"/>
                <w:sz w:val="19"/>
              </w:rPr>
              <w:t>Needed By</w:t>
            </w:r>
          </w:p>
        </w:tc>
      </w:tr>
      <w:tr>
        <w:tc>
          <w:tcPr>
            <w:tcW w:type="dxa" w:w="2268"/>
            <w:vAlign w:val="center"/>
          </w:tcPr>
          <w:p>
            <w:pPr>
              <w:spacing w:after="60"/>
            </w:pPr>
            <w:r>
              <w:rPr>
                <w:sz w:val="19"/>
              </w:rPr>
              <w:t>AWS Account(s)</w:t>
            </w:r>
          </w:p>
        </w:tc>
        <w:tc>
          <w:tcPr>
            <w:tcW w:type="dxa" w:w="5669"/>
            <w:vAlign w:val="center"/>
          </w:tcPr>
          <w:p>
            <w:pPr>
              <w:spacing w:after="60"/>
            </w:pPr>
            <w:r>
              <w:rPr>
                <w:sz w:val="19"/>
              </w:rPr>
              <w:t>Dev (immediately); Staging and Production accounts/organizational units provisioned ahead of Phase 4 rollout</w:t>
            </w:r>
          </w:p>
        </w:tc>
        <w:tc>
          <w:tcPr>
            <w:tcW w:type="dxa" w:w="1701"/>
            <w:vAlign w:val="center"/>
          </w:tcPr>
          <w:p>
            <w:pPr>
              <w:spacing w:after="60"/>
            </w:pPr>
            <w:r>
              <w:rPr>
                <w:sz w:val="19"/>
              </w:rPr>
              <w:t>Week 1 / Week 8</w:t>
            </w:r>
          </w:p>
        </w:tc>
      </w:tr>
      <w:tr>
        <w:tc>
          <w:tcPr>
            <w:tcW w:type="dxa" w:w="2268"/>
            <w:vAlign w:val="center"/>
          </w:tcPr>
          <w:p>
            <w:pPr>
              <w:spacing w:after="60"/>
            </w:pPr>
            <w:r>
              <w:rPr>
                <w:sz w:val="19"/>
              </w:rPr>
              <w:t>IAM Access</w:t>
            </w:r>
          </w:p>
        </w:tc>
        <w:tc>
          <w:tcPr>
            <w:tcW w:type="dxa" w:w="5669"/>
            <w:vAlign w:val="center"/>
          </w:tcPr>
          <w:p>
            <w:pPr>
              <w:spacing w:after="60"/>
            </w:pPr>
            <w:r>
              <w:rPr>
                <w:sz w:val="19"/>
              </w:rPr>
              <w:t>Sufficient privileges for ABC to provision the Terraform-managed resources listed in Section 5.1; federated CI/CD roles per Section 5.2 thereafter</w:t>
            </w:r>
          </w:p>
        </w:tc>
        <w:tc>
          <w:tcPr>
            <w:tcW w:type="dxa" w:w="1701"/>
            <w:vAlign w:val="center"/>
          </w:tcPr>
          <w:p>
            <w:pPr>
              <w:spacing w:after="60"/>
            </w:pPr>
            <w:r>
              <w:rPr>
                <w:sz w:val="19"/>
              </w:rPr>
              <w:t>Week 1</w:t>
            </w:r>
          </w:p>
        </w:tc>
      </w:tr>
      <w:tr>
        <w:tc>
          <w:tcPr>
            <w:tcW w:type="dxa" w:w="2268"/>
            <w:vAlign w:val="center"/>
          </w:tcPr>
          <w:p>
            <w:pPr>
              <w:spacing w:after="60"/>
            </w:pPr>
            <w:r>
              <w:rPr>
                <w:sz w:val="19"/>
              </w:rPr>
              <w:t>Source Control</w:t>
            </w:r>
          </w:p>
        </w:tc>
        <w:tc>
          <w:tcPr>
            <w:tcW w:type="dxa" w:w="5669"/>
            <w:vAlign w:val="center"/>
          </w:tcPr>
          <w:p>
            <w:pPr>
              <w:spacing w:after="60"/>
            </w:pPr>
            <w:r>
              <w:rPr>
                <w:sz w:val="19"/>
              </w:rPr>
              <w:t>Repository access for the ABC delivery team; ability to configure OIDC trust, Environments, and branch protections</w:t>
            </w:r>
          </w:p>
        </w:tc>
        <w:tc>
          <w:tcPr>
            <w:tcW w:type="dxa" w:w="1701"/>
            <w:vAlign w:val="center"/>
          </w:tcPr>
          <w:p>
            <w:pPr>
              <w:spacing w:after="60"/>
            </w:pPr>
            <w:r>
              <w:rPr>
                <w:sz w:val="19"/>
              </w:rPr>
              <w:t>Week 1</w:t>
            </w:r>
          </w:p>
        </w:tc>
      </w:tr>
      <w:tr>
        <w:tc>
          <w:tcPr>
            <w:tcW w:type="dxa" w:w="2268"/>
            <w:vAlign w:val="center"/>
          </w:tcPr>
          <w:p>
            <w:pPr>
              <w:spacing w:after="60"/>
            </w:pPr>
            <w:r>
              <w:rPr>
                <w:sz w:val="19"/>
              </w:rPr>
              <w:t>Amazon Bedrock Model Access</w:t>
            </w:r>
          </w:p>
        </w:tc>
        <w:tc>
          <w:tcPr>
            <w:tcW w:type="dxa" w:w="5669"/>
            <w:vAlign w:val="center"/>
          </w:tcPr>
          <w:p>
            <w:pPr>
              <w:spacing w:after="60"/>
            </w:pPr>
            <w:r>
              <w:rPr>
                <w:sz w:val="19"/>
              </w:rPr>
              <w:t>Confirmed access/quota to the target foundation model(s) in the chosen AWS region(s)</w:t>
            </w:r>
          </w:p>
        </w:tc>
        <w:tc>
          <w:tcPr>
            <w:tcW w:type="dxa" w:w="1701"/>
            <w:vAlign w:val="center"/>
          </w:tcPr>
          <w:p>
            <w:pPr>
              <w:spacing w:after="60"/>
            </w:pPr>
            <w:r>
              <w:rPr>
                <w:sz w:val="19"/>
              </w:rPr>
              <w:t>Week 1</w:t>
            </w:r>
          </w:p>
        </w:tc>
      </w:tr>
      <w:tr>
        <w:tc>
          <w:tcPr>
            <w:tcW w:type="dxa" w:w="2268"/>
            <w:vAlign w:val="center"/>
          </w:tcPr>
          <w:p>
            <w:pPr>
              <w:spacing w:after="60"/>
            </w:pPr>
            <w:r>
              <w:rPr>
                <w:sz w:val="19"/>
              </w:rPr>
              <w:t>Source Content</w:t>
            </w:r>
          </w:p>
        </w:tc>
        <w:tc>
          <w:tcPr>
            <w:tcW w:type="dxa" w:w="5669"/>
            <w:vAlign w:val="center"/>
          </w:tcPr>
          <w:p>
            <w:pPr>
              <w:spacing w:after="60"/>
            </w:pPr>
            <w:r>
              <w:rPr>
                <w:sz w:val="19"/>
              </w:rPr>
              <w:t>Initial and ongoing Client-approved content for Knowledge Base ingestion</w:t>
            </w:r>
          </w:p>
        </w:tc>
        <w:tc>
          <w:tcPr>
            <w:tcW w:type="dxa" w:w="1701"/>
            <w:vAlign w:val="center"/>
          </w:tcPr>
          <w:p>
            <w:pPr>
              <w:spacing w:after="60"/>
            </w:pPr>
            <w:r>
              <w:rPr>
                <w:sz w:val="19"/>
              </w:rPr>
              <w:t>Week 3, then ongoing</w:t>
            </w:r>
          </w:p>
        </w:tc>
      </w:tr>
      <w:tr>
        <w:tc>
          <w:tcPr>
            <w:tcW w:type="dxa" w:w="2268"/>
            <w:vAlign w:val="center"/>
          </w:tcPr>
          <w:p>
            <w:pPr>
              <w:spacing w:after="60"/>
            </w:pPr>
            <w:r>
              <w:rPr>
                <w:sz w:val="19"/>
              </w:rPr>
              <w:t>Communication Tooling</w:t>
            </w:r>
          </w:p>
        </w:tc>
        <w:tc>
          <w:tcPr>
            <w:tcW w:type="dxa" w:w="5669"/>
            <w:vAlign w:val="center"/>
          </w:tcPr>
          <w:p>
            <w:pPr>
              <w:spacing w:after="60"/>
            </w:pPr>
            <w:r>
              <w:rPr>
                <w:sz w:val="19"/>
              </w:rPr>
              <w:t>Access to Client's collaboration tools (chat, ticketing) as agreed at kick-off</w:t>
            </w:r>
          </w:p>
        </w:tc>
        <w:tc>
          <w:tcPr>
            <w:tcW w:type="dxa" w:w="1701"/>
            <w:vAlign w:val="center"/>
          </w:tcPr>
          <w:p>
            <w:pPr>
              <w:spacing w:after="60"/>
            </w:pPr>
            <w:r>
              <w:rPr>
                <w:sz w:val="19"/>
              </w:rPr>
              <w:t>Week 1</w:t>
            </w:r>
          </w:p>
        </w:tc>
      </w:tr>
    </w:tbl>
    <w:p/>
    <w:p>
      <w:pPr>
        <w:pStyle w:val="Heading1"/>
      </w:pPr>
      <w:r>
        <w:t>Appendix D — Glossary of Technical Terms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F2E4A"/>
            <w:vAlign w:val="center"/>
          </w:tcPr>
          <w:p>
            <w:pPr>
              <w:spacing w:after="60"/>
              <w:jc w:val="left"/>
            </w:pPr>
            <w:r>
              <w:rPr>
                <w:b/>
                <w:color w:val="FFFFFF"/>
                <w:sz w:val="19"/>
              </w:rPr>
              <w:t>Term</w:t>
            </w:r>
          </w:p>
        </w:tc>
        <w:tc>
          <w:tcPr>
            <w:tcW w:type="dxa" w:w="6803"/>
            <w:shd w:val="clear" w:color="auto" w:fill="1F2E4A"/>
            <w:vAlign w:val="center"/>
          </w:tcPr>
          <w:p>
            <w:pPr>
              <w:spacing w:after="60"/>
              <w:jc w:val="left"/>
            </w:pPr>
            <w:r>
              <w:rPr>
                <w:b/>
                <w:color w:val="FFFFFF"/>
                <w:sz w:val="19"/>
              </w:rPr>
              <w:t>Definition</w:t>
            </w:r>
          </w:p>
        </w:tc>
      </w:tr>
      <w:tr>
        <w:tc>
          <w:tcPr>
            <w:tcW w:type="dxa" w:w="2835"/>
            <w:vAlign w:val="center"/>
          </w:tcPr>
          <w:p>
            <w:pPr>
              <w:spacing w:after="60"/>
            </w:pPr>
            <w:r>
              <w:rPr>
                <w:sz w:val="19"/>
              </w:rPr>
              <w:t>AgentCore</w:t>
            </w:r>
          </w:p>
        </w:tc>
        <w:tc>
          <w:tcPr>
            <w:tcW w:type="dxa" w:w="6803"/>
            <w:vAlign w:val="center"/>
          </w:tcPr>
          <w:p>
            <w:pPr>
              <w:spacing w:after="60"/>
            </w:pPr>
            <w:r>
              <w:rPr>
                <w:sz w:val="19"/>
              </w:rPr>
              <w:t>Amazon Bedrock's managed platform for deploying, orchestrating, and operating AI agent workloads (Runtime, Gateway, and Memory services).</w:t>
            </w:r>
          </w:p>
        </w:tc>
      </w:tr>
      <w:tr>
        <w:tc>
          <w:tcPr>
            <w:tcW w:type="dxa" w:w="2835"/>
            <w:vAlign w:val="center"/>
          </w:tcPr>
          <w:p>
            <w:pPr>
              <w:spacing w:after="60"/>
            </w:pPr>
            <w:r>
              <w:rPr>
                <w:sz w:val="19"/>
              </w:rPr>
              <w:t>CI/CD</w:t>
            </w:r>
          </w:p>
        </w:tc>
        <w:tc>
          <w:tcPr>
            <w:tcW w:type="dxa" w:w="6803"/>
            <w:vAlign w:val="center"/>
          </w:tcPr>
          <w:p>
            <w:pPr>
              <w:spacing w:after="60"/>
            </w:pPr>
            <w:r>
              <w:rPr>
                <w:sz w:val="19"/>
              </w:rPr>
              <w:t>Continuous Integration / Continuous Deployment — automated pipelines for building, testing, and releasing software.</w:t>
            </w:r>
          </w:p>
        </w:tc>
      </w:tr>
      <w:tr>
        <w:tc>
          <w:tcPr>
            <w:tcW w:type="dxa" w:w="2835"/>
            <w:vAlign w:val="center"/>
          </w:tcPr>
          <w:p>
            <w:pPr>
              <w:spacing w:after="60"/>
            </w:pPr>
            <w:r>
              <w:rPr>
                <w:sz w:val="19"/>
              </w:rPr>
              <w:t>Grounding</w:t>
            </w:r>
          </w:p>
        </w:tc>
        <w:tc>
          <w:tcPr>
            <w:tcW w:type="dxa" w:w="6803"/>
            <w:vAlign w:val="center"/>
          </w:tcPr>
          <w:p>
            <w:pPr>
              <w:spacing w:after="60"/>
            </w:pPr>
            <w:r>
              <w:rPr>
                <w:sz w:val="19"/>
              </w:rPr>
              <w:t>The practice of ensuring AI-generated content is based on, and traceable to, approved source material rather than fabricated.</w:t>
            </w:r>
          </w:p>
        </w:tc>
      </w:tr>
      <w:tr>
        <w:tc>
          <w:tcPr>
            <w:tcW w:type="dxa" w:w="2835"/>
            <w:vAlign w:val="center"/>
          </w:tcPr>
          <w:p>
            <w:pPr>
              <w:spacing w:after="60"/>
            </w:pPr>
            <w:r>
              <w:rPr>
                <w:sz w:val="19"/>
              </w:rPr>
              <w:t>Infrastructure-as-Code (IaC)</w:t>
            </w:r>
          </w:p>
        </w:tc>
        <w:tc>
          <w:tcPr>
            <w:tcW w:type="dxa" w:w="6803"/>
            <w:vAlign w:val="center"/>
          </w:tcPr>
          <w:p>
            <w:pPr>
              <w:spacing w:after="60"/>
            </w:pPr>
            <w:r>
              <w:rPr>
                <w:sz w:val="19"/>
              </w:rPr>
              <w:t>Managing and provisioning infrastructure through machine-readable definition files (in this engagement, Terraform) rather than manual configuration.</w:t>
            </w:r>
          </w:p>
        </w:tc>
      </w:tr>
      <w:tr>
        <w:tc>
          <w:tcPr>
            <w:tcW w:type="dxa" w:w="2835"/>
            <w:vAlign w:val="center"/>
          </w:tcPr>
          <w:p>
            <w:pPr>
              <w:spacing w:after="60"/>
            </w:pPr>
            <w:r>
              <w:rPr>
                <w:sz w:val="19"/>
              </w:rPr>
              <w:t>Knowledge Base</w:t>
            </w:r>
          </w:p>
        </w:tc>
        <w:tc>
          <w:tcPr>
            <w:tcW w:type="dxa" w:w="6803"/>
            <w:vAlign w:val="center"/>
          </w:tcPr>
          <w:p>
            <w:pPr>
              <w:spacing w:after="60"/>
            </w:pPr>
            <w:r>
              <w:rPr>
                <w:sz w:val="19"/>
              </w:rPr>
              <w:t>A managed repository (Amazon Bedrock Knowledge Base) that stores and indexes source content for retrieval by the Solution.</w:t>
            </w:r>
          </w:p>
        </w:tc>
      </w:tr>
      <w:tr>
        <w:tc>
          <w:tcPr>
            <w:tcW w:type="dxa" w:w="2835"/>
            <w:vAlign w:val="center"/>
          </w:tcPr>
          <w:p>
            <w:pPr>
              <w:spacing w:after="60"/>
            </w:pPr>
            <w:r>
              <w:rPr>
                <w:sz w:val="19"/>
              </w:rPr>
              <w:t>LLM-as-a-Judge</w:t>
            </w:r>
          </w:p>
        </w:tc>
        <w:tc>
          <w:tcPr>
            <w:tcW w:type="dxa" w:w="6803"/>
            <w:vAlign w:val="center"/>
          </w:tcPr>
          <w:p>
            <w:pPr>
              <w:spacing w:after="60"/>
            </w:pPr>
            <w:r>
              <w:rPr>
                <w:sz w:val="19"/>
              </w:rPr>
              <w:t>An automated compliance-review pattern in which a large language model evaluates generated content against a defined rubric.</w:t>
            </w:r>
          </w:p>
        </w:tc>
      </w:tr>
      <w:tr>
        <w:tc>
          <w:tcPr>
            <w:tcW w:type="dxa" w:w="2835"/>
            <w:vAlign w:val="center"/>
          </w:tcPr>
          <w:p>
            <w:pPr>
              <w:spacing w:after="60"/>
            </w:pPr>
            <w:r>
              <w:rPr>
                <w:sz w:val="19"/>
              </w:rPr>
              <w:t>OIDC</w:t>
            </w:r>
          </w:p>
        </w:tc>
        <w:tc>
          <w:tcPr>
            <w:tcW w:type="dxa" w:w="6803"/>
            <w:vAlign w:val="center"/>
          </w:tcPr>
          <w:p>
            <w:pPr>
              <w:spacing w:after="60"/>
            </w:pPr>
            <w:r>
              <w:rPr>
                <w:sz w:val="19"/>
              </w:rPr>
              <w:t>OpenID Connect — an identity protocol used here to allow the CI/CD platform to authenticate to AWS without long-lived credentials.</w:t>
            </w:r>
          </w:p>
        </w:tc>
      </w:tr>
      <w:tr>
        <w:tc>
          <w:tcPr>
            <w:tcW w:type="dxa" w:w="2835"/>
            <w:vAlign w:val="center"/>
          </w:tcPr>
          <w:p>
            <w:pPr>
              <w:spacing w:after="60"/>
            </w:pPr>
            <w:r>
              <w:rPr>
                <w:sz w:val="19"/>
              </w:rPr>
              <w:t>RFP</w:t>
            </w:r>
          </w:p>
        </w:tc>
        <w:tc>
          <w:tcPr>
            <w:tcW w:type="dxa" w:w="6803"/>
            <w:vAlign w:val="center"/>
          </w:tcPr>
          <w:p>
            <w:pPr>
              <w:spacing w:after="60"/>
            </w:pPr>
            <w:r>
              <w:rPr>
                <w:sz w:val="19"/>
              </w:rPr>
              <w:t>Request for Proposal — a formal institutional request for information used as the primary input processed by the Solution.</w:t>
            </w:r>
          </w:p>
        </w:tc>
      </w:tr>
    </w:tbl>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Confidential — For the exclusive use of ABC Company and Client  |  Page </w:t>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ABC Company  |  Statement of Work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E4A"/>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C5F8A"/>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2E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