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b/>
          <w:bCs/>
          <w:color w:val="0A1628"/>
          <w:sz w:val="72"/>
          <w:szCs w:val="72"/>
        </w:rPr>
        <w:t xml:space="preserve">KOMBATIX</w:t>
      </w:r>
    </w:p>
    <w:p>
      <w:pPr>
        <w:spacing w:after="600" w:before="0"/>
      </w:pPr>
      <w:r>
        <w:rPr>
          <w:rFonts w:ascii="Arial" w:cs="Arial" w:eastAsia="Arial" w:hAnsi="Arial"/>
          <w:color w:val="2563EB"/>
          <w:sz w:val="40"/>
          <w:szCs w:val="40"/>
        </w:rPr>
        <w:t xml:space="preserve">Website Architecture v2</w:t>
      </w:r>
    </w:p>
    <w:p>
      <w:pPr>
        <w:spacing w:after="40" w:before="0"/>
      </w:pPr>
      <w:r>
        <w:rPr>
          <w:rFonts w:ascii="Arial" w:cs="Arial" w:eastAsia="Arial" w:hAnsi="Arial"/>
          <w:color w:val="6B7280"/>
          <w:sz w:val="22"/>
          <w:szCs w:val="22"/>
        </w:rPr>
        <w:t xml:space="preserve">Firebase Hosting  ·  Next.js Static Export  ·  Two-Product Architecture</w:t>
      </w:r>
    </w:p>
    <w:p>
      <w:pPr>
        <w:spacing w:after="40" w:before="0"/>
      </w:pPr>
      <w:r>
        <w:rPr>
          <w:rFonts w:ascii="Arial" w:cs="Arial" w:eastAsia="Arial" w:hAnsi="Arial"/>
          <w:color w:val="6B7280"/>
          <w:sz w:val="22"/>
          <w:szCs w:val="22"/>
        </w:rPr>
        <w:t xml:space="preserve">Stitch (Gemini 3 Pro)  ·  Nano Banana Pro Images  ·  HubSpot Forms API</w:t>
      </w:r>
    </w:p>
    <w:p>
      <w:pPr>
        <w:spacing w:after="600" w:before="0"/>
      </w:pPr>
      <w:r>
        <w:rPr>
          <w:rFonts w:ascii="Arial" w:cs="Arial" w:eastAsia="Arial" w:hAnsi="Arial"/>
          <w:color w:val="6B7280"/>
          <w:sz w:val="22"/>
          <w:szCs w:val="22"/>
        </w:rPr>
        <w:t xml:space="preserve">WordPress Blog on subdomain  ·  Lumis AI automation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250"/>
              <w:bottom w:type="dxa" w:w="200"/>
              <w:right w:type="dxa" w:w="250"/>
            </w:tcMar>
          </w:tcPr>
          <w:p>
            <w:pPr>
              <w:spacing w:after="120"/>
            </w:pPr>
            <w:r>
              <w:rPr>
                <w:rFonts w:ascii="Arial" w:cs="Arial" w:eastAsia="Arial" w:hAnsi="Arial"/>
                <w:b/>
                <w:bCs/>
                <w:color w:val="FFFFFF"/>
                <w:sz w:val="22"/>
                <w:szCs w:val="22"/>
              </w:rPr>
              <w:t xml:space="preserve">Confidential — Kombatix Inc.</w:t>
            </w:r>
          </w:p>
          <w:p>
            <w:r>
              <w:rPr>
                <w:rFonts w:ascii="Arial" w:cs="Arial" w:eastAsia="Arial" w:hAnsi="Arial"/>
                <w:color w:val="FFFFFF"/>
                <w:sz w:val="20"/>
                <w:szCs w:val="20"/>
              </w:rPr>
              <w:t xml:space="preserve">Prepared for the Claude Code build session. All content approved by Darrel Brown Jr. Changes from v1 summarized in Section 1.</w:t>
            </w:r>
          </w:p>
        </w:tc>
      </w:tr>
    </w:tbl>
    <w:p>
      <w:pPr>
        <w:spacing w:after="0" w:before="400"/>
      </w:pPr>
      <w:r>
        <w:t xml:space="preserve"/>
      </w:r>
    </w:p>
    <w:p>
      <w:r>
        <w:rPr>
          <w:rFonts w:ascii="Arial" w:cs="Arial" w:eastAsia="Arial" w:hAnsi="Arial"/>
          <w:color w:val="6B7280"/>
          <w:sz w:val="20"/>
          <w:szCs w:val="20"/>
        </w:rPr>
        <w:t xml:space="preserve">April 2026</w:t>
      </w:r>
    </w:p>
    <w:p>
      <w:pPr>
        <w:pageBreakBefore/>
      </w:pPr>
      <w:r>
        <w:t xml:space="preserve"/>
      </w:r>
    </w:p>
    <w:p>
      <w:pPr>
        <w:pBdr>
          <w:bottom w:val="single" w:color="2563EB" w:sz="18" w:space="4"/>
        </w:pBdr>
        <w:spacing w:after="200" w:before="400"/>
      </w:pPr>
      <w:r>
        <w:rPr>
          <w:rFonts w:ascii="Arial" w:cs="Arial" w:eastAsia="Arial" w:hAnsi="Arial"/>
          <w:b/>
          <w:bCs/>
          <w:color w:val="0A1628"/>
          <w:sz w:val="26"/>
          <w:szCs w:val="26"/>
        </w:rPr>
        <w:t xml:space="preserve">SECTION 1 — EXECUTIVE OVERVIEW</w:t>
      </w:r>
    </w:p>
    <w:p>
      <w:pPr>
        <w:spacing w:after="80" w:before="80"/>
      </w:pPr>
      <w:r>
        <w:rPr>
          <w:rFonts w:ascii="Arial" w:cs="Arial" w:eastAsia="Arial" w:hAnsi="Arial"/>
          <w:color w:val="111827"/>
          <w:sz w:val="20"/>
          <w:szCs w:val="20"/>
        </w:rPr>
        <w:t xml:space="preserve">This is the v2 architecture for the Kombatix marketing site, replacing the v1 draft produced in the Kombatix project chat. V1 was a good strategic skeleton but had several content gaps and outdated technical guidance. Every material change is listed below so the build agent does not accidentally regress to v1.</w:t>
      </w:r>
    </w:p>
    <w:p>
      <w:pPr>
        <w:spacing w:after="0" w:before="200"/>
      </w:pPr>
      <w:r>
        <w:t xml:space="preserve"/>
      </w:r>
    </w:p>
    <w:p>
      <w:pPr>
        <w:spacing w:after="120" w:before="300"/>
      </w:pPr>
      <w:r>
        <w:rPr>
          <w:rFonts w:ascii="Arial" w:cs="Arial" w:eastAsia="Arial" w:hAnsi="Arial"/>
          <w:b/>
          <w:bCs/>
          <w:color w:val="0A1628"/>
          <w:sz w:val="24"/>
          <w:szCs w:val="24"/>
        </w:rPr>
        <w:t xml:space="preserve">What Changed from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00"/>
        <w:gridCol w:w="4060"/>
      </w:tblGrid>
      <w:tr>
        <w:trPr>
          <w:tblHeader/>
        </w:trPr>
        <w:tc>
          <w:tcPr>
            <w:tcW w:type="dxa" w:w="16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Area</w:t>
            </w:r>
          </w:p>
        </w:tc>
        <w:tc>
          <w:tcPr>
            <w:tcW w:type="dxa" w:w="37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V1</w:t>
            </w:r>
          </w:p>
        </w:tc>
        <w:tc>
          <w:tcPr>
            <w:tcW w:type="dxa" w:w="406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V2</w:t>
            </w:r>
          </w:p>
        </w:tc>
      </w:tr>
      <w:tr>
        <w:tc>
          <w:tcPr>
            <w:tcW w:type="dxa" w:w="1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Products covered</w:t>
            </w:r>
          </w:p>
        </w:tc>
        <w:tc>
          <w:tcPr>
            <w:tcW w:type="dxa" w:w="37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Single product (friendly fraud scoring)</w:t>
            </w:r>
          </w:p>
        </w:tc>
        <w:tc>
          <w:tcPr>
            <w:tcW w:type="dxa" w:w="40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Two products — Kombatix Defense + Kombatix PreAuth</w:t>
            </w:r>
          </w:p>
        </w:tc>
      </w:tr>
      <w:tr>
        <w:tc>
          <w:tcPr>
            <w:tcW w:type="dxa" w:w="1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Sitemap</w:t>
            </w:r>
          </w:p>
        </w:tc>
        <w:tc>
          <w:tcPr>
            <w:tcW w:type="dxa" w:w="37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5 pages (Home, How It Works, Pricing, Partners, Blog)</w:t>
            </w:r>
          </w:p>
        </w:tc>
        <w:tc>
          <w:tcPr>
            <w:tcW w:type="dxa" w:w="40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8 pages (adds /defense, /preauth, /api)</w:t>
            </w:r>
          </w:p>
        </w:tc>
      </w:tr>
      <w:tr>
        <w:tc>
          <w:tcPr>
            <w:tcW w:type="dxa" w:w="1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Hosting</w:t>
            </w:r>
          </w:p>
        </w:tc>
        <w:tc>
          <w:tcPr>
            <w:tcW w:type="dxa" w:w="37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Firebase App Hosting (SSR via Cloud Run)</w:t>
            </w:r>
          </w:p>
        </w:tc>
        <w:tc>
          <w:tcPr>
            <w:tcW w:type="dxa" w:w="40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Firebase Hosting (static export, one Cloud Function)</w:t>
            </w:r>
          </w:p>
        </w:tc>
      </w:tr>
      <w:tr>
        <w:tc>
          <w:tcPr>
            <w:tcW w:type="dxa" w:w="1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Hero visual</w:t>
            </w:r>
          </w:p>
        </w:tc>
        <w:tc>
          <w:tcPr>
            <w:tcW w:type="dxa" w:w="37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AI-generated score dial image</w:t>
            </w:r>
          </w:p>
        </w:tc>
        <w:tc>
          <w:tcPr>
            <w:tcW w:type="dxa" w:w="40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Built React/SVG component with animated score demo</w:t>
            </w:r>
          </w:p>
        </w:tc>
      </w:tr>
      <w:tr>
        <w:tc>
          <w:tcPr>
            <w:tcW w:type="dxa" w:w="1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Stitch mode</w:t>
            </w:r>
          </w:p>
        </w:tc>
        <w:tc>
          <w:tcPr>
            <w:tcW w:type="dxa" w:w="37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Experimental (Gemini 2.5 Pro)</w:t>
            </w:r>
          </w:p>
        </w:tc>
        <w:tc>
          <w:tcPr>
            <w:tcW w:type="dxa" w:w="40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Gemini 3 Pro mode via MCP bridge to Claude Code</w:t>
            </w:r>
          </w:p>
        </w:tc>
      </w:tr>
      <w:tr>
        <w:tc>
          <w:tcPr>
            <w:tcW w:type="dxa" w:w="1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Images</w:t>
            </w:r>
          </w:p>
        </w:tc>
        <w:tc>
          <w:tcPr>
            <w:tcW w:type="dxa" w:w="37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All Nano Banana Flash</w:t>
            </w:r>
          </w:p>
        </w:tc>
        <w:tc>
          <w:tcPr>
            <w:tcW w:type="dxa" w:w="40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Nano Banana Pro for heroes; Flash only for Lumis batch</w:t>
            </w:r>
          </w:p>
        </w:tc>
      </w:tr>
      <w:tr>
        <w:tc>
          <w:tcPr>
            <w:tcW w:type="dxa" w:w="1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Forms</w:t>
            </w:r>
          </w:p>
        </w:tc>
        <w:tc>
          <w:tcPr>
            <w:tcW w:type="dxa" w:w="37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Generic contact form, no backend</w:t>
            </w:r>
          </w:p>
        </w:tc>
        <w:tc>
          <w:tcPr>
            <w:tcW w:type="dxa" w:w="40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HubSpot Forms API via Firebase Cloud Function</w:t>
            </w:r>
          </w:p>
        </w:tc>
      </w:tr>
      <w:tr>
        <w:tc>
          <w:tcPr>
            <w:tcW w:type="dxa" w:w="1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Network story</w:t>
            </w:r>
          </w:p>
        </w:tc>
        <w:tc>
          <w:tcPr>
            <w:tcW w:type="dxa" w:w="37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Not mentioned</w:t>
            </w:r>
          </w:p>
        </w:tc>
        <w:tc>
          <w:tcPr>
            <w:tcW w:type="dxa" w:w="40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Centerpiece — Defense contributes, PreAuth consumes</w:t>
            </w:r>
          </w:p>
        </w:tc>
      </w:tr>
      <w:tr>
        <w:tc>
          <w:tcPr>
            <w:tcW w:type="dxa" w:w="1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Customer proof</w:t>
            </w:r>
          </w:p>
        </w:tc>
        <w:tc>
          <w:tcPr>
            <w:tcW w:type="dxa" w:w="37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Generic outcomes</w:t>
            </w:r>
          </w:p>
        </w:tc>
        <w:tc>
          <w:tcPr>
            <w:tcW w:type="dxa" w:w="40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Anonymized specific metrics (10→5% refund, 40→80% wins)</w:t>
            </w:r>
          </w:p>
        </w:tc>
      </w:tr>
      <w:tr>
        <w:tc>
          <w:tcPr>
            <w:tcW w:type="dxa" w:w="1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AEO/SEO/GEO</w:t>
            </w:r>
          </w:p>
        </w:tc>
        <w:tc>
          <w:tcPr>
            <w:tcW w:type="dxa" w:w="37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Not addressed</w:t>
            </w:r>
          </w:p>
        </w:tc>
        <w:tc>
          <w:tcPr>
            <w:tcW w:type="dxa" w:w="40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Full stack — JSON-LD, llms.txt, FAQ schemas, bot allow rules</w:t>
            </w:r>
          </w:p>
        </w:tc>
      </w:tr>
      <w:tr>
        <w:tc>
          <w:tcPr>
            <w:tcW w:type="dxa" w:w="1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Analytics</w:t>
            </w:r>
          </w:p>
        </w:tc>
        <w:tc>
          <w:tcPr>
            <w:tcW w:type="dxa" w:w="37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Not specified</w:t>
            </w:r>
          </w:p>
        </w:tc>
        <w:tc>
          <w:tcPr>
            <w:tcW w:type="dxa" w:w="40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GA4 direct install, no GTM</w:t>
            </w:r>
          </w:p>
        </w:tc>
      </w:tr>
      <w:tr>
        <w:tc>
          <w:tcPr>
            <w:tcW w:type="dxa" w:w="1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Sub-60 pricing</w:t>
            </w:r>
          </w:p>
        </w:tc>
        <w:tc>
          <w:tcPr>
            <w:tcW w:type="dxa" w:w="37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Mentioned as 'free'</w:t>
            </w:r>
          </w:p>
        </w:tc>
        <w:tc>
          <w:tcPr>
            <w:tcW w:type="dxa" w:w="40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Framed as 'pay for actionable outcomes' — preserves flexibility</w:t>
            </w:r>
          </w:p>
        </w:tc>
      </w:tr>
      <w:tr>
        <w:tc>
          <w:tcPr>
            <w:tcW w:type="dxa" w:w="1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OmniScore</w:t>
            </w:r>
          </w:p>
        </w:tc>
        <w:tc>
          <w:tcPr>
            <w:tcW w:type="dxa" w:w="37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Mentioned as Engine 02 component</w:t>
            </w:r>
          </w:p>
        </w:tc>
        <w:tc>
          <w:tcPr>
            <w:tcW w:type="dxa" w:w="40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Removed entirely — Kount-owned term, cannot use</w:t>
            </w:r>
          </w:p>
        </w:tc>
      </w:tr>
      <w:tr>
        <w:tc>
          <w:tcPr>
            <w:tcW w:type="dxa" w:w="1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Stat citations</w:t>
            </w:r>
          </w:p>
        </w:tc>
        <w:tc>
          <w:tcPr>
            <w:tcW w:type="dxa" w:w="37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'$100B+' unsourced</w:t>
            </w:r>
          </w:p>
        </w:tc>
        <w:tc>
          <w:tcPr>
            <w:tcW w:type="dxa" w:w="40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Current-year sourced stat required; placeholder until sourced</w:t>
            </w:r>
          </w:p>
        </w:tc>
      </w:tr>
      <w:tr>
        <w:tc>
          <w:tcPr>
            <w:tcW w:type="dxa" w:w="1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Blog</w:t>
            </w:r>
          </w:p>
        </w:tc>
        <w:tc>
          <w:tcPr>
            <w:tcW w:type="dxa" w:w="37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Rebuild WordPress</w:t>
            </w:r>
          </w:p>
        </w:tc>
        <w:tc>
          <w:tcPr>
            <w:tcW w:type="dxa" w:w="40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Keep existing WP install on subdomain, hide non-blog pages</w:t>
            </w:r>
          </w:p>
        </w:tc>
      </w:tr>
    </w:tbl>
    <w:p>
      <w:pPr>
        <w:spacing w:after="0" w:before="200"/>
      </w:pPr>
      <w:r>
        <w:t xml:space="preserve"/>
      </w:r>
    </w:p>
    <w:p>
      <w:pPr>
        <w:spacing w:after="120" w:before="300"/>
      </w:pPr>
      <w:r>
        <w:rPr>
          <w:rFonts w:ascii="Arial" w:cs="Arial" w:eastAsia="Arial" w:hAnsi="Arial"/>
          <w:b/>
          <w:bCs/>
          <w:color w:val="0A1628"/>
          <w:sz w:val="24"/>
          <w:szCs w:val="24"/>
        </w:rPr>
        <w:t xml:space="preserve">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Layer</w:t>
            </w:r>
          </w:p>
        </w:tc>
        <w:tc>
          <w:tcPr>
            <w:tcW w:type="dxa" w:w="30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Choice</w:t>
            </w:r>
          </w:p>
        </w:tc>
        <w:tc>
          <w:tcPr>
            <w:tcW w:type="dxa" w:w="496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Rationale</w:t>
            </w:r>
          </w:p>
        </w:tc>
      </w:tr>
      <w:tr>
        <w:tc>
          <w:tcPr>
            <w:tcW w:type="dxa" w:w="14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Framework</w:t>
            </w:r>
          </w:p>
        </w:tc>
        <w:tc>
          <w:tcPr>
            <w:tcW w:type="dxa" w:w="30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Next.js (static export)</w:t>
            </w:r>
          </w:p>
        </w:tc>
        <w:tc>
          <w:tcPr>
            <w:tcW w:type="dxa" w:w="4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No SSR needed; fastest TTFB; free CDN delivery</w:t>
            </w:r>
          </w:p>
        </w:tc>
      </w:tr>
      <w:tr>
        <w:tc>
          <w:tcPr>
            <w:tcW w:type="dxa" w:w="14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Styling</w:t>
            </w:r>
          </w:p>
        </w:tc>
        <w:tc>
          <w:tcPr>
            <w:tcW w:type="dxa" w:w="30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Tailwind CSS</w:t>
            </w:r>
          </w:p>
        </w:tc>
        <w:tc>
          <w:tcPr>
            <w:tcW w:type="dxa" w:w="4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Direct control; no component library bloat</w:t>
            </w:r>
          </w:p>
        </w:tc>
      </w:tr>
      <w:tr>
        <w:tc>
          <w:tcPr>
            <w:tcW w:type="dxa" w:w="14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Hosting</w:t>
            </w:r>
          </w:p>
        </w:tc>
        <w:tc>
          <w:tcPr>
            <w:tcW w:type="dxa" w:w="30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Firebase Hosting</w:t>
            </w:r>
          </w:p>
        </w:tc>
        <w:tc>
          <w:tcPr>
            <w:tcW w:type="dxa" w:w="4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Static CDN; free tier covers this site easily</w:t>
            </w:r>
          </w:p>
        </w:tc>
      </w:tr>
      <w:tr>
        <w:tc>
          <w:tcPr>
            <w:tcW w:type="dxa" w:w="14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Dynamic</w:t>
            </w:r>
          </w:p>
        </w:tc>
        <w:tc>
          <w:tcPr>
            <w:tcW w:type="dxa" w:w="30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1x Firebase Cloud Function</w:t>
            </w:r>
          </w:p>
        </w:tc>
        <w:tc>
          <w:tcPr>
            <w:tcW w:type="dxa" w:w="4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Partner inquiry form → HubSpot Forms API</w:t>
            </w:r>
          </w:p>
        </w:tc>
      </w:tr>
      <w:tr>
        <w:tc>
          <w:tcPr>
            <w:tcW w:type="dxa" w:w="14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Analytics</w:t>
            </w:r>
          </w:p>
        </w:tc>
        <w:tc>
          <w:tcPr>
            <w:tcW w:type="dxa" w:w="30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GA4 (direct install)</w:t>
            </w:r>
          </w:p>
        </w:tc>
        <w:tc>
          <w:tcPr>
            <w:tcW w:type="dxa" w:w="4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No ads ever; GTM overhead unjustified</w:t>
            </w:r>
          </w:p>
        </w:tc>
      </w:tr>
      <w:tr>
        <w:tc>
          <w:tcPr>
            <w:tcW w:type="dxa" w:w="14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Design</w:t>
            </w:r>
          </w:p>
        </w:tc>
        <w:tc>
          <w:tcPr>
            <w:tcW w:type="dxa" w:w="30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Google Stitch (Gemini 3 Pro)</w:t>
            </w:r>
          </w:p>
        </w:tc>
        <w:tc>
          <w:tcPr>
            <w:tcW w:type="dxa" w:w="4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Stitch MCP bridge → Claude Code; skip Figma</w:t>
            </w:r>
          </w:p>
        </w:tc>
      </w:tr>
      <w:tr>
        <w:tc>
          <w:tcPr>
            <w:tcW w:type="dxa" w:w="14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Images</w:t>
            </w:r>
          </w:p>
        </w:tc>
        <w:tc>
          <w:tcPr>
            <w:tcW w:type="dxa" w:w="30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Nano Banana Pro for heroes</w:t>
            </w:r>
          </w:p>
        </w:tc>
        <w:tc>
          <w:tcPr>
            <w:tcW w:type="dxa" w:w="4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gemini-3-pro-image-preview for text/infographics</w:t>
            </w:r>
          </w:p>
        </w:tc>
      </w:tr>
      <w:tr>
        <w:tc>
          <w:tcPr>
            <w:tcW w:type="dxa" w:w="14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Images (batch)</w:t>
            </w:r>
          </w:p>
        </w:tc>
        <w:tc>
          <w:tcPr>
            <w:tcW w:type="dxa" w:w="30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Nano Banana Flash for Lumis</w:t>
            </w:r>
          </w:p>
        </w:tc>
        <w:tc>
          <w:tcPr>
            <w:tcW w:type="dxa" w:w="4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gemini-3.1-flash-image-preview for blog batch</w:t>
            </w:r>
          </w:p>
        </w:tc>
      </w:tr>
      <w:tr>
        <w:tc>
          <w:tcPr>
            <w:tcW w:type="dxa" w:w="14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Blog</w:t>
            </w:r>
          </w:p>
        </w:tc>
        <w:tc>
          <w:tcPr>
            <w:tcW w:type="dxa" w:w="30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WordPress on blog.kombatix.io</w:t>
            </w:r>
          </w:p>
        </w:tc>
        <w:tc>
          <w:tcPr>
            <w:tcW w:type="dxa" w:w="4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Existing install, subdomain only, non-blog pages hidden</w:t>
            </w:r>
          </w:p>
        </w:tc>
      </w:tr>
      <w:tr>
        <w:tc>
          <w:tcPr>
            <w:tcW w:type="dxa" w:w="14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Automation</w:t>
            </w:r>
          </w:p>
        </w:tc>
        <w:tc>
          <w:tcPr>
            <w:tcW w:type="dxa" w:w="30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Lumis AI (post-launch)</w:t>
            </w:r>
          </w:p>
        </w:tc>
        <w:tc>
          <w:tcPr>
            <w:tcW w:type="dxa" w:w="4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Daily AEO-optimized blog posts after main site stable</w:t>
            </w:r>
          </w:p>
        </w:tc>
      </w:tr>
    </w:tbl>
    <w:p>
      <w:pPr>
        <w:spacing w:after="0" w:before="200"/>
      </w:pPr>
      <w:r>
        <w:t xml:space="preserve"/>
      </w:r>
    </w:p>
    <w:p>
      <w:pPr>
        <w:spacing w:after="120" w:before="300"/>
      </w:pPr>
      <w:r>
        <w:rPr>
          <w:rFonts w:ascii="Arial" w:cs="Arial" w:eastAsia="Arial" w:hAnsi="Arial"/>
          <w:b/>
          <w:bCs/>
          <w:color w:val="0A1628"/>
          <w:sz w:val="24"/>
          <w:szCs w:val="24"/>
        </w:rPr>
        <w:t xml:space="preserve">Scope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In Scope</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Two product marketing pages (Defense + PreAuth); unified How It Works; two-product pricing; Partners landing; developer-facing API page; JSON-LD / llms.txt / full AEO surface; HubSpot Forms API integration via Cloud Function; GA4 install; WordPress blog subdomain configuration.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Out of Scope (this repo)</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The Kombatix application itself (AWS-hosted); full API reference documentation (logged-in portal); customer dashboard; billing; Intellitryx platform integrations; any admin/operational tooling.</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Deferred</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Lumis AI automated blog posting (turns on after main site is stable); named customer logos (requires permission sign-off); BigQuery export (enable later if revenue attribution becomes a priority).</w:t>
            </w:r>
          </w:p>
        </w:tc>
      </w:tr>
    </w:tbl>
    <w:p>
      <w:pPr>
        <w:pBdr>
          <w:bottom w:val="single" w:color="2563EB" w:sz="18" w:space="4"/>
        </w:pBdr>
        <w:spacing w:after="200" w:before="400"/>
      </w:pPr>
      <w:r>
        <w:rPr>
          <w:rFonts w:ascii="Arial" w:cs="Arial" w:eastAsia="Arial" w:hAnsi="Arial"/>
          <w:b/>
          <w:bCs/>
          <w:color w:val="0A1628"/>
          <w:sz w:val="26"/>
          <w:szCs w:val="26"/>
        </w:rPr>
        <w:t xml:space="preserve">SECTION 2 — SITEMAP &amp; NAVIGATION</w:t>
      </w:r>
    </w:p>
    <w:p>
      <w:pPr>
        <w:spacing w:after="80" w:before="80"/>
      </w:pPr>
      <w:r>
        <w:rPr>
          <w:rFonts w:ascii="Arial" w:cs="Arial" w:eastAsia="Arial" w:hAnsi="Arial"/>
          <w:color w:val="111827"/>
          <w:sz w:val="20"/>
          <w:szCs w:val="20"/>
        </w:rPr>
        <w:t xml:space="preserve">Global nav surfaces five primary items plus a persistent signup CTA. The Products dropdown is the structural change from v1 — it gives both products dedicated SEO surface area and room to add a third product later without restructuring.</w:t>
      </w:r>
    </w:p>
    <w:p>
      <w:pPr>
        <w:spacing w:after="0" w:before="200"/>
      </w:pPr>
      <w:r>
        <w:t xml:space="preserve"/>
      </w:r>
    </w:p>
    <w:p>
      <w:pPr>
        <w:spacing w:after="120" w:before="300"/>
      </w:pPr>
      <w:r>
        <w:rPr>
          <w:rFonts w:ascii="Arial" w:cs="Arial" w:eastAsia="Arial" w:hAnsi="Arial"/>
          <w:b/>
          <w:bCs/>
          <w:color w:val="0A1628"/>
          <w:sz w:val="24"/>
          <w:szCs w:val="24"/>
        </w:rPr>
        <w:t xml:space="preserve">Global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3760"/>
      </w:tblGrid>
      <w:tr>
        <w:trPr>
          <w:tblHeader/>
        </w:trPr>
        <w:tc>
          <w:tcPr>
            <w:tcW w:type="dxa" w:w="16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Nav Label</w:t>
            </w:r>
          </w:p>
        </w:tc>
        <w:tc>
          <w:tcPr>
            <w:tcW w:type="dxa" w:w="22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Route</w:t>
            </w:r>
          </w:p>
        </w:tc>
        <w:tc>
          <w:tcPr>
            <w:tcW w:type="dxa" w:w="18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Audience</w:t>
            </w:r>
          </w:p>
        </w:tc>
        <w:tc>
          <w:tcPr>
            <w:tcW w:type="dxa" w:w="376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Purpose</w:t>
            </w:r>
          </w:p>
        </w:tc>
      </w:tr>
      <w:tr>
        <w:tc>
          <w:tcPr>
            <w:tcW w:type="dxa" w:w="1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Products ▾</w:t>
            </w:r>
          </w:p>
        </w:tc>
        <w:tc>
          <w:tcPr>
            <w:tcW w:type="dxa" w:w="2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(dropdown)</w:t>
            </w:r>
          </w:p>
        </w:tc>
        <w:tc>
          <w:tcPr>
            <w:tcW w:type="dxa" w:w="1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All</w:t>
            </w:r>
          </w:p>
        </w:tc>
        <w:tc>
          <w:tcPr>
            <w:tcW w:type="dxa" w:w="37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Dropdown revealing Defense and PreAuth</w:t>
            </w:r>
          </w:p>
        </w:tc>
      </w:tr>
      <w:tr>
        <w:tc>
          <w:tcPr>
            <w:tcW w:type="dxa" w:w="1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 Defense</w:t>
            </w:r>
          </w:p>
        </w:tc>
        <w:tc>
          <w:tcPr>
            <w:tcW w:type="dxa" w:w="2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/defense</w:t>
            </w:r>
          </w:p>
        </w:tc>
        <w:tc>
          <w:tcPr>
            <w:tcW w:type="dxa" w:w="1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Merchant</w:t>
            </w:r>
          </w:p>
        </w:tc>
        <w:tc>
          <w:tcPr>
            <w:tcW w:type="dxa" w:w="37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Dispute-time scoring product page</w:t>
            </w:r>
          </w:p>
        </w:tc>
      </w:tr>
      <w:tr>
        <w:tc>
          <w:tcPr>
            <w:tcW w:type="dxa" w:w="1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 PreAuth</w:t>
            </w:r>
          </w:p>
        </w:tc>
        <w:tc>
          <w:tcPr>
            <w:tcW w:type="dxa" w:w="2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/preauth</w:t>
            </w:r>
          </w:p>
        </w:tc>
        <w:tc>
          <w:tcPr>
            <w:tcW w:type="dxa" w:w="1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Merchant</w:t>
            </w:r>
          </w:p>
        </w:tc>
        <w:tc>
          <w:tcPr>
            <w:tcW w:type="dxa" w:w="37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Pre-authorization screening product page</w:t>
            </w:r>
          </w:p>
        </w:tc>
      </w:tr>
      <w:tr>
        <w:tc>
          <w:tcPr>
            <w:tcW w:type="dxa" w:w="1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How It Works</w:t>
            </w:r>
          </w:p>
        </w:tc>
        <w:tc>
          <w:tcPr>
            <w:tcW w:type="dxa" w:w="2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/how-it-works</w:t>
            </w:r>
          </w:p>
        </w:tc>
        <w:tc>
          <w:tcPr>
            <w:tcW w:type="dxa" w:w="1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Merchant</w:t>
            </w:r>
          </w:p>
        </w:tc>
        <w:tc>
          <w:tcPr>
            <w:tcW w:type="dxa" w:w="37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Unified methodology + cost decision tree</w:t>
            </w:r>
          </w:p>
        </w:tc>
      </w:tr>
      <w:tr>
        <w:tc>
          <w:tcPr>
            <w:tcW w:type="dxa" w:w="1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Pricing</w:t>
            </w:r>
          </w:p>
        </w:tc>
        <w:tc>
          <w:tcPr>
            <w:tcW w:type="dxa" w:w="2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/pricing</w:t>
            </w:r>
          </w:p>
        </w:tc>
        <w:tc>
          <w:tcPr>
            <w:tcW w:type="dxa" w:w="1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Merchant</w:t>
            </w:r>
          </w:p>
        </w:tc>
        <w:tc>
          <w:tcPr>
            <w:tcW w:type="dxa" w:w="37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Two-product pricing with toggle</w:t>
            </w:r>
          </w:p>
        </w:tc>
      </w:tr>
      <w:tr>
        <w:tc>
          <w:tcPr>
            <w:tcW w:type="dxa" w:w="1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Partners</w:t>
            </w:r>
          </w:p>
        </w:tc>
        <w:tc>
          <w:tcPr>
            <w:tcW w:type="dxa" w:w="2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/partners</w:t>
            </w:r>
          </w:p>
        </w:tc>
        <w:tc>
          <w:tcPr>
            <w:tcW w:type="dxa" w:w="1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PSP / Platform / Acquirer</w:t>
            </w:r>
          </w:p>
        </w:tc>
        <w:tc>
          <w:tcPr>
            <w:tcW w:type="dxa" w:w="37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B2B partnership landing</w:t>
            </w:r>
          </w:p>
        </w:tc>
      </w:tr>
      <w:tr>
        <w:tc>
          <w:tcPr>
            <w:tcW w:type="dxa" w:w="1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API</w:t>
            </w:r>
          </w:p>
        </w:tc>
        <w:tc>
          <w:tcPr>
            <w:tcW w:type="dxa" w:w="2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/api</w:t>
            </w:r>
          </w:p>
        </w:tc>
        <w:tc>
          <w:tcPr>
            <w:tcW w:type="dxa" w:w="1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Developer</w:t>
            </w:r>
          </w:p>
        </w:tc>
        <w:tc>
          <w:tcPr>
            <w:tcW w:type="dxa" w:w="37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Public developer-facing landing (docs are gated)</w:t>
            </w:r>
          </w:p>
        </w:tc>
      </w:tr>
      <w:tr>
        <w:tc>
          <w:tcPr>
            <w:tcW w:type="dxa" w:w="1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Blog</w:t>
            </w:r>
          </w:p>
        </w:tc>
        <w:tc>
          <w:tcPr>
            <w:tcW w:type="dxa" w:w="2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blog.kombatix.io</w:t>
            </w:r>
          </w:p>
        </w:tc>
        <w:tc>
          <w:tcPr>
            <w:tcW w:type="dxa" w:w="1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All</w:t>
            </w:r>
          </w:p>
        </w:tc>
        <w:tc>
          <w:tcPr>
            <w:tcW w:type="dxa" w:w="37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Opens external WordPress subdomain</w:t>
            </w:r>
          </w:p>
        </w:tc>
      </w:tr>
      <w:tr>
        <w:tc>
          <w:tcPr>
            <w:tcW w:type="dxa" w:w="1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Sign Up →</w:t>
            </w:r>
          </w:p>
        </w:tc>
        <w:tc>
          <w:tcPr>
            <w:tcW w:type="dxa" w:w="2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app.kombatix.ai/signup</w:t>
            </w:r>
          </w:p>
        </w:tc>
        <w:tc>
          <w:tcPr>
            <w:tcW w:type="dxa" w:w="1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All</w:t>
            </w:r>
          </w:p>
        </w:tc>
        <w:tc>
          <w:tcPr>
            <w:tcW w:type="dxa" w:w="37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Persistent CTA button, top-right</w:t>
            </w:r>
          </w:p>
        </w:tc>
      </w:tr>
    </w:tbl>
    <w:p>
      <w:pPr>
        <w:spacing w:after="0" w:before="200"/>
      </w:pPr>
      <w:r>
        <w:t xml:space="preserve"/>
      </w:r>
    </w:p>
    <w:p>
      <w:pPr>
        <w:spacing w:after="120" w:before="300"/>
      </w:pPr>
      <w:r>
        <w:rPr>
          <w:rFonts w:ascii="Arial" w:cs="Arial" w:eastAsia="Arial" w:hAnsi="Arial"/>
          <w:b/>
          <w:bCs/>
          <w:color w:val="0A1628"/>
          <w:sz w:val="24"/>
          <w:szCs w:val="24"/>
        </w:rPr>
        <w:t xml:space="preserve">Footer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rPr>
          <w:tblHeader/>
        </w:trPr>
        <w:tc>
          <w:tcPr>
            <w:tcW w:type="dxa" w:w="24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Product</w:t>
            </w:r>
          </w:p>
        </w:tc>
        <w:tc>
          <w:tcPr>
            <w:tcW w:type="dxa" w:w="22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Company</w:t>
            </w:r>
          </w:p>
        </w:tc>
        <w:tc>
          <w:tcPr>
            <w:tcW w:type="dxa" w:w="24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Legal</w:t>
            </w:r>
          </w:p>
        </w:tc>
        <w:tc>
          <w:tcPr>
            <w:tcW w:type="dxa" w:w="236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Contact</w:t>
            </w:r>
          </w:p>
        </w:tc>
      </w:tr>
      <w:tr>
        <w:tc>
          <w:tcPr>
            <w:tcW w:type="dxa" w:w="24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Defense
PreAuth
How It Works
Pricing
API</w:t>
            </w:r>
          </w:p>
        </w:tc>
        <w:tc>
          <w:tcPr>
            <w:tcW w:type="dxa" w:w="2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Partners
Blog
Contact</w:t>
            </w:r>
          </w:p>
        </w:tc>
        <w:tc>
          <w:tcPr>
            <w:tcW w:type="dxa" w:w="24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Privacy Policy
Terms of Service
Opt-Out Preferences</w:t>
            </w:r>
          </w:p>
        </w:tc>
        <w:tc>
          <w:tcPr>
            <w:tcW w:type="dxa" w:w="23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operations@kombatix.io
Eagle, ID 83616</w:t>
            </w:r>
          </w:p>
        </w:tc>
      </w:tr>
    </w:tbl>
    <w:p>
      <w:pPr>
        <w:spacing w:after="0" w:before="200"/>
      </w:pPr>
      <w:r>
        <w:t xml:space="preserve"/>
      </w:r>
    </w:p>
    <w:p>
      <w:pPr>
        <w:spacing w:after="120" w:before="300"/>
      </w:pPr>
      <w:r>
        <w:rPr>
          <w:rFonts w:ascii="Arial" w:cs="Arial" w:eastAsia="Arial" w:hAnsi="Arial"/>
          <w:b/>
          <w:bCs/>
          <w:color w:val="0A1628"/>
          <w:sz w:val="24"/>
          <w:szCs w:val="24"/>
        </w:rPr>
        <w:t xml:space="preserve">Home Layout Principle</w:t>
      </w:r>
    </w:p>
    <w:p>
      <w:pPr>
        <w:spacing w:after="80" w:before="80"/>
      </w:pPr>
      <w:r>
        <w:rPr>
          <w:rFonts w:ascii="Arial" w:cs="Arial" w:eastAsia="Arial" w:hAnsi="Arial"/>
          <w:color w:val="111827"/>
          <w:sz w:val="20"/>
          <w:szCs w:val="20"/>
        </w:rPr>
        <w:t xml:space="preserve">The homepage tells the two-product story with a unified narrative — identity scoring at every stage of the fraud lifecycle. Hero introduces the umbrella positioning; two product panels immediately follow (Detect at pre-auth / Defend at dispute); Network Effect section explains the compounding data advantage; anonymized customer outcomes; pricing preview; partners teaser; footer CTA.</w:t>
      </w:r>
    </w:p>
    <w:p>
      <w:pPr>
        <w:pageBreakBefore/>
        <w:spacing w:after="120" w:before="400"/>
      </w:pPr>
      <w:r>
        <w:rPr>
          <w:rFonts w:ascii="Arial" w:cs="Arial" w:eastAsia="Arial" w:hAnsi="Arial"/>
          <w:b/>
          <w:bCs/>
          <w:color w:val="0A1628"/>
          <w:sz w:val="32"/>
          <w:szCs w:val="32"/>
        </w:rPr>
        <w:t xml:space="preserve">PAGE 1 — Home</w:t>
      </w:r>
      <w:r>
        <w:rPr>
          <w:rFonts w:ascii="Arial" w:cs="Arial" w:eastAsia="Arial" w:hAnsi="Arial"/>
          <w:color w:val="6B7280"/>
          <w:sz w:val="22"/>
          <w:szCs w:val="22"/>
        </w:rPr>
        <w:t xml:space="preserve">   ·   /</w:t>
      </w:r>
    </w:p>
    <w:p>
      <w:pPr>
        <w:spacing w:after="40" w:before="40"/>
      </w:pPr>
      <w:r>
        <w:rPr>
          <w:rFonts w:ascii="Arial" w:cs="Arial" w:eastAsia="Arial" w:hAnsi="Arial"/>
          <w:i/>
          <w:iCs/>
          <w:color w:val="6B7280"/>
          <w:sz w:val="18"/>
          <w:szCs w:val="18"/>
        </w:rPr>
        <w:t xml:space="preserve">Primary audience: Merchants  ·  Secondary: Partners (soft touch)  ·  Primary conversion: Defense signup</w:t>
      </w:r>
    </w:p>
    <w:p>
      <w:pPr>
        <w:spacing w:after="120" w:before="300"/>
      </w:pPr>
      <w:r>
        <w:rPr>
          <w:rFonts w:ascii="Arial" w:cs="Arial" w:eastAsia="Arial" w:hAnsi="Arial"/>
          <w:b/>
          <w:bCs/>
          <w:color w:val="0A1628"/>
          <w:sz w:val="24"/>
          <w:szCs w:val="24"/>
        </w:rPr>
        <w:t xml:space="preserve">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Layout</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Full-width dark navy hero, ~90vh on desktop. Logo top-left, nav top-right with persistent Sign Up button in accent blue. Hero content left-aligned, ~60% width. Right 40% reserved for the animated score dial component.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Eyebrow Tag</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REAL-TIME IDENTITY SCORING  ·  FROM PRE-AUTHORIZATION TO DISPUTE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Headline</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Know who you're fighting. Before you authorize, before you refund, before you pay out.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Subheadline</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Kombatix scores identity at every critical point — pre-authorization screening against a growing network of known friendly fraudsters, and dispute-time defense with composite scoring at the moment of contact. Stop paying for transactions and refunds you don't owe.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Primary CTA</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Start Free  →    (→ app.kombatix.ai/signup)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Secondary CTA</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See How It Works    (→ /how-it-works)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Hero Component</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b/>
                <w:bCs/>
                <w:sz w:val="20"/>
                <w:szCs w:val="20"/>
              </w:rPr>
              <w:t xml:space="preserve">Built React/SVG animated score dial — NOT an AI-generated image.</w:t>
            </w:r>
          </w:p>
          <w:p>
            <w:pPr>
              <w:spacing w:before="80"/>
            </w:pPr>
            <w:r>
              <w:rPr>
                <w:rFonts w:ascii="Arial" w:cs="Arial" w:eastAsia="Arial" w:hAnsi="Arial"/>
                <w:sz w:val="20"/>
                <w:szCs w:val="20"/>
              </w:rPr>
              <w:t xml:space="preserve">Cycles through 3 example dispute scenarios every ~4 seconds. Each scenario animates: input data fades in (dispute name, email, transaction email, address fields), score dial needle sweeps to composite score, reason badges fade in on the side. Scenarios: (1) clean friendly-fraud match, score 95, green; (2) mixed signals, score 62, amber; (3) likely true fraud, score 18, red. Accent blue primary color; score dial ring uses conic gradient red→amber→green. No external image; pure React + SVG + Framer Motion or CSS transitions.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Trust Bar</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Below hero fold — slim row: 'API-First  ·  REST Integration  ·  Self-Service Portal  ·  SOC 2 In Progress  ·  No Long-Term Contract'</w:t>
            </w:r>
          </w:p>
        </w:tc>
      </w:tr>
    </w:tbl>
    <w:p>
      <w:pPr>
        <w:spacing w:after="0" w:before="200"/>
      </w:pPr>
      <w:r>
        <w:t xml:space="preserve"/>
      </w:r>
    </w:p>
    <w:p>
      <w:pPr>
        <w:spacing w:after="120" w:before="300"/>
      </w:pPr>
      <w:r>
        <w:rPr>
          <w:rFonts w:ascii="Arial" w:cs="Arial" w:eastAsia="Arial" w:hAnsi="Arial"/>
          <w:b/>
          <w:bCs/>
          <w:color w:val="0A1628"/>
          <w:sz w:val="24"/>
          <w:szCs w:val="24"/>
        </w:rPr>
        <w:t xml:space="preserve">Two-Product Panel (Directly Below Hero)</w:t>
      </w:r>
    </w:p>
    <w:p>
      <w:pPr>
        <w:spacing w:after="80" w:before="80"/>
      </w:pPr>
      <w:r>
        <w:rPr>
          <w:rFonts w:ascii="Arial" w:cs="Arial" w:eastAsia="Arial" w:hAnsi="Arial"/>
          <w:color w:val="111827"/>
          <w:sz w:val="20"/>
          <w:szCs w:val="20"/>
        </w:rPr>
        <w:t xml:space="preserve">This is the single most important structural block on the site. It establishes that Kombatix is not one product but a full-lifecycle identity defense system. Two side-by-side cards, equal weight.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pPr>
              <w:spacing w:after="120"/>
            </w:pPr>
            <w:r>
              <w:rPr>
                <w:rFonts w:ascii="Arial" w:cs="Arial" w:eastAsia="Arial" w:hAnsi="Arial"/>
                <w:b/>
                <w:bCs/>
                <w:color w:val="0EA5E9"/>
                <w:sz w:val="16"/>
                <w:szCs w:val="16"/>
              </w:rPr>
              <w:t xml:space="preserve">PRE-AUTHORIZATION</w:t>
            </w:r>
          </w:p>
          <w:p>
            <w:pPr>
              <w:spacing w:after="120"/>
            </w:pPr>
            <w:r>
              <w:rPr>
                <w:rFonts w:ascii="Arial" w:cs="Arial" w:eastAsia="Arial" w:hAnsi="Arial"/>
                <w:b/>
                <w:bCs/>
                <w:color w:val="0A1628"/>
                <w:sz w:val="28"/>
                <w:szCs w:val="28"/>
              </w:rPr>
              <w:t xml:space="preserve">Kombatix PreAuth</w:t>
            </w:r>
          </w:p>
          <w:p>
            <w:pPr>
              <w:spacing w:after="120"/>
            </w:pPr>
            <w:r>
              <w:rPr>
                <w:rFonts w:ascii="Arial" w:cs="Arial" w:eastAsia="Arial" w:hAnsi="Arial"/>
                <w:sz w:val="20"/>
                <w:szCs w:val="20"/>
              </w:rPr>
              <w:t xml:space="preserve">Screen every transaction against the growing Kombatix network of confirmed friendly fraudsters — before you authorize. Lightweight API, millisecond response, fraction of a cent per no-hit check.</w:t>
            </w:r>
          </w:p>
          <w:p>
            <w:r>
              <w:rPr>
                <w:rFonts w:ascii="Arial" w:cs="Arial" w:eastAsia="Arial" w:hAnsi="Arial"/>
                <w:b/>
                <w:bCs/>
                <w:color w:val="2563EB"/>
                <w:sz w:val="20"/>
                <w:szCs w:val="20"/>
              </w:rPr>
              <w:t xml:space="preserve">Explore PreAuth  →</w:t>
            </w:r>
          </w:p>
        </w:tc>
        <w:tc>
          <w:tcPr>
            <w:tcW w:type="dxa" w:w="468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pPr>
              <w:spacing w:after="120"/>
            </w:pPr>
            <w:r>
              <w:rPr>
                <w:rFonts w:ascii="Arial" w:cs="Arial" w:eastAsia="Arial" w:hAnsi="Arial"/>
                <w:b/>
                <w:bCs/>
                <w:color w:val="0EA5E9"/>
                <w:sz w:val="16"/>
                <w:szCs w:val="16"/>
              </w:rPr>
              <w:t xml:space="preserve">DISPUTE DEFENSE</w:t>
            </w:r>
          </w:p>
          <w:p>
            <w:pPr>
              <w:spacing w:after="120"/>
            </w:pPr>
            <w:r>
              <w:rPr>
                <w:rFonts w:ascii="Arial" w:cs="Arial" w:eastAsia="Arial" w:hAnsi="Arial"/>
                <w:b/>
                <w:bCs/>
                <w:color w:val="0A1628"/>
                <w:sz w:val="28"/>
                <w:szCs w:val="28"/>
              </w:rPr>
              <w:t xml:space="preserve">Kombatix Defense</w:t>
            </w:r>
          </w:p>
          <w:p>
            <w:pPr>
              <w:spacing w:after="120"/>
            </w:pPr>
            <w:r>
              <w:rPr>
                <w:rFonts w:ascii="Arial" w:cs="Arial" w:eastAsia="Arial" w:hAnsi="Arial"/>
                <w:sz w:val="20"/>
                <w:szCs w:val="20"/>
              </w:rPr>
              <w:t xml:space="preserve">When a customer disputes a charge, score their identity in real-time against the original transaction. Three engines, one composite score, AI-generated evidence narrative — in milliseconds.</w:t>
            </w:r>
          </w:p>
          <w:p>
            <w:r>
              <w:rPr>
                <w:rFonts w:ascii="Arial" w:cs="Arial" w:eastAsia="Arial" w:hAnsi="Arial"/>
                <w:b/>
                <w:bCs/>
                <w:color w:val="2563EB"/>
                <w:sz w:val="20"/>
                <w:szCs w:val="20"/>
              </w:rPr>
              <w:t xml:space="preserve">Explore Defense  →</w:t>
            </w:r>
          </w:p>
        </w:tc>
      </w:tr>
    </w:tbl>
    <w:p>
      <w:pPr>
        <w:spacing w:after="0" w:before="200"/>
      </w:pPr>
      <w:r>
        <w:t xml:space="preserve"/>
      </w:r>
    </w:p>
    <w:p>
      <w:pPr>
        <w:spacing w:after="120" w:before="300"/>
      </w:pPr>
      <w:r>
        <w:rPr>
          <w:rFonts w:ascii="Arial" w:cs="Arial" w:eastAsia="Arial" w:hAnsi="Arial"/>
          <w:b/>
          <w:bCs/>
          <w:color w:val="0A1628"/>
          <w:sz w:val="24"/>
          <w:szCs w:val="24"/>
        </w:rPr>
        <w:t xml:space="preserve">The Problem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Section Label</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THE GAP IN THE FRAUD STACK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Headline</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Fraud prevention stops strangers. Chargeback tools fight disputes after they're filed. Nothing sits in the middle.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Body</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Your Kount or Signifyd catches the stolen credit card at checkout. Your Ethoca or Verifi alerts give you a window to resolve after a dispute is filed with the bank. But in between — when the authorized cardholder changes their mind, or exploits your refund policy, or disputes a legitimate purchase claiming it wasn't them — you have nothing. No score. No proof. No answer. You guess, or you refund.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Gap Diagram</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IMAGE-02: Three-zone horizontal flow. Zone 1 (Fraud Prevention — Kount, Signifyd, Stripe Radar). Zone 2 (GAP ZONE, dark highlighted, labeled 'Kombatix scores here'). Zone 3 (Chargeback Resolution — Ethoca, Verifi, Chargebacks911). Nano Banana Pro.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Sub-copy</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Kombatix fills the gap with real-time identity scoring at two critical moments: pre-authorization (PreAuth) screens against a known-fraudster network, and dispute-time (Defense) scores identity against the original transaction and returns a 0–100 composite score you can act on.</w:t>
            </w:r>
          </w:p>
        </w:tc>
      </w:tr>
    </w:tbl>
    <w:p>
      <w:pPr>
        <w:spacing w:after="0" w:before="200"/>
      </w:pPr>
      <w:r>
        <w:t xml:space="preserve"/>
      </w:r>
    </w:p>
    <w:p>
      <w:pPr>
        <w:spacing w:after="120" w:before="300"/>
      </w:pPr>
      <w:r>
        <w:rPr>
          <w:rFonts w:ascii="Arial" w:cs="Arial" w:eastAsia="Arial" w:hAnsi="Arial"/>
          <w:b/>
          <w:bCs/>
          <w:color w:val="0A1628"/>
          <w:sz w:val="24"/>
          <w:szCs w:val="24"/>
        </w:rPr>
        <w:t xml:space="preserve">The Kombatix Network Section (Differentiator)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250"/>
              <w:bottom w:type="dxa" w:w="200"/>
              <w:right w:type="dxa" w:w="250"/>
            </w:tcMar>
          </w:tcPr>
          <w:p>
            <w:pPr>
              <w:spacing w:after="120"/>
            </w:pPr>
            <w:r>
              <w:rPr>
                <w:rFonts w:ascii="Arial" w:cs="Arial" w:eastAsia="Arial" w:hAnsi="Arial"/>
                <w:b/>
                <w:bCs/>
                <w:color w:val="FFFFFF"/>
                <w:sz w:val="22"/>
                <w:szCs w:val="22"/>
              </w:rPr>
              <w:t xml:space="preserve">Every Defense customer strengthens every PreAuth customer.</w:t>
            </w:r>
          </w:p>
          <w:p>
            <w:r>
              <w:rPr>
                <w:rFonts w:ascii="Arial" w:cs="Arial" w:eastAsia="Arial" w:hAnsi="Arial"/>
                <w:color w:val="FFFFFF"/>
                <w:sz w:val="20"/>
                <w:szCs w:val="20"/>
              </w:rPr>
              <w:t xml:space="preserve">When a Kombatix Defense score confirms friendly fraud, that identity joins the Kombatix Network — the shared database every PreAuth customer screens against. The more merchants in the network, the more friendly fraudsters caught at pre-auth, before the transaction completes. This is a flywheel, not a feature.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Network Diagram</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IMAGE-08: Two concentric rings. Outer ring shows merchants contributing dispute data to a central identity graph (Defense). Inner arrows flow back outward to merchants screening transactions (PreAuth). Central graph pulsing with activity. Dark bg, accent blue for contribution flow, teal for consumption flow. Nano Banana Pro.</w:t>
            </w:r>
          </w:p>
        </w:tc>
      </w:tr>
    </w:tbl>
    <w:p>
      <w:pPr>
        <w:spacing w:after="0" w:before="200"/>
      </w:pPr>
      <w:r>
        <w:t xml:space="preserve"/>
      </w:r>
    </w:p>
    <w:p>
      <w:pPr>
        <w:spacing w:after="120" w:before="300"/>
      </w:pPr>
      <w:r>
        <w:rPr>
          <w:rFonts w:ascii="Arial" w:cs="Arial" w:eastAsia="Arial" w:hAnsi="Arial"/>
          <w:b/>
          <w:bCs/>
          <w:color w:val="0A1628"/>
          <w:sz w:val="24"/>
          <w:szCs w:val="24"/>
        </w:rPr>
        <w:t xml:space="preserve">Customer Outcome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Section Label</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PROVEN IN PRODUCTION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Intro</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A leading digital subscription company — 500+ daily paying subscribers, friendly fraud as their #1 chargeback reason — integrated Kombatix Defense at two points in their support workflow.</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4"/>
              <w:left w:val="single" w:color="D1D5DB" w:sz="4"/>
              <w:bottom w:val="single" w:color="D1D5DB" w:sz="4"/>
              <w:right w:val="single" w:color="D1D5DB" w:sz="4"/>
            </w:tcBorders>
            <w:shd w:fill="0A1628" w:val="clear"/>
            <w:tcMar>
              <w:top w:type="dxa" w:w="200"/>
              <w:left w:type="dxa" w:w="200"/>
              <w:bottom w:type="dxa" w:w="200"/>
              <w:right w:type="dxa" w:w="200"/>
            </w:tcMar>
            <w:vAlign w:val="top"/>
          </w:tcPr>
          <w:p>
            <w:pPr>
              <w:spacing w:after="120"/>
            </w:pPr>
            <w:r>
              <w:rPr>
                <w:rFonts w:ascii="Arial" w:cs="Arial" w:eastAsia="Arial" w:hAnsi="Arial"/>
                <w:b/>
                <w:bCs/>
                <w:color w:val="FFFFFF"/>
                <w:sz w:val="20"/>
                <w:szCs w:val="20"/>
              </w:rPr>
              <w:t xml:space="preserve">Refund Rate: 10% → 5%</w:t>
            </w:r>
          </w:p>
          <w:p>
            <w:r>
              <w:rPr>
                <w:rFonts w:ascii="Arial" w:cs="Arial" w:eastAsia="Arial" w:hAnsi="Arial"/>
                <w:color w:val="FFFFFF"/>
                <w:sz w:val="18"/>
                <w:szCs w:val="18"/>
              </w:rPr>
              <w:t xml:space="preserve">Support agents run disputing customers through Defense at first contact. Agents deflect confirmed friendly fraud using the AI-generated defense narrative. Refund requests cut in half.</w:t>
            </w:r>
          </w:p>
        </w:tc>
        <w:tc>
          <w:tcPr>
            <w:tcW w:type="dxa" w:w="3120"/>
            <w:tcBorders>
              <w:top w:val="single" w:color="D1D5DB" w:sz="4"/>
              <w:left w:val="single" w:color="D1D5DB" w:sz="4"/>
              <w:bottom w:val="single" w:color="D1D5DB" w:sz="4"/>
              <w:right w:val="single" w:color="D1D5DB" w:sz="4"/>
            </w:tcBorders>
            <w:shd w:fill="0A1628" w:val="clear"/>
            <w:tcMar>
              <w:top w:type="dxa" w:w="200"/>
              <w:left w:type="dxa" w:w="200"/>
              <w:bottom w:type="dxa" w:w="200"/>
              <w:right w:type="dxa" w:w="200"/>
            </w:tcMar>
            <w:vAlign w:val="top"/>
          </w:tcPr>
          <w:p>
            <w:pPr>
              <w:spacing w:after="120"/>
            </w:pPr>
            <w:r>
              <w:rPr>
                <w:rFonts w:ascii="Arial" w:cs="Arial" w:eastAsia="Arial" w:hAnsi="Arial"/>
                <w:b/>
                <w:bCs/>
                <w:color w:val="FFFFFF"/>
                <w:sz w:val="20"/>
                <w:szCs w:val="20"/>
              </w:rPr>
              <w:t xml:space="preserve">Post-Contact Disputes: −60%</w:t>
            </w:r>
          </w:p>
          <w:p>
            <w:r>
              <w:rPr>
                <w:rFonts w:ascii="Arial" w:cs="Arial" w:eastAsia="Arial" w:hAnsi="Arial"/>
                <w:color w:val="FFFFFF"/>
                <w:sz w:val="18"/>
                <w:szCs w:val="18"/>
              </w:rPr>
              <w:t xml:space="preserve">Customers told 'your identity was verified against the original purchase' rarely escalate to their bank. Post-contact dispute volume dropped by 60% in the first 60 days.</w:t>
            </w:r>
          </w:p>
        </w:tc>
        <w:tc>
          <w:tcPr>
            <w:tcW w:type="dxa" w:w="3120"/>
            <w:tcBorders>
              <w:top w:val="single" w:color="D1D5DB" w:sz="4"/>
              <w:left w:val="single" w:color="D1D5DB" w:sz="4"/>
              <w:bottom w:val="single" w:color="D1D5DB" w:sz="4"/>
              <w:right w:val="single" w:color="D1D5DB" w:sz="4"/>
            </w:tcBorders>
            <w:shd w:fill="0A1628" w:val="clear"/>
            <w:tcMar>
              <w:top w:type="dxa" w:w="200"/>
              <w:left w:type="dxa" w:w="200"/>
              <w:bottom w:type="dxa" w:w="200"/>
              <w:right w:type="dxa" w:w="200"/>
            </w:tcMar>
            <w:vAlign w:val="top"/>
          </w:tcPr>
          <w:p>
            <w:pPr>
              <w:spacing w:after="120"/>
            </w:pPr>
            <w:r>
              <w:rPr>
                <w:rFonts w:ascii="Arial" w:cs="Arial" w:eastAsia="Arial" w:hAnsi="Arial"/>
                <w:b/>
                <w:bCs/>
                <w:color w:val="FFFFFF"/>
                <w:sz w:val="20"/>
                <w:szCs w:val="20"/>
              </w:rPr>
              <w:t xml:space="preserve">Representment Wins: 40% → 80%</w:t>
            </w:r>
          </w:p>
          <w:p>
            <w:r>
              <w:rPr>
                <w:rFonts w:ascii="Arial" w:cs="Arial" w:eastAsia="Arial" w:hAnsi="Arial"/>
                <w:color w:val="FFFFFF"/>
                <w:sz w:val="18"/>
                <w:szCs w:val="18"/>
              </w:rPr>
              <w:t xml:space="preserve">Every fraud-coded chargeback receives a Kombatix report when the score falls in the friendly fraud range. Overall representment win rate doubled.</w:t>
            </w:r>
          </w:p>
        </w:tc>
      </w:tr>
    </w:tbl>
    <w:p>
      <w:pPr>
        <w:spacing w:after="0" w:before="100"/>
      </w:pPr>
      <w:r>
        <w:t xml:space="preserve"/>
      </w:r>
    </w:p>
    <w:p>
      <w:pPr>
        <w:spacing w:after="40" w:before="40"/>
      </w:pPr>
      <w:r>
        <w:rPr>
          <w:rFonts w:ascii="Arial" w:cs="Arial" w:eastAsia="Arial" w:hAnsi="Arial"/>
          <w:i/>
          <w:iCs/>
          <w:color w:val="6B7280"/>
          <w:sz w:val="18"/>
          <w:szCs w:val="18"/>
        </w:rPr>
        <w:t xml:space="preserve">Customer anonymized; metrics verified from production API usage. Named-customer logos and case studies will be published as permissions are secured.</w:t>
      </w:r>
    </w:p>
    <w:p>
      <w:pPr>
        <w:spacing w:after="0" w:before="200"/>
      </w:pPr>
      <w:r>
        <w:t xml:space="preserve"/>
      </w:r>
    </w:p>
    <w:p>
      <w:pPr>
        <w:spacing w:after="120" w:before="300"/>
      </w:pPr>
      <w:r>
        <w:rPr>
          <w:rFonts w:ascii="Arial" w:cs="Arial" w:eastAsia="Arial" w:hAnsi="Arial"/>
          <w:b/>
          <w:bCs/>
          <w:color w:val="0A1628"/>
          <w:sz w:val="24"/>
          <w:szCs w:val="24"/>
        </w:rPr>
        <w:t xml:space="preserve">Pricing Preview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Headline</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Two products. Transparent pricing. No long-term contracts.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Preview Layout</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Two-column preview — left column 'PreAuth from $49/month', right column 'Defense from $75/month'. Each with 3-bullet feature summary and 'View PreAuth Pricing →' / 'View Defense Pricing →' links.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Sub-copy</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API key and documentation delivered within 4 business hours of signup. Self-service developer portal available immediately.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CTA</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See Full Pricing  →    (/pricing)</w:t>
            </w:r>
          </w:p>
        </w:tc>
      </w:tr>
    </w:tbl>
    <w:p>
      <w:pPr>
        <w:spacing w:after="0" w:before="200"/>
      </w:pPr>
      <w:r>
        <w:t xml:space="preserve"/>
      </w:r>
    </w:p>
    <w:p>
      <w:pPr>
        <w:spacing w:after="120" w:before="300"/>
      </w:pPr>
      <w:r>
        <w:rPr>
          <w:rFonts w:ascii="Arial" w:cs="Arial" w:eastAsia="Arial" w:hAnsi="Arial"/>
          <w:b/>
          <w:bCs/>
          <w:color w:val="0A1628"/>
          <w:sz w:val="24"/>
          <w:szCs w:val="24"/>
        </w:rPr>
        <w:t xml:space="preserve">Partners Teaser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Section Label</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BUILT FOR SCALE — PARTNERSHIP READY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Copy</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Payment processors, fraud platforms, and acquirers embed Kombatix scoring into their dispute workflows and pre-auth decisioning. Every partner integration expands the Kombatix Network — more data, more caught fraudsters, stronger outcomes for every customer.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CTA</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Learn About Partnerships  →    (/partners)</w:t>
            </w:r>
          </w:p>
        </w:tc>
      </w:tr>
    </w:tbl>
    <w:p>
      <w:pPr>
        <w:spacing w:after="0" w:before="200"/>
      </w:pPr>
      <w:r>
        <w:t xml:space="preserve"/>
      </w:r>
    </w:p>
    <w:p>
      <w:pPr>
        <w:spacing w:after="120" w:before="300"/>
      </w:pPr>
      <w:r>
        <w:rPr>
          <w:rFonts w:ascii="Arial" w:cs="Arial" w:eastAsia="Arial" w:hAnsi="Arial"/>
          <w:b/>
          <w:bCs/>
          <w:color w:val="0A1628"/>
          <w:sz w:val="24"/>
          <w:szCs w:val="24"/>
        </w:rPr>
        <w:t xml:space="preserve">Partner Logos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Treatment</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Below Partners Teaser, centered, muted opacity. Two-tier treatment — 'Trusted by' [PeopleFinders logo] and 'Powered by' / 'Authorized Reseller' [Kount / Equifax logo]. Do not mix the two tiers into a single undifferentiated strip; that's misleading.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Reuse Assets</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PeopleFinders logo — confirmed permission. Kount/Equifax logo — confirm authorized-reseller marketing toolkit before ship. If Equifax has not confirmed, ship with PeopleFinders only.</w:t>
            </w:r>
          </w:p>
        </w:tc>
      </w:tr>
    </w:tbl>
    <w:p>
      <w:pPr>
        <w:spacing w:after="0" w:before="200"/>
      </w:pPr>
      <w:r>
        <w:t xml:space="preserve"/>
      </w:r>
    </w:p>
    <w:p>
      <w:pPr>
        <w:spacing w:after="120" w:before="300"/>
      </w:pPr>
      <w:r>
        <w:rPr>
          <w:rFonts w:ascii="Arial" w:cs="Arial" w:eastAsia="Arial" w:hAnsi="Arial"/>
          <w:b/>
          <w:bCs/>
          <w:color w:val="0A1628"/>
          <w:sz w:val="24"/>
          <w:szCs w:val="24"/>
        </w:rPr>
        <w:t xml:space="preserve">Footer CTA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Copy</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Stop guessing. Start scoring.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Layout</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Full-width dark navy band. Large white headline left, accent blue button right.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CTA</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Create Your Free Account  →    (app.kombatix.ai/signup)</w:t>
            </w:r>
          </w:p>
        </w:tc>
      </w:tr>
    </w:tbl>
    <w:p>
      <w:pPr>
        <w:pageBreakBefore/>
        <w:spacing w:after="120" w:before="400"/>
      </w:pPr>
      <w:r>
        <w:rPr>
          <w:rFonts w:ascii="Arial" w:cs="Arial" w:eastAsia="Arial" w:hAnsi="Arial"/>
          <w:b/>
          <w:bCs/>
          <w:color w:val="0A1628"/>
          <w:sz w:val="32"/>
          <w:szCs w:val="32"/>
        </w:rPr>
        <w:t xml:space="preserve">PAGE 2 — Kombatix Defense</w:t>
      </w:r>
      <w:r>
        <w:rPr>
          <w:rFonts w:ascii="Arial" w:cs="Arial" w:eastAsia="Arial" w:hAnsi="Arial"/>
          <w:color w:val="6B7280"/>
          <w:sz w:val="22"/>
          <w:szCs w:val="22"/>
        </w:rPr>
        <w:t xml:space="preserve">   ·   /defense</w:t>
      </w:r>
    </w:p>
    <w:p>
      <w:pPr>
        <w:spacing w:after="40" w:before="40"/>
      </w:pPr>
      <w:r>
        <w:rPr>
          <w:rFonts w:ascii="Arial" w:cs="Arial" w:eastAsia="Arial" w:hAnsi="Arial"/>
          <w:i/>
          <w:iCs/>
          <w:color w:val="6B7280"/>
          <w:sz w:val="18"/>
          <w:szCs w:val="18"/>
        </w:rPr>
        <w:t xml:space="preserve">Primary audience: Merchants with chargeback/friendly-fraud pain  ·  Primary conversion: signup</w:t>
      </w:r>
    </w:p>
    <w:p>
      <w:pPr>
        <w:spacing w:after="120" w:before="300"/>
      </w:pPr>
      <w:r>
        <w:rPr>
          <w:rFonts w:ascii="Arial" w:cs="Arial" w:eastAsia="Arial" w:hAnsi="Arial"/>
          <w:b/>
          <w:bCs/>
          <w:color w:val="0A1628"/>
          <w:sz w:val="24"/>
          <w:szCs w:val="24"/>
        </w:rPr>
        <w:t xml:space="preserve">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Eyebrow</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DISPUTE DEFENSE  ·  IDENTITY SCORING IN MILLISECONDS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Headline</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Stop refunding money you don't owe.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Subheadline</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Kombatix Defense scores the identity of anyone disputing a charge — against the original transaction and a verified identity network — in under a second. Three engines, one composite score, one clear answer. Use it at first contact to deflect refund abuse, or at chargeback time to strengthen your representment package.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Primary CTA</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Start Defending  →    (app.kombatix.ai/signup)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Secondary CTA</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See How It Works    (/how-it-works)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Hero Visual</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Embedded Defense Results Report card (styled, not static image) — real product UI showing score 94.3, identity match breakdown, AI narrative excerpt. Reinforces 'this is what you actually get.' Can reuse the component built for homepage or be a simplified version.</w:t>
            </w:r>
          </w:p>
        </w:tc>
      </w:tr>
    </w:tbl>
    <w:p>
      <w:pPr>
        <w:spacing w:after="0" w:before="200"/>
      </w:pPr>
      <w:r>
        <w:t xml:space="preserve"/>
      </w:r>
    </w:p>
    <w:p>
      <w:pPr>
        <w:spacing w:after="120" w:before="300"/>
      </w:pPr>
      <w:r>
        <w:rPr>
          <w:rFonts w:ascii="Arial" w:cs="Arial" w:eastAsia="Arial" w:hAnsi="Arial"/>
          <w:b/>
          <w:bCs/>
          <w:color w:val="0A1628"/>
          <w:sz w:val="24"/>
          <w:szCs w:val="24"/>
        </w:rPr>
        <w:t xml:space="preserve">When You Use It</w:t>
      </w:r>
    </w:p>
    <w:p>
      <w:pPr>
        <w:spacing w:after="80" w:before="80"/>
      </w:pPr>
      <w:r>
        <w:rPr>
          <w:rFonts w:ascii="Arial" w:cs="Arial" w:eastAsia="Arial" w:hAnsi="Arial"/>
          <w:color w:val="111827"/>
          <w:sz w:val="20"/>
          <w:szCs w:val="20"/>
        </w:rPr>
        <w:t xml:space="preserve">Defense fits into two points in the merchant dispute workflow. Most customers use both.</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pPr>
              <w:spacing w:after="120"/>
            </w:pPr>
            <w:r>
              <w:rPr>
                <w:rFonts w:ascii="Arial" w:cs="Arial" w:eastAsia="Arial" w:hAnsi="Arial"/>
                <w:b/>
                <w:bCs/>
                <w:color w:val="0EA5E9"/>
                <w:sz w:val="16"/>
                <w:szCs w:val="16"/>
              </w:rPr>
              <w:t xml:space="preserve">USE CASE 1</w:t>
            </w:r>
          </w:p>
          <w:p>
            <w:pPr>
              <w:spacing w:after="120"/>
            </w:pPr>
            <w:r>
              <w:rPr>
                <w:rFonts w:ascii="Arial" w:cs="Arial" w:eastAsia="Arial" w:hAnsi="Arial"/>
                <w:b/>
                <w:bCs/>
                <w:color w:val="0A1628"/>
                <w:sz w:val="26"/>
                <w:szCs w:val="26"/>
              </w:rPr>
              <w:t xml:space="preserve">At First Contact</w:t>
            </w:r>
          </w:p>
          <w:p>
            <w:pPr>
              <w:spacing w:after="100"/>
            </w:pPr>
            <w:r>
              <w:rPr>
                <w:rFonts w:ascii="Arial" w:cs="Arial" w:eastAsia="Arial" w:hAnsi="Arial"/>
                <w:sz w:val="20"/>
                <w:szCs w:val="20"/>
              </w:rPr>
              <w:t xml:space="preserve">When a customer calls, emails, or submits a ticket claiming fraud, your support agent runs them through Defense. If the score shows friendly fraud, the agent follows a pre-written script: the identity was verified against the original purchase, the account will be closed, no refund will be issued, and the report will accompany any bank dispute.</w:t>
            </w:r>
          </w:p>
          <w:p>
            <w:r>
              <w:rPr>
                <w:rFonts w:ascii="Arial" w:cs="Arial" w:eastAsia="Arial" w:hAnsi="Arial"/>
                <w:i/>
                <w:iCs/>
                <w:sz w:val="20"/>
                <w:szCs w:val="20"/>
              </w:rPr>
              <w:t xml:space="preserve">Outcome: Most friendly fraudsters back down once they know they've been caught.</w:t>
            </w:r>
          </w:p>
        </w:tc>
        <w:tc>
          <w:tcPr>
            <w:tcW w:type="dxa" w:w="468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pPr>
              <w:spacing w:after="120"/>
            </w:pPr>
            <w:r>
              <w:rPr>
                <w:rFonts w:ascii="Arial" w:cs="Arial" w:eastAsia="Arial" w:hAnsi="Arial"/>
                <w:b/>
                <w:bCs/>
                <w:color w:val="0EA5E9"/>
                <w:sz w:val="16"/>
                <w:szCs w:val="16"/>
              </w:rPr>
              <w:t xml:space="preserve">USE CASE 2</w:t>
            </w:r>
          </w:p>
          <w:p>
            <w:pPr>
              <w:spacing w:after="120"/>
            </w:pPr>
            <w:r>
              <w:rPr>
                <w:rFonts w:ascii="Arial" w:cs="Arial" w:eastAsia="Arial" w:hAnsi="Arial"/>
                <w:b/>
                <w:bCs/>
                <w:color w:val="0A1628"/>
                <w:sz w:val="26"/>
                <w:szCs w:val="26"/>
              </w:rPr>
              <w:t xml:space="preserve">At Chargeback Representment</w:t>
            </w:r>
          </w:p>
          <w:p>
            <w:pPr>
              <w:spacing w:after="100"/>
            </w:pPr>
            <w:r>
              <w:rPr>
                <w:rFonts w:ascii="Arial" w:cs="Arial" w:eastAsia="Arial" w:hAnsi="Arial"/>
                <w:sz w:val="20"/>
                <w:szCs w:val="20"/>
              </w:rPr>
              <w:t xml:space="preserve">When a fraud-coded chargeback lands, you attach the Kombatix Defense Report to your representment package. The bank sees timestamped identity evidence — disputing party's name, email, phone, and address all matching the original transaction — and a clear defense narrative they can act on.</w:t>
            </w:r>
          </w:p>
          <w:p>
            <w:r>
              <w:rPr>
                <w:rFonts w:ascii="Arial" w:cs="Arial" w:eastAsia="Arial" w:hAnsi="Arial"/>
                <w:i/>
                <w:iCs/>
                <w:sz w:val="20"/>
                <w:szCs w:val="20"/>
              </w:rPr>
              <w:t xml:space="preserve">Outcome: Fraud-coded chargebacks that used to be write-offs become winnable cases.</w:t>
            </w:r>
          </w:p>
        </w:tc>
      </w:tr>
    </w:tbl>
    <w:p>
      <w:pPr>
        <w:spacing w:after="0" w:before="200"/>
      </w:pPr>
      <w:r>
        <w:t xml:space="preserve"/>
      </w:r>
    </w:p>
    <w:p>
      <w:pPr>
        <w:spacing w:after="120" w:before="300"/>
      </w:pPr>
      <w:r>
        <w:rPr>
          <w:rFonts w:ascii="Arial" w:cs="Arial" w:eastAsia="Arial" w:hAnsi="Arial"/>
          <w:b/>
          <w:bCs/>
          <w:color w:val="0A1628"/>
          <w:sz w:val="24"/>
          <w:szCs w:val="24"/>
        </w:rPr>
        <w:t xml:space="preserve">The Three Scoring Engines</w:t>
      </w:r>
    </w:p>
    <w:p>
      <w:pPr>
        <w:spacing w:after="80" w:before="80"/>
      </w:pPr>
      <w:r>
        <w:rPr>
          <w:rFonts w:ascii="Arial" w:cs="Arial" w:eastAsia="Arial" w:hAnsi="Arial"/>
          <w:color w:val="111827"/>
          <w:sz w:val="20"/>
          <w:szCs w:val="20"/>
        </w:rPr>
        <w:t xml:space="preserve">Defense runs three independent scoring engines in parallel and combines them into a single composite score. Each engine tells you something different; the composite tells you what to do.</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Engine 01 — Identity Match</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Cross-references the disputing party's name, email, phone, and address against the data submitted at the time of the original transaction, and against a verified identity network. Did the same person who bought it just claim they didn't?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Engine 02 — Identity Risk</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Evaluates the identity itself — separate from whether it matches the transaction. Looks at identity age, fraud history connections, verified data point volume, and consistency across data streams. An identity can match the transaction perfectly and still carry fraud history; this engine surfaces that.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Engine 03 — Behavioral Risk</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Analyzes activity patterns — transaction velocity, payment method stability, IP and location changes, identity element modifications, and chargeback history. A legitimate customer looks stable. A fraud actor shows sudden changes around the disputed transaction.</w:t>
            </w:r>
          </w:p>
        </w:tc>
      </w:tr>
    </w:tbl>
    <w:p>
      <w:pPr>
        <w:spacing w:after="0" w:before="200"/>
      </w:pPr>
      <w:r>
        <w:t xml:space="preserve"/>
      </w:r>
    </w:p>
    <w:p>
      <w:pPr>
        <w:spacing w:after="120" w:before="300"/>
      </w:pPr>
      <w:r>
        <w:rPr>
          <w:rFonts w:ascii="Arial" w:cs="Arial" w:eastAsia="Arial" w:hAnsi="Arial"/>
          <w:b/>
          <w:bCs/>
          <w:color w:val="0A1628"/>
          <w:sz w:val="24"/>
          <w:szCs w:val="24"/>
        </w:rPr>
        <w:t xml:space="preserve">What You Get</w:t>
      </w:r>
    </w:p>
    <w:p>
      <w:pPr>
        <w:spacing w:after="80" w:before="80"/>
      </w:pPr>
      <w:r>
        <w:rPr>
          <w:rFonts w:ascii="Arial" w:cs="Arial" w:eastAsia="Arial" w:hAnsi="Arial"/>
          <w:color w:val="111827"/>
          <w:sz w:val="20"/>
          <w:szCs w:val="20"/>
        </w:rPr>
        <w:t xml:space="preserve">Every Defense search returns a structured report your agents can act on immediately.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Component</w:t>
            </w:r>
          </w:p>
        </w:tc>
        <w:tc>
          <w:tcPr>
            <w:tcW w:type="dxa" w:w="676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What It's For</w:t>
            </w:r>
          </w:p>
        </w:tc>
      </w:tr>
      <w:tr>
        <w:tc>
          <w:tcPr>
            <w:tcW w:type="dxa" w:w="2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Composite Score (0–100)</w:t>
            </w:r>
          </w:p>
        </w:tc>
        <w:tc>
          <w:tcPr>
            <w:tcW w:type="dxa" w:w="67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One number your team can route on. Above 80 = confident friendly fraud. Below 50 = possible true fraud. In between = review warranted.</w:t>
            </w:r>
          </w:p>
        </w:tc>
      </w:tr>
      <w:tr>
        <w:tc>
          <w:tcPr>
            <w:tcW w:type="dxa" w:w="2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Sub-scores</w:t>
            </w:r>
          </w:p>
        </w:tc>
        <w:tc>
          <w:tcPr>
            <w:tcW w:type="dxa" w:w="67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Identity Match, Identity Risk, Behavioral Risk — individually scored. Shows why the composite landed where it did.</w:t>
            </w:r>
          </w:p>
        </w:tc>
      </w:tr>
      <w:tr>
        <w:tc>
          <w:tcPr>
            <w:tcW w:type="dxa" w:w="2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Reason Codes</w:t>
            </w:r>
          </w:p>
        </w:tc>
        <w:tc>
          <w:tcPr>
            <w:tcW w:type="dxa" w:w="67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Specific flags — 'Multiple payment methods (8)', 'Transactions from different locations (5)', etc. Explainability for agents and for bank evidence.</w:t>
            </w:r>
          </w:p>
        </w:tc>
      </w:tr>
      <w:tr>
        <w:tc>
          <w:tcPr>
            <w:tcW w:type="dxa" w:w="2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Identity Match Breakdown</w:t>
            </w:r>
          </w:p>
        </w:tc>
        <w:tc>
          <w:tcPr>
            <w:tcW w:type="dxa" w:w="67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Field-level match view — name, email, phone, billing, shipping — green check or red X per field. Instantly readable.</w:t>
            </w:r>
          </w:p>
        </w:tc>
      </w:tr>
      <w:tr>
        <w:tc>
          <w:tcPr>
            <w:tcW w:type="dxa" w:w="2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AI Defense Narrative</w:t>
            </w:r>
          </w:p>
        </w:tc>
        <w:tc>
          <w:tcPr>
            <w:tcW w:type="dxa" w:w="67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Plain-English summary of the result, template-generated from the data. Agents copy-paste into support tickets or bank evidence packages. No writing required.</w:t>
            </w:r>
          </w:p>
        </w:tc>
      </w:tr>
      <w:tr>
        <w:tc>
          <w:tcPr>
            <w:tcW w:type="dxa" w:w="2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Transaction Metadata</w:t>
            </w:r>
          </w:p>
        </w:tc>
        <w:tc>
          <w:tcPr>
            <w:tcW w:type="dxa" w:w="67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Payment card type, transaction date, transaction amount, first-seen / last-seen dates for the identity. Context for the score.</w:t>
            </w:r>
          </w:p>
        </w:tc>
      </w:tr>
      <w:tr>
        <w:tc>
          <w:tcPr>
            <w:tcW w:type="dxa" w:w="2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Request ID + Timestamp</w:t>
            </w:r>
          </w:p>
        </w:tc>
        <w:tc>
          <w:tcPr>
            <w:tcW w:type="dxa" w:w="67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Every report timestamped and uniquely identified — admissible as structured evidence in bank dispute workflows.</w:t>
            </w:r>
          </w:p>
        </w:tc>
      </w:tr>
    </w:tbl>
    <w:p>
      <w:pPr>
        <w:spacing w:after="0" w:before="200"/>
      </w:pPr>
      <w:r>
        <w:t xml:space="preserve"/>
      </w:r>
    </w:p>
    <w:p>
      <w:pPr>
        <w:spacing w:after="120" w:before="300"/>
      </w:pPr>
      <w:r>
        <w:rPr>
          <w:rFonts w:ascii="Arial" w:cs="Arial" w:eastAsia="Arial" w:hAnsi="Arial"/>
          <w:b/>
          <w:bCs/>
          <w:color w:val="0A1628"/>
          <w:sz w:val="24"/>
          <w:szCs w:val="24"/>
        </w:rPr>
        <w:t xml:space="preserve">How You Access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pPr>
              <w:spacing w:after="120"/>
            </w:pPr>
            <w:r>
              <w:rPr>
                <w:rFonts w:ascii="Arial" w:cs="Arial" w:eastAsia="Arial" w:hAnsi="Arial"/>
                <w:b/>
                <w:bCs/>
                <w:color w:val="0A1628"/>
                <w:sz w:val="24"/>
                <w:szCs w:val="24"/>
              </w:rPr>
              <w:t xml:space="preserve">REST API</w:t>
            </w:r>
          </w:p>
          <w:p>
            <w:pPr>
              <w:spacing w:after="100"/>
            </w:pPr>
            <w:r>
              <w:rPr>
                <w:rFonts w:ascii="Arial" w:cs="Arial" w:eastAsia="Arial" w:hAnsi="Arial"/>
                <w:sz w:val="20"/>
                <w:szCs w:val="20"/>
              </w:rPr>
              <w:t xml:space="preserve">Full Defense scoring via a single POST endpoint. Integrate into your helpdesk (Zendesk, Intercom, Gorgias), CRM, or chargeback workflow. API key and documentation delivered within 4 business hours of signup. Self-service developer portal available immediately.</w:t>
            </w:r>
          </w:p>
          <w:p>
            <w:r>
              <w:rPr>
                <w:rFonts w:ascii="Arial" w:cs="Arial" w:eastAsia="Arial" w:hAnsi="Arial"/>
                <w:b/>
                <w:bCs/>
                <w:color w:val="2563EB"/>
                <w:sz w:val="20"/>
                <w:szCs w:val="20"/>
              </w:rPr>
              <w:t xml:space="preserve">See API details  →  /api</w:t>
            </w:r>
          </w:p>
        </w:tc>
        <w:tc>
          <w:tcPr>
            <w:tcW w:type="dxa" w:w="468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pPr>
              <w:spacing w:after="120"/>
            </w:pPr>
            <w:r>
              <w:rPr>
                <w:rFonts w:ascii="Arial" w:cs="Arial" w:eastAsia="Arial" w:hAnsi="Arial"/>
                <w:b/>
                <w:bCs/>
                <w:color w:val="0A1628"/>
                <w:sz w:val="24"/>
                <w:szCs w:val="24"/>
              </w:rPr>
              <w:t xml:space="preserve">Web Application</w:t>
            </w:r>
          </w:p>
          <w:p>
            <w:pPr>
              <w:spacing w:after="100"/>
            </w:pPr>
            <w:r>
              <w:rPr>
                <w:rFonts w:ascii="Arial" w:cs="Arial" w:eastAsia="Arial" w:hAnsi="Arial"/>
                <w:sz w:val="20"/>
                <w:szCs w:val="20"/>
              </w:rPr>
              <w:t xml:space="preserve">No-code access via browser. Agents log into the Kombatix portal, paste dispute details, run a Defense Search, copy the result directly into their ticket or evidence package. No developer time required to get value on day one.</w:t>
            </w:r>
          </w:p>
          <w:p>
            <w:r>
              <w:rPr>
                <w:rFonts w:ascii="Arial" w:cs="Arial" w:eastAsia="Arial" w:hAnsi="Arial"/>
                <w:b/>
                <w:bCs/>
                <w:color w:val="2563EB"/>
                <w:sz w:val="20"/>
                <w:szCs w:val="20"/>
              </w:rPr>
              <w:t xml:space="preserve">Sign Up  →  app.kombatix.ai/signup</w:t>
            </w:r>
          </w:p>
        </w:tc>
      </w:tr>
    </w:tbl>
    <w:p>
      <w:pPr>
        <w:spacing w:after="0" w:before="200"/>
      </w:pPr>
      <w:r>
        <w:t xml:space="preserve"/>
      </w:r>
    </w:p>
    <w:p>
      <w:pPr>
        <w:spacing w:after="120" w:before="300"/>
      </w:pPr>
      <w:r>
        <w:rPr>
          <w:rFonts w:ascii="Arial" w:cs="Arial" w:eastAsia="Arial" w:hAnsi="Arial"/>
          <w:b/>
          <w:bCs/>
          <w:color w:val="0A1628"/>
          <w:sz w:val="24"/>
          <w:szCs w:val="24"/>
        </w:rPr>
        <w:t xml:space="preserve">Defense Pricing Preview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Summary</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From $75/month (Standard, 75 hits included). Advanced $500/month (1,000 hits). Enterprise custom. Pay for actionable outcomes — billing is weighted toward high-confidence results.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CTA</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View Full Defense Pricing  →   (/pricing)</w:t>
            </w:r>
          </w:p>
        </w:tc>
      </w:tr>
    </w:tbl>
    <w:p>
      <w:pPr>
        <w:spacing w:after="0" w:before="200"/>
      </w:pPr>
      <w:r>
        <w:t xml:space="preserve"/>
      </w:r>
    </w:p>
    <w:p>
      <w:pPr>
        <w:spacing w:after="120" w:before="300"/>
      </w:pPr>
      <w:r>
        <w:rPr>
          <w:rFonts w:ascii="Arial" w:cs="Arial" w:eastAsia="Arial" w:hAnsi="Arial"/>
          <w:b/>
          <w:bCs/>
          <w:color w:val="0A1628"/>
          <w:sz w:val="24"/>
          <w:szCs w:val="24"/>
        </w:rPr>
        <w:t xml:space="preserve">Footer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Copy</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Your next friendly-fraud dispute is already in the queue. Be ready.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CTA</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Start Defense Free  →   (app.kombatix.ai/signup)</w:t>
            </w:r>
          </w:p>
        </w:tc>
      </w:tr>
    </w:tbl>
    <w:p>
      <w:pPr>
        <w:pageBreakBefore/>
        <w:spacing w:after="120" w:before="400"/>
      </w:pPr>
      <w:r>
        <w:rPr>
          <w:rFonts w:ascii="Arial" w:cs="Arial" w:eastAsia="Arial" w:hAnsi="Arial"/>
          <w:b/>
          <w:bCs/>
          <w:color w:val="0A1628"/>
          <w:sz w:val="32"/>
          <w:szCs w:val="32"/>
        </w:rPr>
        <w:t xml:space="preserve">PAGE 3 — Kombatix PreAuth</w:t>
      </w:r>
      <w:r>
        <w:rPr>
          <w:rFonts w:ascii="Arial" w:cs="Arial" w:eastAsia="Arial" w:hAnsi="Arial"/>
          <w:color w:val="6B7280"/>
          <w:sz w:val="22"/>
          <w:szCs w:val="22"/>
        </w:rPr>
        <w:t xml:space="preserve">   ·   /preauth</w:t>
      </w:r>
    </w:p>
    <w:p>
      <w:pPr>
        <w:spacing w:after="40" w:before="40"/>
      </w:pPr>
      <w:r>
        <w:rPr>
          <w:rFonts w:ascii="Arial" w:cs="Arial" w:eastAsia="Arial" w:hAnsi="Arial"/>
          <w:i/>
          <w:iCs/>
          <w:color w:val="6B7280"/>
          <w:sz w:val="18"/>
          <w:szCs w:val="18"/>
        </w:rPr>
        <w:t xml:space="preserve">Primary audience: Merchants processing recurring or transactional payments  ·  Primary conversion: signup</w:t>
      </w:r>
    </w:p>
    <w:p>
      <w:pPr>
        <w:spacing w:after="120" w:before="300"/>
      </w:pPr>
      <w:r>
        <w:rPr>
          <w:rFonts w:ascii="Arial" w:cs="Arial" w:eastAsia="Arial" w:hAnsi="Arial"/>
          <w:b/>
          <w:bCs/>
          <w:color w:val="0A1628"/>
          <w:sz w:val="24"/>
          <w:szCs w:val="24"/>
        </w:rPr>
        <w:t xml:space="preserve">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Eyebrow</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PRE-AUTHORIZATION SCREENING  ·  THE KOMBATIX NETWORK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Headline</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Catch friendly fraudsters before you authorize.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Subheadline</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Kombatix PreAuth checks every incoming transaction against the Kombatix Network — our growing database of identities confirmed as friendly fraud by other merchants. If someone who's filed a false dispute with another Kombatix customer tries to pay you, you know before the charge goes through.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Primary CTA</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Start Screening  →    (app.kombatix.ai/signup)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Secondary CTA</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See Pricing    (/pricing)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Hero Visual</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IMAGE-09: Abstract network visualization — points of light representing identities, connected by arc lines into a central checkpoint. One highlighted arc shows a transaction request flowing into the network and getting flagged (turns red). Dark bg, accent blue + red. Nano Banana Pro.</w:t>
            </w:r>
          </w:p>
        </w:tc>
      </w:tr>
    </w:tbl>
    <w:p>
      <w:pPr>
        <w:spacing w:after="0" w:before="200"/>
      </w:pPr>
      <w:r>
        <w:t xml:space="preserve"/>
      </w:r>
    </w:p>
    <w:p>
      <w:pPr>
        <w:spacing w:after="120" w:before="300"/>
      </w:pPr>
      <w:r>
        <w:rPr>
          <w:rFonts w:ascii="Arial" w:cs="Arial" w:eastAsia="Arial" w:hAnsi="Arial"/>
          <w:b/>
          <w:bCs/>
          <w:color w:val="0A1628"/>
          <w:sz w:val="24"/>
          <w:szCs w:val="24"/>
        </w:rPr>
        <w:t xml:space="preserve">Why PreAuth Matters</w:t>
      </w:r>
    </w:p>
    <w:p>
      <w:pPr>
        <w:spacing w:after="80" w:before="80"/>
      </w:pPr>
      <w:r>
        <w:rPr>
          <w:rFonts w:ascii="Arial" w:cs="Arial" w:eastAsia="Arial" w:hAnsi="Arial"/>
          <w:color w:val="111827"/>
          <w:sz w:val="20"/>
          <w:szCs w:val="20"/>
        </w:rPr>
        <w:t xml:space="preserve">Friendly fraudsters rarely stop at one merchant. Someone who successfully got a refund by disputing a legitimate purchase will try it again — with the same email, same card patterns, similar behavior. The Kombatix Network makes that pattern visible before the next merchant gets burned.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250"/>
              <w:bottom w:type="dxa" w:w="200"/>
              <w:right w:type="dxa" w:w="250"/>
            </w:tcMar>
          </w:tcPr>
          <w:p>
            <w:pPr>
              <w:spacing w:after="120"/>
            </w:pPr>
            <w:r>
              <w:rPr>
                <w:rFonts w:ascii="Arial" w:cs="Arial" w:eastAsia="Arial" w:hAnsi="Arial"/>
                <w:b/>
                <w:bCs/>
                <w:color w:val="FFFFFF"/>
                <w:sz w:val="22"/>
                <w:szCs w:val="22"/>
              </w:rPr>
              <w:t xml:space="preserve">The Network Is the Product.</w:t>
            </w:r>
          </w:p>
          <w:p>
            <w:r>
              <w:rPr>
                <w:rFonts w:ascii="Arial" w:cs="Arial" w:eastAsia="Arial" w:hAnsi="Arial"/>
                <w:color w:val="FFFFFF"/>
                <w:sz w:val="20"/>
                <w:szCs w:val="20"/>
              </w:rPr>
              <w:t xml:space="preserve">Every transaction a Kombatix Defense customer scores as friendly fraud (60+ Defense Score) populates the Kombatix Network. Every PreAuth customer screens against that network. The more merchants in the network, the faster friendly fraudsters are identified across the ecosystem.</w:t>
            </w:r>
          </w:p>
        </w:tc>
      </w:tr>
    </w:tbl>
    <w:p>
      <w:pPr>
        <w:spacing w:after="0" w:before="200"/>
      </w:pPr>
      <w:r>
        <w:t xml:space="preserve"/>
      </w:r>
    </w:p>
    <w:p>
      <w:pPr>
        <w:spacing w:after="120" w:before="300"/>
      </w:pPr>
      <w:r>
        <w:rPr>
          <w:rFonts w:ascii="Arial" w:cs="Arial" w:eastAsia="Arial" w:hAnsi="Arial"/>
          <w:b/>
          <w:bCs/>
          <w:color w:val="0A1628"/>
          <w:sz w:val="24"/>
          <w:szCs w:val="24"/>
        </w:rPr>
        <w:t xml:space="preserve">How PreAuth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Step</w:t>
            </w:r>
          </w:p>
        </w:tc>
        <w:tc>
          <w:tcPr>
            <w:tcW w:type="dxa" w:w="716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What Happens</w:t>
            </w:r>
          </w:p>
        </w:tc>
      </w:tr>
      <w:tr>
        <w:tc>
          <w:tcPr>
            <w:tcW w:type="dxa" w:w="2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1. Incoming Transaction</w:t>
            </w:r>
          </w:p>
        </w:tc>
        <w:tc>
          <w:tcPr>
            <w:tcW w:type="dxa" w:w="71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At checkout, subscription renewal, or any authorization event, you call the PreAuth endpoint with the customer's identity (name, email, phone, address, optional card token).</w:t>
            </w:r>
          </w:p>
        </w:tc>
      </w:tr>
      <w:tr>
        <w:tc>
          <w:tcPr>
            <w:tcW w:type="dxa" w:w="2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2. Network Check</w:t>
            </w:r>
          </w:p>
        </w:tc>
        <w:tc>
          <w:tcPr>
            <w:tcW w:type="dxa" w:w="71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Kombatix checks the submitted identity against the Network — identities confirmed as friendly fraud by other merchants. Milliseconds, no external latency added to your flow.</w:t>
            </w:r>
          </w:p>
        </w:tc>
      </w:tr>
      <w:tr>
        <w:tc>
          <w:tcPr>
            <w:tcW w:type="dxa" w:w="2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3. Hit or No-Hit Response</w:t>
            </w:r>
          </w:p>
        </w:tc>
        <w:tc>
          <w:tcPr>
            <w:tcW w:type="dxa" w:w="71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If the identity is in the network, you get a hit response with severity and optional match detail. If not, a clean no-hit. Your downstream logic decides what to do with that signal.</w:t>
            </w:r>
          </w:p>
        </w:tc>
      </w:tr>
      <w:tr>
        <w:tc>
          <w:tcPr>
            <w:tcW w:type="dxa" w:w="2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4. Your Decision</w:t>
            </w:r>
          </w:p>
        </w:tc>
        <w:tc>
          <w:tcPr>
            <w:tcW w:type="dxa" w:w="71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You choose how to act — decline, step-up auth, hold for review, flag for support — based on your risk tolerance. Kombatix provides the signal; the decision stays with you.</w:t>
            </w:r>
          </w:p>
        </w:tc>
      </w:tr>
    </w:tbl>
    <w:p>
      <w:pPr>
        <w:spacing w:after="0" w:before="200"/>
      </w:pPr>
      <w:r>
        <w:t xml:space="preserve"/>
      </w:r>
    </w:p>
    <w:p>
      <w:pPr>
        <w:spacing w:after="120" w:before="300"/>
      </w:pPr>
      <w:r>
        <w:rPr>
          <w:rFonts w:ascii="Arial" w:cs="Arial" w:eastAsia="Arial" w:hAnsi="Arial"/>
          <w:b/>
          <w:bCs/>
          <w:color w:val="0A1628"/>
          <w:sz w:val="24"/>
          <w:szCs w:val="24"/>
        </w:rPr>
        <w:t xml:space="preserve">Where It Fits in Your Stack</w:t>
      </w:r>
    </w:p>
    <w:p>
      <w:pPr>
        <w:spacing w:after="80" w:before="80"/>
      </w:pPr>
      <w:r>
        <w:rPr>
          <w:rFonts w:ascii="Arial" w:cs="Arial" w:eastAsia="Arial" w:hAnsi="Arial"/>
          <w:color w:val="111827"/>
          <w:sz w:val="20"/>
          <w:szCs w:val="20"/>
        </w:rPr>
        <w:t xml:space="preserve">PreAuth sits upstream of your existing fraud tools. It is not a replacement for Kount, Signifyd, Stripe Radar, or Sift — those tools are excellent at catching strangers using stolen cards. PreAuth catches the opposite problem: authorized cardholders who have a history of disputing their own legitimate purchases. Different threat model, different screening layer, complementary stack.</w:t>
      </w:r>
    </w:p>
    <w:p>
      <w:pPr>
        <w:spacing w:after="0" w:before="200"/>
      </w:pPr>
      <w:r>
        <w:t xml:space="preserve"/>
      </w:r>
    </w:p>
    <w:p>
      <w:pPr>
        <w:spacing w:after="120" w:before="300"/>
      </w:pPr>
      <w:r>
        <w:rPr>
          <w:rFonts w:ascii="Arial" w:cs="Arial" w:eastAsia="Arial" w:hAnsi="Arial"/>
          <w:b/>
          <w:bCs/>
          <w:color w:val="0A1628"/>
          <w:sz w:val="24"/>
          <w:szCs w:val="24"/>
        </w:rPr>
        <w:t xml:space="preserve">Pricing (Published on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Pricing Model</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Tiered monthly plans, each including a monthly usage credit. Overage billed per-check based on tier: no-hit checks are a fraction of a cent; hits billed at the tier's hit rate. One-time $250 implementation fee.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800"/>
        <w:gridCol w:w="1500"/>
        <w:gridCol w:w="1500"/>
        <w:gridCol w:w="1660"/>
      </w:tblGrid>
      <w:tr>
        <w:trPr>
          <w:tblHeader/>
        </w:trPr>
        <w:tc>
          <w:tcPr>
            <w:tcW w:type="dxa" w:w="20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Plan</w:t>
            </w:r>
          </w:p>
        </w:tc>
        <w:tc>
          <w:tcPr>
            <w:tcW w:type="dxa" w:w="9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Monthly</w:t>
            </w:r>
          </w:p>
        </w:tc>
        <w:tc>
          <w:tcPr>
            <w:tcW w:type="dxa" w:w="18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Transactions</w:t>
            </w:r>
          </w:p>
        </w:tc>
        <w:tc>
          <w:tcPr>
            <w:tcW w:type="dxa" w:w="15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No-Hit</w:t>
            </w:r>
          </w:p>
        </w:tc>
        <w:tc>
          <w:tcPr>
            <w:tcW w:type="dxa" w:w="15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Hit</w:t>
            </w:r>
          </w:p>
        </w:tc>
        <w:tc>
          <w:tcPr>
            <w:tcW w:type="dxa" w:w="166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Credit</w:t>
            </w:r>
          </w:p>
        </w:tc>
      </w:tr>
      <w:tr>
        <w:tc>
          <w:tcPr>
            <w:tcW w:type="dxa" w:w="20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PreAuth Starter</w:t>
            </w:r>
          </w:p>
        </w:tc>
        <w:tc>
          <w:tcPr>
            <w:tcW w:type="dxa" w:w="9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$49</w:t>
            </w:r>
          </w:p>
        </w:tc>
        <w:tc>
          <w:tcPr>
            <w:tcW w:type="dxa" w:w="1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Up to ~25K/mo</w:t>
            </w:r>
          </w:p>
        </w:tc>
        <w:tc>
          <w:tcPr>
            <w:tcW w:type="dxa" w:w="15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$0.005 each</w:t>
            </w:r>
          </w:p>
        </w:tc>
        <w:tc>
          <w:tcPr>
            <w:tcW w:type="dxa" w:w="15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$0.15 each</w:t>
            </w:r>
          </w:p>
        </w:tc>
        <w:tc>
          <w:tcPr>
            <w:tcW w:type="dxa" w:w="16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$49 credit</w:t>
            </w:r>
          </w:p>
        </w:tc>
      </w:tr>
      <w:tr>
        <w:tc>
          <w:tcPr>
            <w:tcW w:type="dxa" w:w="20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PreAuth Growth ★</w:t>
            </w:r>
          </w:p>
        </w:tc>
        <w:tc>
          <w:tcPr>
            <w:tcW w:type="dxa" w:w="9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$149</w:t>
            </w:r>
          </w:p>
        </w:tc>
        <w:tc>
          <w:tcPr>
            <w:tcW w:type="dxa" w:w="1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25K–100K/mo</w:t>
            </w:r>
          </w:p>
        </w:tc>
        <w:tc>
          <w:tcPr>
            <w:tcW w:type="dxa" w:w="15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$0.005 each</w:t>
            </w:r>
          </w:p>
        </w:tc>
        <w:tc>
          <w:tcPr>
            <w:tcW w:type="dxa" w:w="15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$0.10 each</w:t>
            </w:r>
          </w:p>
        </w:tc>
        <w:tc>
          <w:tcPr>
            <w:tcW w:type="dxa" w:w="16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$149 credit</w:t>
            </w:r>
          </w:p>
        </w:tc>
      </w:tr>
      <w:tr>
        <w:tc>
          <w:tcPr>
            <w:tcW w:type="dxa" w:w="20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PreAuth Enterprise</w:t>
            </w:r>
          </w:p>
        </w:tc>
        <w:tc>
          <w:tcPr>
            <w:tcW w:type="dxa" w:w="9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$499</w:t>
            </w:r>
          </w:p>
        </w:tc>
        <w:tc>
          <w:tcPr>
            <w:tcW w:type="dxa" w:w="1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100K+/mo</w:t>
            </w:r>
          </w:p>
        </w:tc>
        <w:tc>
          <w:tcPr>
            <w:tcW w:type="dxa" w:w="15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$0.005 each</w:t>
            </w:r>
          </w:p>
        </w:tc>
        <w:tc>
          <w:tcPr>
            <w:tcW w:type="dxa" w:w="15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$0.05 each</w:t>
            </w:r>
          </w:p>
        </w:tc>
        <w:tc>
          <w:tcPr>
            <w:tcW w:type="dxa" w:w="16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$499 credit</w:t>
            </w:r>
          </w:p>
        </w:tc>
      </w:tr>
    </w:tbl>
    <w:p>
      <w:pPr>
        <w:spacing w:after="40" w:before="40"/>
      </w:pPr>
      <w:r>
        <w:rPr>
          <w:rFonts w:ascii="Arial" w:cs="Arial" w:eastAsia="Arial" w:hAnsi="Arial"/>
          <w:i/>
          <w:iCs/>
          <w:color w:val="6B7280"/>
          <w:sz w:val="18"/>
          <w:szCs w:val="18"/>
        </w:rPr>
        <w:t xml:space="preserve">★ Growth is the recommended plan for merchants processing 25K–100K transactions per month. One-time $250 implementation fee applies at onboarding for all tiers.</w:t>
      </w:r>
    </w:p>
    <w:p>
      <w:pPr>
        <w:spacing w:after="0" w:before="200"/>
      </w:pPr>
      <w:r>
        <w:t xml:space="preserve"/>
      </w:r>
    </w:p>
    <w:p>
      <w:pPr>
        <w:spacing w:after="120" w:before="300"/>
      </w:pPr>
      <w:r>
        <w:rPr>
          <w:rFonts w:ascii="Arial" w:cs="Arial" w:eastAsia="Arial" w:hAnsi="Arial"/>
          <w:b/>
          <w:bCs/>
          <w:color w:val="0A1628"/>
          <w:sz w:val="24"/>
          <w:szCs w:val="24"/>
        </w:rPr>
        <w:t xml:space="preserve">Who PreAuth Is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Segment</w:t>
            </w:r>
          </w:p>
        </w:tc>
        <w:tc>
          <w:tcPr>
            <w:tcW w:type="dxa" w:w="536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Fit</w:t>
            </w:r>
          </w:p>
        </w:tc>
      </w:tr>
      <w:tr>
        <w:tc>
          <w:tcPr>
            <w:tcW w:type="dxa" w:w="40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Subscription / SaaS with free or low-cost trials</w:t>
            </w:r>
          </w:p>
        </w:tc>
        <w:tc>
          <w:tcPr>
            <w:tcW w:type="dxa" w:w="53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Strong fit — trial-to-paid conversion is the highest-risk moment for friendly fraud.</w:t>
            </w:r>
          </w:p>
        </w:tc>
      </w:tr>
      <w:tr>
        <w:tc>
          <w:tcPr>
            <w:tcW w:type="dxa" w:w="40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Digital goods / services (downloadable, streaming, content)</w:t>
            </w:r>
          </w:p>
        </w:tc>
        <w:tc>
          <w:tcPr>
            <w:tcW w:type="dxa" w:w="53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Strong fit — no physical delivery means no shipping evidence, making friendly fraud easier to claim.</w:t>
            </w:r>
          </w:p>
        </w:tc>
      </w:tr>
      <w:tr>
        <w:tc>
          <w:tcPr>
            <w:tcW w:type="dxa" w:w="40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High-volume e-commerce with repeat customers</w:t>
            </w:r>
          </w:p>
        </w:tc>
        <w:tc>
          <w:tcPr>
            <w:tcW w:type="dxa" w:w="53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Strong fit — catches serial refund-abuse patterns across merchants.</w:t>
            </w:r>
          </w:p>
        </w:tc>
      </w:tr>
      <w:tr>
        <w:tc>
          <w:tcPr>
            <w:tcW w:type="dxa" w:w="40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Low-volume / high-ticket e-commerce</w:t>
            </w:r>
          </w:p>
        </w:tc>
        <w:tc>
          <w:tcPr>
            <w:tcW w:type="dxa" w:w="53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Check fit — volume-based pricing may not be the best match; talk to sales about Defense-primary pricing.</w:t>
            </w:r>
          </w:p>
        </w:tc>
      </w:tr>
      <w:tr>
        <w:tc>
          <w:tcPr>
            <w:tcW w:type="dxa" w:w="40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Marketplaces</w:t>
            </w:r>
          </w:p>
        </w:tc>
        <w:tc>
          <w:tcPr>
            <w:tcW w:type="dxa" w:w="53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Case-by-case — depends on which side of the transaction you're screening.</w:t>
            </w:r>
          </w:p>
        </w:tc>
      </w:tr>
    </w:tbl>
    <w:p>
      <w:pPr>
        <w:spacing w:after="0" w:before="200"/>
      </w:pPr>
      <w:r>
        <w:t xml:space="preserve"/>
      </w:r>
    </w:p>
    <w:p>
      <w:pPr>
        <w:spacing w:after="120" w:before="300"/>
      </w:pPr>
      <w:r>
        <w:rPr>
          <w:rFonts w:ascii="Arial" w:cs="Arial" w:eastAsia="Arial" w:hAnsi="Arial"/>
          <w:b/>
          <w:bCs/>
          <w:color w:val="0A1628"/>
          <w:sz w:val="24"/>
          <w:szCs w:val="24"/>
        </w:rPr>
        <w:t xml:space="preserve">Footer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Copy</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The network grows every day. Join 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CTA</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Start PreAuth Free  →   (app.kombatix.ai/signup)</w:t>
            </w:r>
          </w:p>
        </w:tc>
      </w:tr>
    </w:tbl>
    <w:p>
      <w:pPr>
        <w:pageBreakBefore/>
        <w:spacing w:after="120" w:before="400"/>
      </w:pPr>
      <w:r>
        <w:rPr>
          <w:rFonts w:ascii="Arial" w:cs="Arial" w:eastAsia="Arial" w:hAnsi="Arial"/>
          <w:b/>
          <w:bCs/>
          <w:color w:val="0A1628"/>
          <w:sz w:val="32"/>
          <w:szCs w:val="32"/>
        </w:rPr>
        <w:t xml:space="preserve">PAGE 4 — How It Works</w:t>
      </w:r>
      <w:r>
        <w:rPr>
          <w:rFonts w:ascii="Arial" w:cs="Arial" w:eastAsia="Arial" w:hAnsi="Arial"/>
          <w:color w:val="6B7280"/>
          <w:sz w:val="22"/>
          <w:szCs w:val="22"/>
        </w:rPr>
        <w:t xml:space="preserve">   ·   /how-it-works</w:t>
      </w:r>
    </w:p>
    <w:p>
      <w:pPr>
        <w:spacing w:after="40" w:before="40"/>
      </w:pPr>
      <w:r>
        <w:rPr>
          <w:rFonts w:ascii="Arial" w:cs="Arial" w:eastAsia="Arial" w:hAnsi="Arial"/>
          <w:i/>
          <w:iCs/>
          <w:color w:val="6B7280"/>
          <w:sz w:val="18"/>
          <w:szCs w:val="18"/>
        </w:rPr>
        <w:t xml:space="preserve">Audience: Merchants evaluating both products, plus technical evaluators  ·  Goal: build product understanding and trust</w:t>
      </w:r>
    </w:p>
    <w:p>
      <w:pPr>
        <w:spacing w:after="120" w:before="300"/>
      </w:pPr>
      <w:r>
        <w:rPr>
          <w:rFonts w:ascii="Arial" w:cs="Arial" w:eastAsia="Arial" w:hAnsi="Arial"/>
          <w:b/>
          <w:bCs/>
          <w:color w:val="0A1628"/>
          <w:sz w:val="24"/>
          <w:szCs w:val="24"/>
        </w:rPr>
        <w:t xml:space="preserve">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Headline</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Identity scoring at every stage of the fraud lifecycle.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Subheadline</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Kombatix runs two complementary products on a shared identity infrastructure — PreAuth screens before the transaction; Defense scores when a dispute is filed. Both feed the Kombatix Network, which grows stronger with every customer.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Visual</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IMAGE-04: Horizontal pipeline showing the full lifecycle. Transaction attempt → PreAuth Network Check → Authorization → (Time passes) → Dispute Filed → Defense Scoring → Outcome (Deflected / Won Representment). Three scoring engines shown as convergent streams in the Defense phase. Dark bg, data-viz aesthetic. Nano Banana Pro.</w:t>
            </w:r>
          </w:p>
        </w:tc>
      </w:tr>
    </w:tbl>
    <w:p>
      <w:pPr>
        <w:spacing w:after="0" w:before="200"/>
      </w:pPr>
      <w:r>
        <w:t xml:space="preserve"/>
      </w:r>
    </w:p>
    <w:p>
      <w:pPr>
        <w:spacing w:after="120" w:before="300"/>
      </w:pPr>
      <w:r>
        <w:rPr>
          <w:rFonts w:ascii="Arial" w:cs="Arial" w:eastAsia="Arial" w:hAnsi="Arial"/>
          <w:b/>
          <w:bCs/>
          <w:color w:val="0A1628"/>
          <w:sz w:val="24"/>
          <w:szCs w:val="24"/>
        </w:rPr>
        <w:t xml:space="preserve">The Cost of a Single Friendly Fraud Claim</w:t>
      </w:r>
    </w:p>
    <w:p>
      <w:pPr>
        <w:spacing w:after="80" w:before="80"/>
      </w:pPr>
      <w:r>
        <w:rPr>
          <w:rFonts w:ascii="Arial" w:cs="Arial" w:eastAsia="Arial" w:hAnsi="Arial"/>
          <w:color w:val="111827"/>
          <w:sz w:val="20"/>
          <w:szCs w:val="20"/>
        </w:rPr>
        <w:t xml:space="preserve">Before detailing how Defense and PreAuth work, here's why it matters. A single $25 friendly fraud claim can cost a merchant anywhere from $25 to $45 depending on how it's handled — and where Kombatix intervenes, it changes the math.</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Decision Tree Diagram</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IMAGE-10: Adaptation of the existing one-sheet decision tree. Starting node: 'Customer makes $25 purchase'. Branches follow every possible outcome path: direct refund ($25 loss), dispute path → Ethoca/Verifi alert ($10 + $25 refund), full chargeback path (successful rep → -$5 net; failed rep → -$45). Green highlighted branch shows Kombatix intervention at Order Insights Deflection saves the transaction at -$12 cost vs. $35–$45 without Kombatix. Existing style preserved from Kombatix.pdf page 2.</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Reuse Asset</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Can be directly pulled from existing one-sheet (Kombatix.pdf, page 2). Clean up for web — higher contrast on text, responsive breakpoints, dark-mode adaptation.</w:t>
            </w:r>
          </w:p>
        </w:tc>
      </w:tr>
    </w:tbl>
    <w:p>
      <w:pPr>
        <w:spacing w:after="0" w:before="200"/>
      </w:pPr>
      <w:r>
        <w:t xml:space="preserve"/>
      </w:r>
    </w:p>
    <w:p>
      <w:pPr>
        <w:spacing w:after="120" w:before="300"/>
      </w:pPr>
      <w:r>
        <w:rPr>
          <w:rFonts w:ascii="Arial" w:cs="Arial" w:eastAsia="Arial" w:hAnsi="Arial"/>
          <w:b/>
          <w:bCs/>
          <w:color w:val="0A1628"/>
          <w:sz w:val="24"/>
          <w:szCs w:val="24"/>
        </w:rPr>
        <w:t xml:space="preserve">Kombatix PreAuth — The Pre-Authorization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Section Label</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PREAUTHORIZATION SCREENING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Headline</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Is this transaction about to be trouble?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Body</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Before authorization completes, PreAuth checks the transaction's identity against the Kombatix Network. The check is lightweight — one POST, millisecond response, sub-cent cost on no-hits. When a hit returns, you know the identity has been confirmed as friendly fraud by at least one other Kombatix merchant. What you do next is your call.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Inputs</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Name · email · phone · billing address · optional shipping · optional card token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Output</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Hit / no-hit, severity level on hits, optional match metadata</w:t>
            </w:r>
          </w:p>
        </w:tc>
      </w:tr>
    </w:tbl>
    <w:p>
      <w:pPr>
        <w:spacing w:after="0" w:before="200"/>
      </w:pPr>
      <w:r>
        <w:t xml:space="preserve"/>
      </w:r>
    </w:p>
    <w:p>
      <w:pPr>
        <w:spacing w:after="120" w:before="300"/>
      </w:pPr>
      <w:r>
        <w:rPr>
          <w:rFonts w:ascii="Arial" w:cs="Arial" w:eastAsia="Arial" w:hAnsi="Arial"/>
          <w:b/>
          <w:bCs/>
          <w:color w:val="0A1628"/>
          <w:sz w:val="24"/>
          <w:szCs w:val="24"/>
        </w:rPr>
        <w:t xml:space="preserve">Kombatix Defense — The Composite Score</w:t>
      </w:r>
    </w:p>
    <w:p>
      <w:pPr>
        <w:spacing w:after="80" w:before="80"/>
      </w:pPr>
      <w:r>
        <w:rPr>
          <w:rFonts w:ascii="Arial" w:cs="Arial" w:eastAsia="Arial" w:hAnsi="Arial"/>
          <w:color w:val="111827"/>
          <w:sz w:val="20"/>
          <w:szCs w:val="20"/>
        </w:rPr>
        <w:t xml:space="preserve">When a customer files a dispute — directly with you at support, or via their bank as a chargeback — Defense scores the disputing identity against the original transaction. Three engines, one composite score, one clear answer.</w:t>
      </w:r>
    </w:p>
    <w:p>
      <w:pPr>
        <w:spacing w:after="0" w:before="200"/>
      </w:pPr>
      <w:r>
        <w:t xml:space="preserve"/>
      </w:r>
    </w:p>
    <w:p>
      <w:pPr>
        <w:spacing w:after="120" w:before="300"/>
      </w:pPr>
      <w:r>
        <w:rPr>
          <w:rFonts w:ascii="Arial" w:cs="Arial" w:eastAsia="Arial" w:hAnsi="Arial"/>
          <w:b/>
          <w:bCs/>
          <w:color w:val="0A1628"/>
          <w:sz w:val="24"/>
          <w:szCs w:val="24"/>
        </w:rPr>
        <w:t xml:space="preserve">Engine 01 — Identity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Headline</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Did the person who bought it just say they didn't?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Body</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The Identity Match engine cross-references the disputing party's submitted contact data — name, email, phone, address — against the data provided at the time of the original transaction, and against a verified identity network. Match strength determines how likely it is that the person claiming 'I didn't buy this' is the same person who did.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Score Range</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0–100. 100 = all dispute and transaction fields match the same verified identity (strongest friendly-fraud indicator). 0 = no identity match (possible stolen identity, synthetic fraud, or thin-file target).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Key Inputs</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Dispute name · dispute email · dispute phone · dispute address · transaction email · transaction address · transaction phone · shipping address · identity network verification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Visual</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IMAGE-05: Two profile cards side-by-side (Dispute Info / Transaction Info), connecting lines between matching fields (green) or mismatched fields (red). Clean, minimal, UI-card style. Nano Banana Pro.</w:t>
            </w:r>
          </w:p>
        </w:tc>
      </w:tr>
    </w:tbl>
    <w:p>
      <w:pPr>
        <w:spacing w:after="0" w:before="200"/>
      </w:pPr>
      <w:r>
        <w:t xml:space="preserve"/>
      </w:r>
    </w:p>
    <w:p>
      <w:pPr>
        <w:spacing w:after="120" w:before="300"/>
      </w:pPr>
      <w:r>
        <w:rPr>
          <w:rFonts w:ascii="Arial" w:cs="Arial" w:eastAsia="Arial" w:hAnsi="Arial"/>
          <w:b/>
          <w:bCs/>
          <w:color w:val="0A1628"/>
          <w:sz w:val="24"/>
          <w:szCs w:val="24"/>
        </w:rPr>
        <w:t xml:space="preserve">Engine 02 — Identity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Headline</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Is this a trustworthy identity or one with a history?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Body</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The Identity Risk engine evaluates the identity itself, independent of the transaction match. It weighs identity age, fraud history connections, verified data point volume, activity consistency across data streams, and flags for suspicious patterns. An identity can match the transaction perfectly and still carry high risk — this engine surfaces that.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Score Range</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0–100. Higher scores indicate a cleaner identity — long history, strong verification, no fraud connections. Lower scores indicate fraud history, narrow verified footprint, or inconsistent data.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Key Inputs</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Identity age · identity confidence across data streams · fraud history connections · verified data point volume · activity consistency · suspicious pattern flags</w:t>
            </w:r>
          </w:p>
        </w:tc>
      </w:tr>
    </w:tbl>
    <w:p>
      <w:pPr>
        <w:spacing w:after="0" w:before="200"/>
      </w:pPr>
      <w:r>
        <w:t xml:space="preserve"/>
      </w:r>
    </w:p>
    <w:p>
      <w:pPr>
        <w:spacing w:after="120" w:before="300"/>
      </w:pPr>
      <w:r>
        <w:rPr>
          <w:rFonts w:ascii="Arial" w:cs="Arial" w:eastAsia="Arial" w:hAnsi="Arial"/>
          <w:b/>
          <w:bCs/>
          <w:color w:val="0A1628"/>
          <w:sz w:val="24"/>
          <w:szCs w:val="24"/>
        </w:rPr>
        <w:t xml:space="preserve">Engine 03 — Behavioral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Headline</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Does this person behave like a legitimate customer?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Body</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The Behavioral Risk engine analyzes activity patterns over time — transaction velocity, payment method stability, IP address and location changes, identity element modification frequency, chargeback and refund history. Legitimate customers show stable, consistent behavior. Fraud actors show sudden changes — new payment methods, new locations, new contact info — clustered around the disputed transaction.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Score Range</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0–100. High scores indicate stable behavior. Low scores indicate velocity spikes, chargeback history, or multiple simultaneous risk indicators.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Key Inputs</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Account age · transaction history patterns · payment method velocity · IP and location velocity · identity element change frequency · chargeback history · refund pattern anomalies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Visual</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IMAGE-06: Horizontal behavioral velocity timeline — normal-pattern baseline with a sudden spike cluster near the disputed transaction. Annotations call out payment-method change, location change, email-change events. Dark bg, accent color spikes. Nano Banana Pro.</w:t>
            </w:r>
          </w:p>
        </w:tc>
      </w:tr>
    </w:tbl>
    <w:p>
      <w:pPr>
        <w:spacing w:after="0" w:before="200"/>
      </w:pPr>
      <w:r>
        <w:t xml:space="preserve"/>
      </w:r>
    </w:p>
    <w:p>
      <w:pPr>
        <w:spacing w:after="120" w:before="300"/>
      </w:pPr>
      <w:r>
        <w:rPr>
          <w:rFonts w:ascii="Arial" w:cs="Arial" w:eastAsia="Arial" w:hAnsi="Arial"/>
          <w:b/>
          <w:bCs/>
          <w:color w:val="0A1628"/>
          <w:sz w:val="24"/>
          <w:szCs w:val="24"/>
        </w:rPr>
        <w:t xml:space="preserve">The Composite Kombatix Defense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Headline</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One number. Clear signal. Decide fast.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Body</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All three engines feed their scores into the composite Defense scoring model, which weights signals based on data completeness and cross-signal consistency. The result is a single 0–100 score your team — or your automated workflow — can act on without interpretation.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4860"/>
      </w:tblGrid>
      <w:tr>
        <w:trPr>
          <w:tblHeader/>
        </w:trPr>
        <w:tc>
          <w:tcPr>
            <w:tcW w:type="dxa" w:w="17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Defense Score</w:t>
            </w:r>
          </w:p>
        </w:tc>
        <w:tc>
          <w:tcPr>
            <w:tcW w:type="dxa" w:w="28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Signal</w:t>
            </w:r>
          </w:p>
        </w:tc>
        <w:tc>
          <w:tcPr>
            <w:tcW w:type="dxa" w:w="486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Recommended Action</w:t>
            </w:r>
          </w:p>
        </w:tc>
      </w:tr>
      <w:tr>
        <w:tc>
          <w:tcPr>
            <w:tcW w:type="dxa" w:w="17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80–100</w:t>
            </w:r>
          </w:p>
        </w:tc>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Strong friendly fraud indicator</w:t>
            </w:r>
          </w:p>
        </w:tc>
        <w:tc>
          <w:tcPr>
            <w:tcW w:type="dxa" w:w="48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Deny refund. Provide identity-match evidence to customer and/or issuing bank. Close account if policy allows.</w:t>
            </w:r>
          </w:p>
        </w:tc>
      </w:tr>
      <w:tr>
        <w:tc>
          <w:tcPr>
            <w:tcW w:type="dxa" w:w="17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50–79</w:t>
            </w:r>
          </w:p>
        </w:tc>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Mixed signals — review warranted</w:t>
            </w:r>
          </w:p>
        </w:tc>
        <w:tc>
          <w:tcPr>
            <w:tcW w:type="dxa" w:w="48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Manual review. Request additional customer verification before refund or representment decision.</w:t>
            </w:r>
          </w:p>
        </w:tc>
      </w:tr>
      <w:tr>
        <w:tc>
          <w:tcPr>
            <w:tcW w:type="dxa" w:w="17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0–49</w:t>
            </w:r>
          </w:p>
        </w:tc>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Low match / possible true fraud</w:t>
            </w:r>
          </w:p>
        </w:tc>
        <w:tc>
          <w:tcPr>
            <w:tcW w:type="dxa" w:w="48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Treat as potential true fraud. Consider refund or escalation to fraud team. Kombatix scoring is not billed on this range.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Composite Dial Visual</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IMAGE-07: Speedometer-style composite score dial, needle at 94.3. Color gradient zones — red (0–49), amber (50–79), green (80–100). Clean UI component style, 1:1 or 4:3 format. Nano Banana Pro.</w:t>
            </w:r>
          </w:p>
        </w:tc>
      </w:tr>
    </w:tbl>
    <w:p>
      <w:pPr>
        <w:spacing w:after="0" w:before="200"/>
      </w:pPr>
      <w:r>
        <w:t xml:space="preserve"/>
      </w:r>
    </w:p>
    <w:p>
      <w:pPr>
        <w:spacing w:after="120" w:before="300"/>
      </w:pPr>
      <w:r>
        <w:rPr>
          <w:rFonts w:ascii="Arial" w:cs="Arial" w:eastAsia="Arial" w:hAnsi="Arial"/>
          <w:b/>
          <w:bCs/>
          <w:color w:val="0A1628"/>
          <w:sz w:val="24"/>
          <w:szCs w:val="24"/>
        </w:rPr>
        <w:t xml:space="preserve">The AI Defense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Headline</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Every report comes with a ready-to-use narrative.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Body</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Along with the score, every Defense report includes a plain-English narrative summarizing the result. Your agents copy it directly into support tickets, customer responses, or bank representment packages. No writing required, no interpretation needed — the narrative explains what the score means and what the evidence shows, in language the customer or issuer can act 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Visual</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Screenshot-style card showing an actual sample AI Defense Narrative excerpt (from the real product). Styled, not an AI image — pulled from the live Defense Results Report.</w:t>
            </w:r>
          </w:p>
        </w:tc>
      </w:tr>
    </w:tbl>
    <w:p>
      <w:pPr>
        <w:spacing w:after="0" w:before="200"/>
      </w:pPr>
      <w:r>
        <w:t xml:space="preserve"/>
      </w:r>
    </w:p>
    <w:p>
      <w:pPr>
        <w:spacing w:after="120" w:before="300"/>
      </w:pPr>
      <w:r>
        <w:rPr>
          <w:rFonts w:ascii="Arial" w:cs="Arial" w:eastAsia="Arial" w:hAnsi="Arial"/>
          <w:b/>
          <w:bCs/>
          <w:color w:val="0A1628"/>
          <w:sz w:val="24"/>
          <w:szCs w:val="24"/>
        </w:rPr>
        <w:t xml:space="preserve">Access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pPr>
              <w:spacing w:after="120"/>
            </w:pPr>
            <w:r>
              <w:rPr>
                <w:rFonts w:ascii="Arial" w:cs="Arial" w:eastAsia="Arial" w:hAnsi="Arial"/>
                <w:b/>
                <w:bCs/>
                <w:color w:val="0A1628"/>
                <w:sz w:val="24"/>
                <w:szCs w:val="24"/>
              </w:rPr>
              <w:t xml:space="preserve">REST API</w:t>
            </w:r>
          </w:p>
          <w:p>
            <w:r>
              <w:rPr>
                <w:rFonts w:ascii="Arial" w:cs="Arial" w:eastAsia="Arial" w:hAnsi="Arial"/>
                <w:sz w:val="20"/>
                <w:szCs w:val="20"/>
              </w:rPr>
              <w:t xml:space="preserve">Integrate Defense and PreAuth directly into your CRM, helpdesk, checkout, or chargeback workflow. Full REST API with JSON request/response. API key and documentation within 4 business hours of signup. Self-service developer portal available immediately.</w:t>
            </w:r>
          </w:p>
        </w:tc>
        <w:tc>
          <w:tcPr>
            <w:tcW w:type="dxa" w:w="468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pPr>
              <w:spacing w:after="120"/>
            </w:pPr>
            <w:r>
              <w:rPr>
                <w:rFonts w:ascii="Arial" w:cs="Arial" w:eastAsia="Arial" w:hAnsi="Arial"/>
                <w:b/>
                <w:bCs/>
                <w:color w:val="0A1628"/>
                <w:sz w:val="24"/>
                <w:szCs w:val="24"/>
              </w:rPr>
              <w:t xml:space="preserve">Web Application</w:t>
            </w:r>
          </w:p>
          <w:p>
            <w:r>
              <w:rPr>
                <w:rFonts w:ascii="Arial" w:cs="Arial" w:eastAsia="Arial" w:hAnsi="Arial"/>
                <w:sz w:val="20"/>
                <w:szCs w:val="20"/>
              </w:rPr>
              <w:t xml:space="preserve">No-code access via browser. Log in, paste dispute data, get a Defense score instantly, copy the report into your ticket or evidence package. No developer required.</w:t>
            </w:r>
          </w:p>
        </w:tc>
      </w:tr>
    </w:tbl>
    <w:p>
      <w:pPr>
        <w:spacing w:after="0" w:before="200"/>
      </w:pPr>
      <w:r>
        <w:t xml:space="preserve"/>
      </w:r>
    </w:p>
    <w:p>
      <w:pPr>
        <w:spacing w:after="120" w:before="300"/>
      </w:pPr>
      <w:r>
        <w:rPr>
          <w:rFonts w:ascii="Arial" w:cs="Arial" w:eastAsia="Arial" w:hAnsi="Arial"/>
          <w:b/>
          <w:bCs/>
          <w:color w:val="0A1628"/>
          <w:sz w:val="24"/>
          <w:szCs w:val="24"/>
        </w:rPr>
        <w:t xml:space="preserve">Footer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Copy</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The gap in your stack has a product. Two of them.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CTA</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Sign Up Free  →   (app.kombatix.ai/signup)</w:t>
            </w:r>
          </w:p>
        </w:tc>
      </w:tr>
    </w:tbl>
    <w:p>
      <w:pPr>
        <w:pageBreakBefore/>
        <w:spacing w:after="120" w:before="400"/>
      </w:pPr>
      <w:r>
        <w:rPr>
          <w:rFonts w:ascii="Arial" w:cs="Arial" w:eastAsia="Arial" w:hAnsi="Arial"/>
          <w:b/>
          <w:bCs/>
          <w:color w:val="0A1628"/>
          <w:sz w:val="32"/>
          <w:szCs w:val="32"/>
        </w:rPr>
        <w:t xml:space="preserve">PAGE 5 — Pricing</w:t>
      </w:r>
      <w:r>
        <w:rPr>
          <w:rFonts w:ascii="Arial" w:cs="Arial" w:eastAsia="Arial" w:hAnsi="Arial"/>
          <w:color w:val="6B7280"/>
          <w:sz w:val="22"/>
          <w:szCs w:val="22"/>
        </w:rPr>
        <w:t xml:space="preserve">   ·   /pricing</w:t>
      </w:r>
    </w:p>
    <w:p>
      <w:pPr>
        <w:spacing w:after="40" w:before="40"/>
      </w:pPr>
      <w:r>
        <w:rPr>
          <w:rFonts w:ascii="Arial" w:cs="Arial" w:eastAsia="Arial" w:hAnsi="Arial"/>
          <w:i/>
          <w:iCs/>
          <w:color w:val="6B7280"/>
          <w:sz w:val="18"/>
          <w:szCs w:val="18"/>
        </w:rPr>
        <w:t xml:space="preserve">Audience: Merchants evaluating both products  ·  Goal: transparent pricing, clear signup path</w:t>
      </w:r>
    </w:p>
    <w:p>
      <w:pPr>
        <w:spacing w:after="120" w:before="300"/>
      </w:pPr>
      <w:r>
        <w:rPr>
          <w:rFonts w:ascii="Arial" w:cs="Arial" w:eastAsia="Arial" w:hAnsi="Arial"/>
          <w:b/>
          <w:bCs/>
          <w:color w:val="0A1628"/>
          <w:sz w:val="24"/>
          <w:szCs w:val="24"/>
        </w:rPr>
        <w:t xml:space="preserve">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Headline</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Transparent pricing for both products.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Subheadline</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Pay for what moves the needle. PreAuth starts at $49/month; Defense starts at $75/month. Both include full self-service onboarding and live API access within 4 business hours.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Product Toggle</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Top of page: tab toggle between 'Kombatix Defense' and 'Kombatix PreAuth'. Default view shows Defense (the primary product). URL anchor support (#preauth, #defense) for deep-linking from product pages.</w:t>
            </w:r>
          </w:p>
        </w:tc>
      </w:tr>
    </w:tbl>
    <w:p>
      <w:pPr>
        <w:spacing w:after="0" w:before="200"/>
      </w:pPr>
      <w:r>
        <w:t xml:space="preserve"/>
      </w:r>
    </w:p>
    <w:p>
      <w:pPr>
        <w:spacing w:after="120" w:before="300"/>
      </w:pPr>
      <w:r>
        <w:rPr>
          <w:rFonts w:ascii="Arial" w:cs="Arial" w:eastAsia="Arial" w:hAnsi="Arial"/>
          <w:b/>
          <w:bCs/>
          <w:color w:val="0A1628"/>
          <w:sz w:val="24"/>
          <w:szCs w:val="24"/>
        </w:rPr>
        <w:t xml:space="preserve">Defense Pricing Cards (Default View)</w:t>
      </w:r>
    </w:p>
    <w:p>
      <w:pPr>
        <w:spacing w:after="80" w:before="80"/>
      </w:pPr>
      <w:r>
        <w:rPr>
          <w:rFonts w:ascii="Arial" w:cs="Arial" w:eastAsia="Arial" w:hAnsi="Arial"/>
          <w:color w:val="111827"/>
          <w:sz w:val="20"/>
          <w:szCs w:val="20"/>
        </w:rPr>
        <w:t xml:space="preserve">Three plans. Pay-per-hit overage based on tier. No long-term contract.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4"/>
              <w:left w:val="single" w:color="D1D5DB" w:sz="4"/>
              <w:bottom w:val="single" w:color="D1D5DB" w:sz="4"/>
              <w:right w:val="single" w:color="D1D5DB" w:sz="4"/>
            </w:tcBorders>
            <w:shd w:fill="0A1628" w:val="clear"/>
            <w:tcMar>
              <w:top w:type="dxa" w:w="200"/>
              <w:left w:type="dxa" w:w="200"/>
              <w:bottom w:type="dxa" w:w="200"/>
              <w:right w:type="dxa" w:w="200"/>
            </w:tcMar>
            <w:vAlign w:val="top"/>
          </w:tcPr>
          <w:p>
            <w:pPr>
              <w:spacing w:after="120"/>
            </w:pPr>
            <w:r>
              <w:rPr>
                <w:rFonts w:ascii="Arial" w:cs="Arial" w:eastAsia="Arial" w:hAnsi="Arial"/>
                <w:b/>
                <w:bCs/>
                <w:color w:val="FFFFFF"/>
                <w:sz w:val="20"/>
                <w:szCs w:val="20"/>
              </w:rPr>
              <w:t xml:space="preserve">Standard — $75/month</w:t>
            </w:r>
          </w:p>
          <w:p>
            <w:r>
              <w:rPr>
                <w:rFonts w:ascii="Arial" w:cs="Arial" w:eastAsia="Arial" w:hAnsi="Arial"/>
                <w:color w:val="FFFFFF"/>
                <w:sz w:val="18"/>
                <w:szCs w:val="18"/>
              </w:rPr>
              <w:t xml:space="preserve">Up to 75 Defense hits/month. $0.60 per additional hit. Full three-engine scoring. API key in 4 business hours. Self-service portal access. Get Started →</w:t>
            </w:r>
          </w:p>
        </w:tc>
        <w:tc>
          <w:tcPr>
            <w:tcW w:type="dxa" w:w="3120"/>
            <w:tcBorders>
              <w:top w:val="single" w:color="D1D5DB" w:sz="4"/>
              <w:left w:val="single" w:color="D1D5DB" w:sz="4"/>
              <w:bottom w:val="single" w:color="D1D5DB" w:sz="4"/>
              <w:right w:val="single" w:color="D1D5DB" w:sz="4"/>
            </w:tcBorders>
            <w:shd w:fill="0A1628" w:val="clear"/>
            <w:tcMar>
              <w:top w:type="dxa" w:w="200"/>
              <w:left w:type="dxa" w:w="200"/>
              <w:bottom w:type="dxa" w:w="200"/>
              <w:right w:type="dxa" w:w="200"/>
            </w:tcMar>
            <w:vAlign w:val="top"/>
          </w:tcPr>
          <w:p>
            <w:pPr>
              <w:spacing w:after="120"/>
            </w:pPr>
            <w:r>
              <w:rPr>
                <w:rFonts w:ascii="Arial" w:cs="Arial" w:eastAsia="Arial" w:hAnsi="Arial"/>
                <w:b/>
                <w:bCs/>
                <w:color w:val="FFFFFF"/>
                <w:sz w:val="20"/>
                <w:szCs w:val="20"/>
              </w:rPr>
              <w:t xml:space="preserve">Advanced — $500/month</w:t>
            </w:r>
          </w:p>
          <w:p>
            <w:r>
              <w:rPr>
                <w:rFonts w:ascii="Arial" w:cs="Arial" w:eastAsia="Arial" w:hAnsi="Arial"/>
                <w:color w:val="FFFFFF"/>
                <w:sz w:val="18"/>
                <w:szCs w:val="18"/>
              </w:rPr>
              <w:t xml:space="preserve">Up to 1,000 Defense hits/month. $0.40 per additional hit. Full three-engine scoring. API key in 4 business hours. Self-service portal access. Get Started →</w:t>
            </w:r>
          </w:p>
        </w:tc>
        <w:tc>
          <w:tcPr>
            <w:tcW w:type="dxa" w:w="3120"/>
            <w:tcBorders>
              <w:top w:val="single" w:color="D1D5DB" w:sz="4"/>
              <w:left w:val="single" w:color="D1D5DB" w:sz="4"/>
              <w:bottom w:val="single" w:color="D1D5DB" w:sz="4"/>
              <w:right w:val="single" w:color="D1D5DB" w:sz="4"/>
            </w:tcBorders>
            <w:shd w:fill="0A1628" w:val="clear"/>
            <w:tcMar>
              <w:top w:type="dxa" w:w="200"/>
              <w:left w:type="dxa" w:w="200"/>
              <w:bottom w:type="dxa" w:w="200"/>
              <w:right w:type="dxa" w:w="200"/>
            </w:tcMar>
            <w:vAlign w:val="top"/>
          </w:tcPr>
          <w:p>
            <w:pPr>
              <w:spacing w:after="120"/>
            </w:pPr>
            <w:r>
              <w:rPr>
                <w:rFonts w:ascii="Arial" w:cs="Arial" w:eastAsia="Arial" w:hAnsi="Arial"/>
                <w:b/>
                <w:bCs/>
                <w:color w:val="FFFFFF"/>
                <w:sz w:val="20"/>
                <w:szCs w:val="20"/>
              </w:rPr>
              <w:t xml:space="preserve">Enterprise — Custom</w:t>
            </w:r>
          </w:p>
          <w:p>
            <w:r>
              <w:rPr>
                <w:rFonts w:ascii="Arial" w:cs="Arial" w:eastAsia="Arial" w:hAnsi="Arial"/>
                <w:color w:val="FFFFFF"/>
                <w:sz w:val="18"/>
                <w:szCs w:val="18"/>
              </w:rPr>
              <w:t xml:space="preserve">50,000+ calls/month. Custom data dictionary options. Dedicated product specialist. SLA &amp; priority support. Enterprise contract + invoicing. Contact Us →</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FAFB" w:val="clear"/>
            <w:tcMar>
              <w:top w:type="dxa" w:w="200"/>
              <w:left w:type="dxa" w:w="250"/>
              <w:bottom w:type="dxa" w:w="200"/>
              <w:right w:type="dxa" w:w="250"/>
            </w:tcMar>
          </w:tcPr>
          <w:p>
            <w:pPr>
              <w:spacing w:after="120"/>
            </w:pPr>
            <w:r>
              <w:rPr>
                <w:rFonts w:ascii="Arial" w:cs="Arial" w:eastAsia="Arial" w:hAnsi="Arial"/>
                <w:b/>
                <w:bCs/>
                <w:color w:val="0A1628"/>
                <w:sz w:val="22"/>
                <w:szCs w:val="22"/>
              </w:rPr>
              <w:t xml:space="preserve">Pay for actionable outcomes.</w:t>
            </w:r>
          </w:p>
          <w:p>
            <w:r>
              <w:rPr>
                <w:rFonts w:ascii="Arial" w:cs="Arial" w:eastAsia="Arial" w:hAnsi="Arial"/>
                <w:color w:val="111827"/>
                <w:sz w:val="20"/>
                <w:szCs w:val="20"/>
              </w:rPr>
              <w:t xml:space="preserve">Defense billing is weighted toward high-confidence results. Low-confidence scores — where our data didn't give us enough signal to be useful to you — are not billed at the same rate as actionable friendly-fraud results. Full rate schedule shared during onboarding.</w:t>
            </w:r>
          </w:p>
        </w:tc>
      </w:tr>
    </w:tbl>
    <w:p>
      <w:pPr>
        <w:spacing w:after="0" w:before="200"/>
      </w:pPr>
      <w:r>
        <w:t xml:space="preserve"/>
      </w:r>
    </w:p>
    <w:p>
      <w:pPr>
        <w:spacing w:after="120" w:before="300"/>
      </w:pPr>
      <w:r>
        <w:rPr>
          <w:rFonts w:ascii="Arial" w:cs="Arial" w:eastAsia="Arial" w:hAnsi="Arial"/>
          <w:b/>
          <w:bCs/>
          <w:color w:val="0A1628"/>
          <w:sz w:val="24"/>
          <w:szCs w:val="24"/>
        </w:rPr>
        <w:t xml:space="preserve">Defense Feature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rPr>
          <w:tblHeader/>
        </w:trPr>
        <w:tc>
          <w:tcPr>
            <w:tcW w:type="dxa" w:w="36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Feature</w:t>
            </w:r>
          </w:p>
        </w:tc>
        <w:tc>
          <w:tcPr>
            <w:tcW w:type="dxa" w:w="192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Standard</w:t>
            </w:r>
          </w:p>
        </w:tc>
        <w:tc>
          <w:tcPr>
            <w:tcW w:type="dxa" w:w="192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Advanced</w:t>
            </w:r>
          </w:p>
        </w:tc>
        <w:tc>
          <w:tcPr>
            <w:tcW w:type="dxa" w:w="192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Enterprise</w:t>
            </w:r>
          </w:p>
        </w:tc>
      </w:tr>
      <w:tr>
        <w:tc>
          <w:tcPr>
            <w:tcW w:type="dxa" w:w="3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Identity Match Scoring</w:t>
            </w:r>
          </w:p>
        </w:tc>
        <w:tc>
          <w:tcPr>
            <w:tcW w:type="dxa" w:w="192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w:t>
            </w:r>
          </w:p>
        </w:tc>
        <w:tc>
          <w:tcPr>
            <w:tcW w:type="dxa" w:w="192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w:t>
            </w:r>
          </w:p>
        </w:tc>
        <w:tc>
          <w:tcPr>
            <w:tcW w:type="dxa" w:w="192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w:t>
            </w:r>
          </w:p>
        </w:tc>
      </w:tr>
      <w:tr>
        <w:tc>
          <w:tcPr>
            <w:tcW w:type="dxa" w:w="3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Identity Risk Scoring</w:t>
            </w:r>
          </w:p>
        </w:tc>
        <w:tc>
          <w:tcPr>
            <w:tcW w:type="dxa" w:w="192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w:t>
            </w:r>
          </w:p>
        </w:tc>
        <w:tc>
          <w:tcPr>
            <w:tcW w:type="dxa" w:w="192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w:t>
            </w:r>
          </w:p>
        </w:tc>
        <w:tc>
          <w:tcPr>
            <w:tcW w:type="dxa" w:w="192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w:t>
            </w:r>
          </w:p>
        </w:tc>
      </w:tr>
      <w:tr>
        <w:tc>
          <w:tcPr>
            <w:tcW w:type="dxa" w:w="3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Behavioral Risk Scoring</w:t>
            </w:r>
          </w:p>
        </w:tc>
        <w:tc>
          <w:tcPr>
            <w:tcW w:type="dxa" w:w="192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w:t>
            </w:r>
          </w:p>
        </w:tc>
        <w:tc>
          <w:tcPr>
            <w:tcW w:type="dxa" w:w="192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w:t>
            </w:r>
          </w:p>
        </w:tc>
        <w:tc>
          <w:tcPr>
            <w:tcW w:type="dxa" w:w="192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w:t>
            </w:r>
          </w:p>
        </w:tc>
      </w:tr>
      <w:tr>
        <w:tc>
          <w:tcPr>
            <w:tcW w:type="dxa" w:w="3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Composite Defense Score</w:t>
            </w:r>
          </w:p>
        </w:tc>
        <w:tc>
          <w:tcPr>
            <w:tcW w:type="dxa" w:w="192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w:t>
            </w:r>
          </w:p>
        </w:tc>
        <w:tc>
          <w:tcPr>
            <w:tcW w:type="dxa" w:w="192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w:t>
            </w:r>
          </w:p>
        </w:tc>
        <w:tc>
          <w:tcPr>
            <w:tcW w:type="dxa" w:w="192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w:t>
            </w:r>
          </w:p>
        </w:tc>
      </w:tr>
      <w:tr>
        <w:tc>
          <w:tcPr>
            <w:tcW w:type="dxa" w:w="3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AI Defense Narrative</w:t>
            </w:r>
          </w:p>
        </w:tc>
        <w:tc>
          <w:tcPr>
            <w:tcW w:type="dxa" w:w="192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w:t>
            </w:r>
          </w:p>
        </w:tc>
        <w:tc>
          <w:tcPr>
            <w:tcW w:type="dxa" w:w="192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w:t>
            </w:r>
          </w:p>
        </w:tc>
        <w:tc>
          <w:tcPr>
            <w:tcW w:type="dxa" w:w="192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w:t>
            </w:r>
          </w:p>
        </w:tc>
      </w:tr>
      <w:tr>
        <w:tc>
          <w:tcPr>
            <w:tcW w:type="dxa" w:w="3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Self-Service Web Portal</w:t>
            </w:r>
          </w:p>
        </w:tc>
        <w:tc>
          <w:tcPr>
            <w:tcW w:type="dxa" w:w="192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w:t>
            </w:r>
          </w:p>
        </w:tc>
        <w:tc>
          <w:tcPr>
            <w:tcW w:type="dxa" w:w="192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w:t>
            </w:r>
          </w:p>
        </w:tc>
        <w:tc>
          <w:tcPr>
            <w:tcW w:type="dxa" w:w="192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w:t>
            </w:r>
          </w:p>
        </w:tc>
      </w:tr>
      <w:tr>
        <w:tc>
          <w:tcPr>
            <w:tcW w:type="dxa" w:w="3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REST API Access</w:t>
            </w:r>
          </w:p>
        </w:tc>
        <w:tc>
          <w:tcPr>
            <w:tcW w:type="dxa" w:w="192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w:t>
            </w:r>
          </w:p>
        </w:tc>
        <w:tc>
          <w:tcPr>
            <w:tcW w:type="dxa" w:w="192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w:t>
            </w:r>
          </w:p>
        </w:tc>
        <w:tc>
          <w:tcPr>
            <w:tcW w:type="dxa" w:w="192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w:t>
            </w:r>
          </w:p>
        </w:tc>
      </w:tr>
      <w:tr>
        <w:tc>
          <w:tcPr>
            <w:tcW w:type="dxa" w:w="3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Included Hits / Month</w:t>
            </w:r>
          </w:p>
        </w:tc>
        <w:tc>
          <w:tcPr>
            <w:tcW w:type="dxa" w:w="192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75</w:t>
            </w:r>
          </w:p>
        </w:tc>
        <w:tc>
          <w:tcPr>
            <w:tcW w:type="dxa" w:w="192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1,000</w:t>
            </w:r>
          </w:p>
        </w:tc>
        <w:tc>
          <w:tcPr>
            <w:tcW w:type="dxa" w:w="192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Custom</w:t>
            </w:r>
          </w:p>
        </w:tc>
      </w:tr>
      <w:tr>
        <w:tc>
          <w:tcPr>
            <w:tcW w:type="dxa" w:w="3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Per Additional Hit</w:t>
            </w:r>
          </w:p>
        </w:tc>
        <w:tc>
          <w:tcPr>
            <w:tcW w:type="dxa" w:w="192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$0.60</w:t>
            </w:r>
          </w:p>
        </w:tc>
        <w:tc>
          <w:tcPr>
            <w:tcW w:type="dxa" w:w="192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$0.40</w:t>
            </w:r>
          </w:p>
        </w:tc>
        <w:tc>
          <w:tcPr>
            <w:tcW w:type="dxa" w:w="192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Volume rate</w:t>
            </w:r>
          </w:p>
        </w:tc>
      </w:tr>
      <w:tr>
        <w:tc>
          <w:tcPr>
            <w:tcW w:type="dxa" w:w="3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Custom Data Dictionary</w:t>
            </w:r>
          </w:p>
        </w:tc>
        <w:tc>
          <w:tcPr>
            <w:tcW w:type="dxa" w:w="192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w:t>
            </w:r>
          </w:p>
        </w:tc>
        <w:tc>
          <w:tcPr>
            <w:tcW w:type="dxa" w:w="192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w:t>
            </w:r>
          </w:p>
        </w:tc>
        <w:tc>
          <w:tcPr>
            <w:tcW w:type="dxa" w:w="192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w:t>
            </w:r>
          </w:p>
        </w:tc>
      </w:tr>
      <w:tr>
        <w:tc>
          <w:tcPr>
            <w:tcW w:type="dxa" w:w="3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Dedicated Product Specialist</w:t>
            </w:r>
          </w:p>
        </w:tc>
        <w:tc>
          <w:tcPr>
            <w:tcW w:type="dxa" w:w="192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w:t>
            </w:r>
          </w:p>
        </w:tc>
        <w:tc>
          <w:tcPr>
            <w:tcW w:type="dxa" w:w="192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w:t>
            </w:r>
          </w:p>
        </w:tc>
        <w:tc>
          <w:tcPr>
            <w:tcW w:type="dxa" w:w="192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w:t>
            </w:r>
          </w:p>
        </w:tc>
      </w:tr>
      <w:tr>
        <w:tc>
          <w:tcPr>
            <w:tcW w:type="dxa" w:w="3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SLA &amp; Priority Support</w:t>
            </w:r>
          </w:p>
        </w:tc>
        <w:tc>
          <w:tcPr>
            <w:tcW w:type="dxa" w:w="192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w:t>
            </w:r>
          </w:p>
        </w:tc>
        <w:tc>
          <w:tcPr>
            <w:tcW w:type="dxa" w:w="192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w:t>
            </w:r>
          </w:p>
        </w:tc>
        <w:tc>
          <w:tcPr>
            <w:tcW w:type="dxa" w:w="192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w:t>
            </w:r>
          </w:p>
        </w:tc>
      </w:tr>
    </w:tbl>
    <w:p>
      <w:pPr>
        <w:spacing w:after="0" w:before="200"/>
      </w:pPr>
      <w:r>
        <w:t xml:space="preserve"/>
      </w:r>
    </w:p>
    <w:p>
      <w:pPr>
        <w:spacing w:after="120" w:before="300"/>
      </w:pPr>
      <w:r>
        <w:rPr>
          <w:rFonts w:ascii="Arial" w:cs="Arial" w:eastAsia="Arial" w:hAnsi="Arial"/>
          <w:b/>
          <w:bCs/>
          <w:color w:val="0A1628"/>
          <w:sz w:val="24"/>
          <w:szCs w:val="24"/>
        </w:rPr>
        <w:t xml:space="preserve">PreAuth Pricing Cards (Toggle View)</w:t>
      </w:r>
    </w:p>
    <w:p>
      <w:pPr>
        <w:spacing w:after="80" w:before="80"/>
      </w:pPr>
      <w:r>
        <w:rPr>
          <w:rFonts w:ascii="Arial" w:cs="Arial" w:eastAsia="Arial" w:hAnsi="Arial"/>
          <w:color w:val="111827"/>
          <w:sz w:val="20"/>
          <w:szCs w:val="20"/>
        </w:rPr>
        <w:t xml:space="preserve">Three plans. Pay-per-check overage based on tier. No-hit checks priced at a fraction of a cent. One-time $250 implementation fee applies at onboarding.</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4"/>
              <w:left w:val="single" w:color="D1D5DB" w:sz="4"/>
              <w:bottom w:val="single" w:color="D1D5DB" w:sz="4"/>
              <w:right w:val="single" w:color="D1D5DB" w:sz="4"/>
            </w:tcBorders>
            <w:shd w:fill="0A1628" w:val="clear"/>
            <w:tcMar>
              <w:top w:type="dxa" w:w="200"/>
              <w:left w:type="dxa" w:w="200"/>
              <w:bottom w:type="dxa" w:w="200"/>
              <w:right w:type="dxa" w:w="200"/>
            </w:tcMar>
            <w:vAlign w:val="top"/>
          </w:tcPr>
          <w:p>
            <w:pPr>
              <w:spacing w:after="120"/>
            </w:pPr>
            <w:r>
              <w:rPr>
                <w:rFonts w:ascii="Arial" w:cs="Arial" w:eastAsia="Arial" w:hAnsi="Arial"/>
                <w:b/>
                <w:bCs/>
                <w:color w:val="FFFFFF"/>
                <w:sz w:val="20"/>
                <w:szCs w:val="20"/>
              </w:rPr>
              <w:t xml:space="preserve">PreAuth Starter — $49/mo</w:t>
            </w:r>
          </w:p>
          <w:p>
            <w:r>
              <w:rPr>
                <w:rFonts w:ascii="Arial" w:cs="Arial" w:eastAsia="Arial" w:hAnsi="Arial"/>
                <w:color w:val="FFFFFF"/>
                <w:sz w:val="18"/>
                <w:szCs w:val="18"/>
              </w:rPr>
              <w:t xml:space="preserve">Up to ~25K transactions/month. No-hit: $0.005 each. Hits: $0.15 each. $49 monthly credit toward usage. API key + documentation access. Select Plan →</w:t>
            </w:r>
          </w:p>
        </w:tc>
        <w:tc>
          <w:tcPr>
            <w:tcW w:type="dxa" w:w="3120"/>
            <w:tcBorders>
              <w:top w:val="single" w:color="D1D5DB" w:sz="4"/>
              <w:left w:val="single" w:color="D1D5DB" w:sz="4"/>
              <w:bottom w:val="single" w:color="D1D5DB" w:sz="4"/>
              <w:right w:val="single" w:color="D1D5DB" w:sz="4"/>
            </w:tcBorders>
            <w:shd w:fill="0A1628" w:val="clear"/>
            <w:tcMar>
              <w:top w:type="dxa" w:w="200"/>
              <w:left w:type="dxa" w:w="200"/>
              <w:bottom w:type="dxa" w:w="200"/>
              <w:right w:type="dxa" w:w="200"/>
            </w:tcMar>
            <w:vAlign w:val="top"/>
          </w:tcPr>
          <w:p>
            <w:pPr>
              <w:spacing w:after="120"/>
            </w:pPr>
            <w:r>
              <w:rPr>
                <w:rFonts w:ascii="Arial" w:cs="Arial" w:eastAsia="Arial" w:hAnsi="Arial"/>
                <w:b/>
                <w:bCs/>
                <w:color w:val="FFFFFF"/>
                <w:sz w:val="20"/>
                <w:szCs w:val="20"/>
              </w:rPr>
              <w:t xml:space="preserve">PreAuth Growth — $149/mo ★</w:t>
            </w:r>
          </w:p>
          <w:p>
            <w:r>
              <w:rPr>
                <w:rFonts w:ascii="Arial" w:cs="Arial" w:eastAsia="Arial" w:hAnsi="Arial"/>
                <w:color w:val="FFFFFF"/>
                <w:sz w:val="18"/>
                <w:szCs w:val="18"/>
              </w:rPr>
              <w:t xml:space="preserve">25K–100K transactions/month. No-hit: $0.005 each. Hits: $0.10 each. $149 monthly credit. Priority support. API key + documentation access. Select Plan →</w:t>
            </w:r>
          </w:p>
        </w:tc>
        <w:tc>
          <w:tcPr>
            <w:tcW w:type="dxa" w:w="3120"/>
            <w:tcBorders>
              <w:top w:val="single" w:color="D1D5DB" w:sz="4"/>
              <w:left w:val="single" w:color="D1D5DB" w:sz="4"/>
              <w:bottom w:val="single" w:color="D1D5DB" w:sz="4"/>
              <w:right w:val="single" w:color="D1D5DB" w:sz="4"/>
            </w:tcBorders>
            <w:shd w:fill="0A1628" w:val="clear"/>
            <w:tcMar>
              <w:top w:type="dxa" w:w="200"/>
              <w:left w:type="dxa" w:w="200"/>
              <w:bottom w:type="dxa" w:w="200"/>
              <w:right w:type="dxa" w:w="200"/>
            </w:tcMar>
            <w:vAlign w:val="top"/>
          </w:tcPr>
          <w:p>
            <w:pPr>
              <w:spacing w:after="120"/>
            </w:pPr>
            <w:r>
              <w:rPr>
                <w:rFonts w:ascii="Arial" w:cs="Arial" w:eastAsia="Arial" w:hAnsi="Arial"/>
                <w:b/>
                <w:bCs/>
                <w:color w:val="FFFFFF"/>
                <w:sz w:val="20"/>
                <w:szCs w:val="20"/>
              </w:rPr>
              <w:t xml:space="preserve">PreAuth Enterprise — $499/mo</w:t>
            </w:r>
          </w:p>
          <w:p>
            <w:r>
              <w:rPr>
                <w:rFonts w:ascii="Arial" w:cs="Arial" w:eastAsia="Arial" w:hAnsi="Arial"/>
                <w:color w:val="FFFFFF"/>
                <w:sz w:val="18"/>
                <w:szCs w:val="18"/>
              </w:rPr>
              <w:t xml:space="preserve">100K+ transactions/month. No-hit: $0.005 each. Hits: $0.05 each. $499 monthly credit. Dedicated support. Custom integrations. Select Plan →</w:t>
            </w:r>
          </w:p>
        </w:tc>
      </w:tr>
    </w:tbl>
    <w:p>
      <w:pPr>
        <w:spacing w:after="0" w:before="100"/>
      </w:pPr>
      <w:r>
        <w:t xml:space="preserve"/>
      </w:r>
    </w:p>
    <w:p>
      <w:pPr>
        <w:spacing w:after="40" w:before="40"/>
      </w:pPr>
      <w:r>
        <w:rPr>
          <w:rFonts w:ascii="Arial" w:cs="Arial" w:eastAsia="Arial" w:hAnsi="Arial"/>
          <w:i/>
          <w:iCs/>
          <w:color w:val="6B7280"/>
          <w:sz w:val="18"/>
          <w:szCs w:val="18"/>
        </w:rPr>
        <w:t xml:space="preserve">★ Growth is the recommended plan for merchants processing 25K–100K transactions per month. One-time $250 implementation fee applies to all PreAuth plans at onboarding.</w:t>
      </w:r>
    </w:p>
    <w:p>
      <w:pPr>
        <w:spacing w:after="0" w:before="200"/>
      </w:pPr>
      <w:r>
        <w:t xml:space="preserve"/>
      </w:r>
    </w:p>
    <w:p>
      <w:pPr>
        <w:spacing w:after="120" w:before="300"/>
      </w:pPr>
      <w:r>
        <w:rPr>
          <w:rFonts w:ascii="Arial" w:cs="Arial" w:eastAsia="Arial" w:hAnsi="Arial"/>
          <w:b/>
          <w:bCs/>
          <w:color w:val="0A1628"/>
          <w:sz w:val="24"/>
          <w:szCs w:val="24"/>
        </w:rPr>
        <w:t xml:space="preserve">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Q: Is there a free trial?</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Not at this time. Sign up for any Standard/Starter plan and be running API calls within 4 business hours. Upgrade or cancel anytime — no long-term contract.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Q: What counts as a 'hit' for Defense?</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One API call that returns a scored Defense Report. Sandbox test calls do not count against your monthly allocation.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Q: What's the difference between a no-hit and a hit in PreAuth?</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A no-hit means the identity was not found in the Kombatix Network — you paid a fraction of a cent for the check. A hit means we found a match and returned severity + match data — billed at the tier's hit rate. Most checks in production are no-hits.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Q: Can I use Kombatix with my existing support and fraud tools?</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Yes. Kombatix returns structured JSON via REST API and integrates with any CRM, helpdesk, or fraud platform. For no-code use, the web application allows copy-paste of results into existing tickets. PreAuth sits upstream of your existing fraud stack and complements rather than replaces 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Q: What if I need more than 50,000 Defense calls per month?</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Contact us for Enterprise pricing. A product specialist will reach out within one business day.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Q: Is my customer data stored?</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Kombatix uses query data to return a scored result and, where applicable, to contribute to the Kombatix Network. See our Privacy Policy for full data handling details, including opt-outs and data retention.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Q: Can I use both Defense and PreAuth?</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Yes — most customers use both. Defense and PreAuth share infrastructure and billing. Using both also strengthens the Kombatix Network, which improves outcomes for all customers.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Q: Is there a setup fee?</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Defense has no setup fee. PreAuth has a one-time $250 implementation fee that covers the pre-authorization workflow integration.</w:t>
            </w:r>
          </w:p>
        </w:tc>
      </w:tr>
    </w:tbl>
    <w:p>
      <w:pPr>
        <w:spacing w:after="40" w:before="40"/>
      </w:pPr>
      <w:r>
        <w:rPr>
          <w:rFonts w:ascii="Arial" w:cs="Arial" w:eastAsia="Arial" w:hAnsi="Arial"/>
          <w:i/>
          <w:iCs/>
          <w:color w:val="6B7280"/>
          <w:sz w:val="18"/>
          <w:szCs w:val="18"/>
        </w:rPr>
        <w:t xml:space="preserve">All FAQ entries rendered with FAQPage JSON-LD schema + speakable schema. See Section 5 — AEO/SEO/GEO Strategy.</w:t>
      </w:r>
    </w:p>
    <w:p>
      <w:pPr>
        <w:pageBreakBefore/>
        <w:spacing w:after="120" w:before="400"/>
      </w:pPr>
      <w:r>
        <w:rPr>
          <w:rFonts w:ascii="Arial" w:cs="Arial" w:eastAsia="Arial" w:hAnsi="Arial"/>
          <w:b/>
          <w:bCs/>
          <w:color w:val="0A1628"/>
          <w:sz w:val="32"/>
          <w:szCs w:val="32"/>
        </w:rPr>
        <w:t xml:space="preserve">PAGE 6 — Partners</w:t>
      </w:r>
      <w:r>
        <w:rPr>
          <w:rFonts w:ascii="Arial" w:cs="Arial" w:eastAsia="Arial" w:hAnsi="Arial"/>
          <w:color w:val="6B7280"/>
          <w:sz w:val="22"/>
          <w:szCs w:val="22"/>
        </w:rPr>
        <w:t xml:space="preserve">   ·   /partners</w:t>
      </w:r>
    </w:p>
    <w:p>
      <w:pPr>
        <w:spacing w:after="40" w:before="40"/>
      </w:pPr>
      <w:r>
        <w:rPr>
          <w:rFonts w:ascii="Arial" w:cs="Arial" w:eastAsia="Arial" w:hAnsi="Arial"/>
          <w:i/>
          <w:iCs/>
          <w:color w:val="6B7280"/>
          <w:sz w:val="18"/>
          <w:szCs w:val="18"/>
        </w:rPr>
        <w:t xml:space="preserve">Audience: Payment processors, fraud platforms, acquirers, chargeback platforms  ·  Goal: partnership inquiry</w:t>
      </w:r>
    </w:p>
    <w:p>
      <w:pPr>
        <w:spacing w:after="120" w:before="300"/>
      </w:pPr>
      <w:r>
        <w:rPr>
          <w:rFonts w:ascii="Arial" w:cs="Arial" w:eastAsia="Arial" w:hAnsi="Arial"/>
          <w:b/>
          <w:bCs/>
          <w:color w:val="0A1628"/>
          <w:sz w:val="24"/>
          <w:szCs w:val="24"/>
        </w:rPr>
        <w:t xml:space="preserve">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Audience Tag</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FOR PAYMENT PROCESSORS  ·  FRAUD PLATFORMS  ·  ACQUIRERS  ·  CHARGEBACK PLATFORMS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Headline</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Embed identity scoring across your platform — and grow the network with every transaction.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Subheadline</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Kombatix is API-first and built for scale. Embed Defense scoring into your dispute workflows or PreAuth screening into your authorization flow, and your merchants automatically contribute to and benefit from the Kombatix Network — the shared identity graph of confirmed friendly fraudsters, growing every day.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Primary CTA</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Contact Partnership Team  →   (scrolls to form)</w:t>
            </w:r>
          </w:p>
        </w:tc>
      </w:tr>
    </w:tbl>
    <w:p>
      <w:pPr>
        <w:spacing w:after="0" w:before="200"/>
      </w:pPr>
      <w:r>
        <w:t xml:space="preserve"/>
      </w:r>
    </w:p>
    <w:p>
      <w:pPr>
        <w:spacing w:after="120" w:before="300"/>
      </w:pPr>
      <w:r>
        <w:rPr>
          <w:rFonts w:ascii="Arial" w:cs="Arial" w:eastAsia="Arial" w:hAnsi="Arial"/>
          <w:b/>
          <w:bCs/>
          <w:color w:val="0A1628"/>
          <w:sz w:val="24"/>
          <w:szCs w:val="24"/>
        </w:rPr>
        <w:t xml:space="preserve">The Network Advantage for Partners</w:t>
      </w:r>
    </w:p>
    <w:p>
      <w:pPr>
        <w:spacing w:after="80" w:before="80"/>
      </w:pPr>
      <w:r>
        <w:rPr>
          <w:rFonts w:ascii="Arial" w:cs="Arial" w:eastAsia="Arial" w:hAnsi="Arial"/>
          <w:color w:val="111827"/>
          <w:sz w:val="20"/>
          <w:szCs w:val="20"/>
        </w:rPr>
        <w:t xml:space="preserve">Every Kombatix partnership makes the network stronger. When a Kombatix-integrated platform screens transactions through PreAuth, it benefits from the cumulative scoring activity of every Defense customer. When that platform's customers use Defense to fight disputes, the confirmed friendly-fraud identities flow back into the network for every PreAuth customer to screen against.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250"/>
              <w:bottom w:type="dxa" w:w="200"/>
              <w:right w:type="dxa" w:w="250"/>
            </w:tcMar>
          </w:tcPr>
          <w:p>
            <w:pPr>
              <w:spacing w:after="120"/>
            </w:pPr>
            <w:r>
              <w:rPr>
                <w:rFonts w:ascii="Arial" w:cs="Arial" w:eastAsia="Arial" w:hAnsi="Arial"/>
                <w:b/>
                <w:bCs/>
                <w:color w:val="FFFFFF"/>
                <w:sz w:val="22"/>
                <w:szCs w:val="22"/>
              </w:rPr>
              <w:t xml:space="preserve">Flywheel, not feature.</w:t>
            </w:r>
          </w:p>
          <w:p>
            <w:r>
              <w:rPr>
                <w:rFonts w:ascii="Arial" w:cs="Arial" w:eastAsia="Arial" w:hAnsi="Arial"/>
                <w:color w:val="FFFFFF"/>
                <w:sz w:val="20"/>
                <w:szCs w:val="20"/>
              </w:rPr>
              <w:t xml:space="preserve">Most fraud data sources are static. The Kombatix Network compounds. Every new Defense customer adds data; every new PreAuth customer adds screening volume. The value to any individual partner grows with every other partner — and every merchant — in the network.</w:t>
            </w:r>
          </w:p>
        </w:tc>
      </w:tr>
    </w:tbl>
    <w:p>
      <w:pPr>
        <w:spacing w:after="0" w:before="200"/>
      </w:pPr>
      <w:r>
        <w:t xml:space="preserve"/>
      </w:r>
    </w:p>
    <w:p>
      <w:pPr>
        <w:spacing w:after="120" w:before="300"/>
      </w:pPr>
      <w:r>
        <w:rPr>
          <w:rFonts w:ascii="Arial" w:cs="Arial" w:eastAsia="Arial" w:hAnsi="Arial"/>
          <w:b/>
          <w:bCs/>
          <w:color w:val="0A1628"/>
          <w:sz w:val="24"/>
          <w:szCs w:val="24"/>
        </w:rPr>
        <w:t xml:space="preserve">Who We Partner With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4"/>
              <w:left w:val="single" w:color="D1D5DB" w:sz="4"/>
              <w:bottom w:val="single" w:color="D1D5DB" w:sz="4"/>
              <w:right w:val="single" w:color="D1D5DB" w:sz="4"/>
            </w:tcBorders>
            <w:shd w:fill="0A1628" w:val="clear"/>
            <w:tcMar>
              <w:top w:type="dxa" w:w="200"/>
              <w:left w:type="dxa" w:w="200"/>
              <w:bottom w:type="dxa" w:w="200"/>
              <w:right w:type="dxa" w:w="200"/>
            </w:tcMar>
            <w:vAlign w:val="top"/>
          </w:tcPr>
          <w:p>
            <w:pPr>
              <w:spacing w:after="120"/>
            </w:pPr>
            <w:r>
              <w:rPr>
                <w:rFonts w:ascii="Arial" w:cs="Arial" w:eastAsia="Arial" w:hAnsi="Arial"/>
                <w:b/>
                <w:bCs/>
                <w:color w:val="FFFFFF"/>
                <w:sz w:val="20"/>
                <w:szCs w:val="20"/>
              </w:rPr>
              <w:t xml:space="preserve">Fraud &amp; Chargeback Platforms</w:t>
            </w:r>
          </w:p>
          <w:p>
            <w:r>
              <w:rPr>
                <w:rFonts w:ascii="Arial" w:cs="Arial" w:eastAsia="Arial" w:hAnsi="Arial"/>
                <w:color w:val="FFFFFF"/>
                <w:sz w:val="18"/>
                <w:szCs w:val="18"/>
              </w:rPr>
              <w:t xml:space="preserve">Add Kombatix Defense as a complementary scoring layer inside your existing dispute workflow. Or surface PreAuth screening at order review. Kombatix sits between your upstream prevention and downstream resolution products — expanding coverage and customer ROI.</w:t>
            </w:r>
          </w:p>
        </w:tc>
        <w:tc>
          <w:tcPr>
            <w:tcW w:type="dxa" w:w="3120"/>
            <w:tcBorders>
              <w:top w:val="single" w:color="D1D5DB" w:sz="4"/>
              <w:left w:val="single" w:color="D1D5DB" w:sz="4"/>
              <w:bottom w:val="single" w:color="D1D5DB" w:sz="4"/>
              <w:right w:val="single" w:color="D1D5DB" w:sz="4"/>
            </w:tcBorders>
            <w:shd w:fill="0A1628" w:val="clear"/>
            <w:tcMar>
              <w:top w:type="dxa" w:w="200"/>
              <w:left w:type="dxa" w:w="200"/>
              <w:bottom w:type="dxa" w:w="200"/>
              <w:right w:type="dxa" w:w="200"/>
            </w:tcMar>
            <w:vAlign w:val="top"/>
          </w:tcPr>
          <w:p>
            <w:pPr>
              <w:spacing w:after="120"/>
            </w:pPr>
            <w:r>
              <w:rPr>
                <w:rFonts w:ascii="Arial" w:cs="Arial" w:eastAsia="Arial" w:hAnsi="Arial"/>
                <w:b/>
                <w:bCs/>
                <w:color w:val="FFFFFF"/>
                <w:sz w:val="20"/>
                <w:szCs w:val="20"/>
              </w:rPr>
              <w:t xml:space="preserve">Payment Processors &amp; Acquirers</w:t>
            </w:r>
          </w:p>
          <w:p>
            <w:r>
              <w:rPr>
                <w:rFonts w:ascii="Arial" w:cs="Arial" w:eastAsia="Arial" w:hAnsi="Arial"/>
                <w:color w:val="FFFFFF"/>
                <w:sz w:val="18"/>
                <w:szCs w:val="18"/>
              </w:rPr>
              <w:t xml:space="preserve">Embed PreAuth scoring into authorization decisioning to reduce chargeback ratios across your merchant portfolio. Better network standing, lower monitoring program exposure, and stronger merchant retention through reduced fraud friction.</w:t>
            </w:r>
          </w:p>
        </w:tc>
        <w:tc>
          <w:tcPr>
            <w:tcW w:type="dxa" w:w="3120"/>
            <w:tcBorders>
              <w:top w:val="single" w:color="D1D5DB" w:sz="4"/>
              <w:left w:val="single" w:color="D1D5DB" w:sz="4"/>
              <w:bottom w:val="single" w:color="D1D5DB" w:sz="4"/>
              <w:right w:val="single" w:color="D1D5DB" w:sz="4"/>
            </w:tcBorders>
            <w:shd w:fill="0A1628" w:val="clear"/>
            <w:tcMar>
              <w:top w:type="dxa" w:w="200"/>
              <w:left w:type="dxa" w:w="200"/>
              <w:bottom w:type="dxa" w:w="200"/>
              <w:right w:type="dxa" w:w="200"/>
            </w:tcMar>
            <w:vAlign w:val="top"/>
          </w:tcPr>
          <w:p>
            <w:pPr>
              <w:spacing w:after="120"/>
            </w:pPr>
            <w:r>
              <w:rPr>
                <w:rFonts w:ascii="Arial" w:cs="Arial" w:eastAsia="Arial" w:hAnsi="Arial"/>
                <w:b/>
                <w:bCs/>
                <w:color w:val="FFFFFF"/>
                <w:sz w:val="20"/>
                <w:szCs w:val="20"/>
              </w:rPr>
              <w:t xml:space="preserve">Custom Integration Partners</w:t>
            </w:r>
          </w:p>
          <w:p>
            <w:r>
              <w:rPr>
                <w:rFonts w:ascii="Arial" w:cs="Arial" w:eastAsia="Arial" w:hAnsi="Arial"/>
                <w:color w:val="FFFFFF"/>
                <w:sz w:val="18"/>
                <w:szCs w:val="18"/>
              </w:rPr>
              <w:t xml:space="preserve">Building in the fraud, identity, or payments space? Kombatix scoring embeds via API into custom workflows, white-label solutions, and proprietary platforms. Data dictionary access and custom integration options available.</w:t>
            </w:r>
          </w:p>
        </w:tc>
      </w:tr>
    </w:tbl>
    <w:p>
      <w:pPr>
        <w:spacing w:after="0" w:before="200"/>
      </w:pPr>
      <w:r>
        <w:t xml:space="preserve"/>
      </w:r>
    </w:p>
    <w:p>
      <w:pPr>
        <w:spacing w:after="120" w:before="300"/>
      </w:pPr>
      <w:r>
        <w:rPr>
          <w:rFonts w:ascii="Arial" w:cs="Arial" w:eastAsia="Arial" w:hAnsi="Arial"/>
          <w:b/>
          <w:bCs/>
          <w:color w:val="0A1628"/>
          <w:sz w:val="24"/>
          <w:szCs w:val="24"/>
        </w:rPr>
        <w:t xml:space="preserve">Integration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Option</w:t>
            </w:r>
          </w:p>
        </w:tc>
        <w:tc>
          <w:tcPr>
            <w:tcW w:type="dxa" w:w="656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What It Looks Like</w:t>
            </w:r>
          </w:p>
        </w:tc>
      </w:tr>
      <w:tr>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API Integration</w:t>
            </w:r>
          </w:p>
        </w:tc>
        <w:tc>
          <w:tcPr>
            <w:tcW w:type="dxa" w:w="65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Your platform calls Kombatix PreAuth or Defense endpoints directly. Standard REST, JSON, fast response. Lowest-friction integration.</w:t>
            </w:r>
          </w:p>
        </w:tc>
      </w:tr>
      <w:tr>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White-Label Data Licensing</w:t>
            </w:r>
          </w:p>
        </w:tc>
        <w:tc>
          <w:tcPr>
            <w:tcW w:type="dxa" w:w="65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Kombatix scoring surfaced under your brand inside your product UI. Custom API keys, custom response formatting, your domain.</w:t>
            </w:r>
          </w:p>
        </w:tc>
      </w:tr>
      <w:tr>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Co-Branded Network Integration</w:t>
            </w:r>
          </w:p>
        </w:tc>
        <w:tc>
          <w:tcPr>
            <w:tcW w:type="dxa" w:w="65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Your merchants benefit from a co-branded 'Powered by Kombatix' experience. Joint marketing, shared case studies, preferred pricing.</w:t>
            </w:r>
          </w:p>
        </w:tc>
      </w:tr>
      <w:tr>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Reseller Program</w:t>
            </w:r>
          </w:p>
        </w:tc>
        <w:tc>
          <w:tcPr>
            <w:tcW w:type="dxa" w:w="65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Resell Kombatix to your merchant base with volume discounts and revenue share. Your sales team, our product.</w:t>
            </w:r>
          </w:p>
        </w:tc>
      </w:tr>
    </w:tbl>
    <w:p>
      <w:pPr>
        <w:spacing w:after="0" w:before="200"/>
      </w:pPr>
      <w:r>
        <w:t xml:space="preserve"/>
      </w:r>
    </w:p>
    <w:p>
      <w:pPr>
        <w:spacing w:after="120" w:before="300"/>
      </w:pPr>
      <w:r>
        <w:rPr>
          <w:rFonts w:ascii="Arial" w:cs="Arial" w:eastAsia="Arial" w:hAnsi="Arial"/>
          <w:b/>
          <w:bCs/>
          <w:color w:val="0A1628"/>
          <w:sz w:val="24"/>
          <w:szCs w:val="24"/>
        </w:rPr>
        <w:t xml:space="preserve">Partnership Inquiry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Headline</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Let's talk.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Form Fields</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Company Name (required) · Your Name (required) · Email (required) · Role / Title (required) · Company Type (required dropdown: Payment Processor / Acquirer / Fraud Platform / Chargeback Platform / Reseller / Other) · Estimated Monthly Transaction Volume (required dropdown: &lt;10K / 10K–100K / 100K–1M / 1M+) · Brief description of integration interest (required, textarea) · How did you hear about Kombatix? (optional)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Submit Behavior</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POST to Firebase Cloud Function at /api/partner-inquiry. Function server-side submits to HubSpot Forms API using portal ID + form GUID + private app token from Firebase Secret Manager. On success, user sees 'Thanks — we'll be in touch within one business day'; failure (unlikely) falls back to 'email us directly at operations@kombatix.io'.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Submit CTA</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Send Inquiry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Alt Contact</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Prefer email? Reach us directly at operations@kombatix.io — we respond within one business day. Partnership deck available on request.</w:t>
            </w:r>
          </w:p>
        </w:tc>
      </w:tr>
    </w:tbl>
    <w:p>
      <w:pPr>
        <w:spacing w:after="0" w:before="200"/>
      </w:pPr>
      <w:r>
        <w:t xml:space="preserve"/>
      </w:r>
    </w:p>
    <w:p>
      <w:pPr>
        <w:spacing w:after="120" w:before="300"/>
      </w:pPr>
      <w:r>
        <w:rPr>
          <w:rFonts w:ascii="Arial" w:cs="Arial" w:eastAsia="Arial" w:hAnsi="Arial"/>
          <w:b/>
          <w:bCs/>
          <w:color w:val="0A1628"/>
          <w:sz w:val="24"/>
          <w:szCs w:val="24"/>
        </w:rPr>
        <w:t xml:space="preserve">Footer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Copy</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Every partner grows the network.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CTA</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Contact Partnership Team  →   (anchors to form)</w:t>
            </w:r>
          </w:p>
        </w:tc>
      </w:tr>
    </w:tbl>
    <w:p>
      <w:pPr>
        <w:pageBreakBefore/>
        <w:spacing w:after="120" w:before="400"/>
      </w:pPr>
      <w:r>
        <w:rPr>
          <w:rFonts w:ascii="Arial" w:cs="Arial" w:eastAsia="Arial" w:hAnsi="Arial"/>
          <w:b/>
          <w:bCs/>
          <w:color w:val="0A1628"/>
          <w:sz w:val="32"/>
          <w:szCs w:val="32"/>
        </w:rPr>
        <w:t xml:space="preserve">PAGE 7 — API (Developer Landing)</w:t>
      </w:r>
      <w:r>
        <w:rPr>
          <w:rFonts w:ascii="Arial" w:cs="Arial" w:eastAsia="Arial" w:hAnsi="Arial"/>
          <w:color w:val="6B7280"/>
          <w:sz w:val="22"/>
          <w:szCs w:val="22"/>
        </w:rPr>
        <w:t xml:space="preserve">   ·   /api</w:t>
      </w:r>
    </w:p>
    <w:p>
      <w:pPr>
        <w:spacing w:after="40" w:before="40"/>
      </w:pPr>
      <w:r>
        <w:rPr>
          <w:rFonts w:ascii="Arial" w:cs="Arial" w:eastAsia="Arial" w:hAnsi="Arial"/>
          <w:i/>
          <w:iCs/>
          <w:color w:val="6B7280"/>
          <w:sz w:val="18"/>
          <w:szCs w:val="18"/>
        </w:rPr>
        <w:t xml:space="preserve">Audience: Technical evaluators (developers, integrators, solution architects)  ·  Goal: credibility + signup conversion. Full docs are gated behind signup.</w:t>
      </w:r>
    </w:p>
    <w:p>
      <w:pPr>
        <w:spacing w:after="120" w:before="300"/>
      </w:pPr>
      <w:r>
        <w:rPr>
          <w:rFonts w:ascii="Arial" w:cs="Arial" w:eastAsia="Arial" w:hAnsi="Arial"/>
          <w:b/>
          <w:bCs/>
          <w:color w:val="0A1628"/>
          <w:sz w:val="24"/>
          <w:szCs w:val="24"/>
        </w:rPr>
        <w:t xml:space="preserve">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Headline</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Score identity in a single POST.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Subheadline</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Kombatix is REST-first. JSON in, JSON out, sub-second response. API keys and full developer documentation delivered within 4 business hours of signup — the self-service portal is live now.</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Primary CTA</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Sign Up for API Access  →   (app.kombatix.ai/signup)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Secondary CTA</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View Pricing    (/pricing)</w:t>
            </w:r>
          </w:p>
        </w:tc>
      </w:tr>
    </w:tbl>
    <w:p>
      <w:pPr>
        <w:spacing w:after="0" w:before="200"/>
      </w:pPr>
      <w:r>
        <w:t xml:space="preserve"/>
      </w:r>
    </w:p>
    <w:p>
      <w:pPr>
        <w:spacing w:after="120" w:before="300"/>
      </w:pPr>
      <w:r>
        <w:rPr>
          <w:rFonts w:ascii="Arial" w:cs="Arial" w:eastAsia="Arial" w:hAnsi="Arial"/>
          <w:b/>
          <w:bCs/>
          <w:color w:val="0A1628"/>
          <w:sz w:val="24"/>
          <w:szCs w:val="24"/>
        </w:rPr>
        <w:t xml:space="preserve">What You Can Do With the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100"/>
        <w:gridCol w:w="1460"/>
      </w:tblGrid>
      <w:tr>
        <w:trPr>
          <w:tblHeader/>
        </w:trPr>
        <w:tc>
          <w:tcPr>
            <w:tcW w:type="dxa" w:w="28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Endpoint</w:t>
            </w:r>
          </w:p>
        </w:tc>
        <w:tc>
          <w:tcPr>
            <w:tcW w:type="dxa" w:w="51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Purpose</w:t>
            </w:r>
          </w:p>
        </w:tc>
        <w:tc>
          <w:tcPr>
            <w:tcW w:type="dxa" w:w="146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Response Time</w:t>
            </w:r>
          </w:p>
        </w:tc>
      </w:tr>
      <w:tr>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Defense Scoring</w:t>
            </w:r>
          </w:p>
        </w:tc>
        <w:tc>
          <w:tcPr>
            <w:tcW w:type="dxa" w:w="51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Score a dispute: three engines + composite 0–100 score + AI narrative + reason codes + identity match breakdown.</w:t>
            </w:r>
          </w:p>
        </w:tc>
        <w:tc>
          <w:tcPr>
            <w:tcW w:type="dxa" w:w="14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&lt; 1 second</w:t>
            </w:r>
          </w:p>
        </w:tc>
      </w:tr>
      <w:tr>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PreAuth Network Check</w:t>
            </w:r>
          </w:p>
        </w:tc>
        <w:tc>
          <w:tcPr>
            <w:tcW w:type="dxa" w:w="51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Screen a transaction's identity against the Kombatix Network. Hit/no-hit response with severity on hits.</w:t>
            </w:r>
          </w:p>
        </w:tc>
        <w:tc>
          <w:tcPr>
            <w:tcW w:type="dxa" w:w="14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&lt; 200ms</w:t>
            </w:r>
          </w:p>
        </w:tc>
      </w:tr>
    </w:tbl>
    <w:p>
      <w:pPr>
        <w:spacing w:after="0" w:before="200"/>
      </w:pPr>
      <w:r>
        <w:t xml:space="preserve"/>
      </w:r>
    </w:p>
    <w:p>
      <w:pPr>
        <w:spacing w:after="120" w:before="300"/>
      </w:pPr>
      <w:r>
        <w:rPr>
          <w:rFonts w:ascii="Arial" w:cs="Arial" w:eastAsia="Arial" w:hAnsi="Arial"/>
          <w:b/>
          <w:bCs/>
          <w:color w:val="0A1628"/>
          <w:sz w:val="24"/>
          <w:szCs w:val="24"/>
        </w:rPr>
        <w:t xml:space="preserve">Sample Defense Request</w:t>
      </w:r>
    </w:p>
    <w:p>
      <w:pPr>
        <w:spacing w:after="80" w:before="80"/>
      </w:pPr>
      <w:r>
        <w:rPr>
          <w:rFonts w:ascii="Arial" w:cs="Arial" w:eastAsia="Arial" w:hAnsi="Arial"/>
          <w:color w:val="111827"/>
          <w:sz w:val="20"/>
          <w:szCs w:val="20"/>
        </w:rPr>
        <w:t xml:space="preserve">The Defense endpoint takes dispute context plus original transaction context and returns a composite score. The example below shows the operation, dispute-side fields, transaction-side fields, and metadata inputs.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Request Code Block</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pPr>
              <w:spacing w:after="80" w:before="80"/>
            </w:pPr>
            <w:r>
              <w:rPr>
                <w:rFonts w:ascii="Consolas" w:cs="Consolas" w:eastAsia="Consolas" w:hAnsi="Consolas"/>
                <w:color w:val="111827"/>
                <w:sz w:val="18"/>
                <w:szCs w:val="18"/>
              </w:rPr>
              <w:t xml:space="preserve">POST /v1/defense HTTP/1.1
Host: api.kombatix.io
Content-Type: application/json
Authorization: Bearer &lt;your_api_key&gt;
{
  "operation": "defense",
  "disputeName": "John Smith",
  "disputeEmail": "",
  "disputePhone": "5551234567",
  "disputeBillingAddress": {
    "street1": "", "city": "", "state": "", "zip": "", "country": ""
  },
  "transactionName": "",
  "transactionEmail": "johnsmith@gmail.com",
  "transactionPhone": "",
  "transactionBillingAddress": {
    "street1": "123 Main St", "city": "Anytown",
    "state": "CA", "zip": "12345", "country": "US"
  },
  "transactionShippingAddress": {
    "street1": "", "city": "", "state": "", "zip": "", "country": ""
  },
  "paymentCardType": "Visa",
  "transactionDate": "2026-04-22",
  "transactionAmount": "24.99",
  "deviceIds": [""],
  "payments": [
    { "type": "CARD", "token": "" }
  ]
}</w:t>
            </w:r>
          </w:p>
        </w:tc>
      </w:tr>
    </w:tbl>
    <w:p>
      <w:pPr>
        <w:spacing w:after="0" w:before="200"/>
      </w:pPr>
      <w:r>
        <w:t xml:space="preserve"/>
      </w:r>
    </w:p>
    <w:p>
      <w:pPr>
        <w:spacing w:after="120" w:before="300"/>
      </w:pPr>
      <w:r>
        <w:rPr>
          <w:rFonts w:ascii="Arial" w:cs="Arial" w:eastAsia="Arial" w:hAnsi="Arial"/>
          <w:b/>
          <w:bCs/>
          <w:color w:val="0A1628"/>
          <w:sz w:val="24"/>
          <w:szCs w:val="24"/>
        </w:rPr>
        <w:t xml:space="preserve">Sample Defense Response</w:t>
      </w:r>
    </w:p>
    <w:p>
      <w:pPr>
        <w:spacing w:after="80" w:before="80"/>
      </w:pPr>
      <w:r>
        <w:rPr>
          <w:rFonts w:ascii="Arial" w:cs="Arial" w:eastAsia="Arial" w:hAnsi="Arial"/>
          <w:color w:val="111827"/>
          <w:sz w:val="20"/>
          <w:szCs w:val="20"/>
        </w:rPr>
        <w:t xml:space="preserve">The response returns the validated and standardized identity inputs, field-by-field match status, the full composite score with sub-scores, and any triggered reason codes.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Response Code Block</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pPr>
              <w:spacing w:after="80" w:before="80"/>
            </w:pPr>
            <w:r>
              <w:rPr>
                <w:rFonts w:ascii="Consolas" w:cs="Consolas" w:eastAsia="Consolas" w:hAnsi="Consolas"/>
                <w:color w:val="111827"/>
                <w:sz w:val="16"/>
                <w:szCs w:val="16"/>
              </w:rPr>
              <w:t xml:space="preserve">HTTP/1.1 200 OK
Content-Type: application/json
{
  "requestID": "fd8c7a53-b9e6-42f1-a8e5-e8d3f69c1234",
  "identitySource": {
    "disputeName": {
      "identity": "Identity 1",
      "validated": true,
      "standardized": "JOHN DOE"
    },
    "confirmedSource": "Identity 1 (Dispute Name is Identity 1)"
  },
  "disputeInputValidation": {
    "name": { "matchStatus": "Matches Identity 1", ... },
    "phone": { "matchStatus": "Matches Identity 1", ... },
    "email": { "matchStatus": "Matches Identity 1", ... },
    "billingAddress": { "matchStatus": "Matches Identity 1", ... }
  },
  "transactionInputValidation": {
    "email": { "matchStatus": "Matches Identity 1", ... },
    "billingAddress": { "matchStatus": "Matches Identity 1", ... },
    "shippingAddress": { "matchStatus": "Matches Identity 1", ... }
  },
  "identityConsistencySummary": {
    "disputeNameMatches": true,
    "disputeEmailMatches": true,
    "disputeBillingAddressMatches": true,
    "transactionEmailMatches": true,
    "transactionBillingMatches": true
  },
  "dateFirstSeen": "03-15-2018",
  "dateLastSeen": "02-25-2025",
  "kombatixDefenseScore": {
    "Defense Score": "95.44",
    "Risk Category": "High Dispute Risk - Likely Friendly Fraud",
    "Sub-Scores": {
      "Identity Match Score": "100.00",
      "Identity Risk Score":  "1.05",
      "Behavioral Risk Score": "30.00"
    },
    "Reason Codes": {
      "Behavioral Risk": [
        "Multiple payment methods used (8).",
        "Transactions from different locations (5)."
      ]
    },
    "Match Insights": {
      "insight": "Transaction likely valid."
    }
  },
  "transactionDetails": {
    "paymentCardType": "Visa",
    "transactionDate": "02-24-2025",
    "transactionAmount": "125.50"
  }
}</w:t>
            </w:r>
          </w:p>
        </w:tc>
      </w:tr>
    </w:tbl>
    <w:p>
      <w:pPr>
        <w:spacing w:after="0" w:before="200"/>
      </w:pPr>
      <w:r>
        <w:t xml:space="preserve"/>
      </w:r>
    </w:p>
    <w:p>
      <w:pPr>
        <w:spacing w:after="120" w:before="300"/>
      </w:pPr>
      <w:r>
        <w:rPr>
          <w:rFonts w:ascii="Arial" w:cs="Arial" w:eastAsia="Arial" w:hAnsi="Arial"/>
          <w:b/>
          <w:bCs/>
          <w:color w:val="0A1628"/>
          <w:sz w:val="24"/>
          <w:szCs w:val="24"/>
        </w:rPr>
        <w:t xml:space="preserve">Response 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Field</w:t>
            </w:r>
          </w:p>
        </w:tc>
        <w:tc>
          <w:tcPr>
            <w:tcW w:type="dxa" w:w="12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Type</w:t>
            </w:r>
          </w:p>
        </w:tc>
        <w:tc>
          <w:tcPr>
            <w:tcW w:type="dxa" w:w="536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Notes</w:t>
            </w:r>
          </w:p>
        </w:tc>
      </w:tr>
      <w:tr>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requestID</w:t>
            </w:r>
          </w:p>
        </w:tc>
        <w:tc>
          <w:tcPr>
            <w:tcW w:type="dxa" w:w="1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UUID</w:t>
            </w:r>
          </w:p>
        </w:tc>
        <w:tc>
          <w:tcPr>
            <w:tcW w:type="dxa" w:w="53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Every request uniquely identified. Persist this for audit trails and bank evidence.</w:t>
            </w:r>
          </w:p>
        </w:tc>
      </w:tr>
      <w:tr>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identitySource</w:t>
            </w:r>
          </w:p>
        </w:tc>
        <w:tc>
          <w:tcPr>
            <w:tcW w:type="dxa" w:w="1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object</w:t>
            </w:r>
          </w:p>
        </w:tc>
        <w:tc>
          <w:tcPr>
            <w:tcW w:type="dxa" w:w="53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Which submitted field Kombatix used as the canonical identity reference.</w:t>
            </w:r>
          </w:p>
        </w:tc>
      </w:tr>
      <w:tr>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disputeInputValidation</w:t>
            </w:r>
          </w:p>
        </w:tc>
        <w:tc>
          <w:tcPr>
            <w:tcW w:type="dxa" w:w="1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object</w:t>
            </w:r>
          </w:p>
        </w:tc>
        <w:tc>
          <w:tcPr>
            <w:tcW w:type="dxa" w:w="53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Per-field validation + standardization + match status for the dispute-side inputs.</w:t>
            </w:r>
          </w:p>
        </w:tc>
      </w:tr>
      <w:tr>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transactionInputValidation</w:t>
            </w:r>
          </w:p>
        </w:tc>
        <w:tc>
          <w:tcPr>
            <w:tcW w:type="dxa" w:w="1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object</w:t>
            </w:r>
          </w:p>
        </w:tc>
        <w:tc>
          <w:tcPr>
            <w:tcW w:type="dxa" w:w="53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Per-field validation + standardization + match status for the transaction-side inputs.</w:t>
            </w:r>
          </w:p>
        </w:tc>
      </w:tr>
      <w:tr>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identityConsistencySummary</w:t>
            </w:r>
          </w:p>
        </w:tc>
        <w:tc>
          <w:tcPr>
            <w:tcW w:type="dxa" w:w="1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object</w:t>
            </w:r>
          </w:p>
        </w:tc>
        <w:tc>
          <w:tcPr>
            <w:tcW w:type="dxa" w:w="53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Boolean flags — does each submitted field match the canonical identity?</w:t>
            </w:r>
          </w:p>
        </w:tc>
      </w:tr>
      <w:tr>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dateFirstSeen / dateLastSeen</w:t>
            </w:r>
          </w:p>
        </w:tc>
        <w:tc>
          <w:tcPr>
            <w:tcW w:type="dxa" w:w="1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date string</w:t>
            </w:r>
          </w:p>
        </w:tc>
        <w:tc>
          <w:tcPr>
            <w:tcW w:type="dxa" w:w="53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When the identity was first and last observed in our verified data network.</w:t>
            </w:r>
          </w:p>
        </w:tc>
      </w:tr>
      <w:tr>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kombatixDefenseScore</w:t>
            </w:r>
          </w:p>
        </w:tc>
        <w:tc>
          <w:tcPr>
            <w:tcW w:type="dxa" w:w="1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object</w:t>
            </w:r>
          </w:p>
        </w:tc>
        <w:tc>
          <w:tcPr>
            <w:tcW w:type="dxa" w:w="53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The composite score, risk category, sub-scores, reason codes, and match insights.</w:t>
            </w:r>
          </w:p>
        </w:tc>
      </w:tr>
      <w:tr>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transactionDetails</w:t>
            </w:r>
          </w:p>
        </w:tc>
        <w:tc>
          <w:tcPr>
            <w:tcW w:type="dxa" w:w="1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object</w:t>
            </w:r>
          </w:p>
        </w:tc>
        <w:tc>
          <w:tcPr>
            <w:tcW w:type="dxa" w:w="53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Echoed transaction metadata for audit.</w:t>
            </w:r>
          </w:p>
        </w:tc>
      </w:tr>
    </w:tbl>
    <w:p>
      <w:pPr>
        <w:spacing w:after="0" w:before="200"/>
      </w:pPr>
      <w:r>
        <w:t xml:space="preserve"/>
      </w:r>
    </w:p>
    <w:p>
      <w:pPr>
        <w:spacing w:after="120" w:before="300"/>
      </w:pPr>
      <w:r>
        <w:rPr>
          <w:rFonts w:ascii="Arial" w:cs="Arial" w:eastAsia="Arial" w:hAnsi="Arial"/>
          <w:b/>
          <w:bCs/>
          <w:color w:val="0A1628"/>
          <w:sz w:val="24"/>
          <w:szCs w:val="24"/>
        </w:rPr>
        <w:t xml:space="preserve">PreAuth Endpoint</w:t>
      </w:r>
    </w:p>
    <w:p>
      <w:pPr>
        <w:spacing w:after="80" w:before="80"/>
      </w:pPr>
      <w:r>
        <w:rPr>
          <w:rFonts w:ascii="Arial" w:cs="Arial" w:eastAsia="Arial" w:hAnsi="Arial"/>
          <w:color w:val="111827"/>
          <w:sz w:val="20"/>
          <w:szCs w:val="20"/>
        </w:rPr>
        <w:t xml:space="preserve">PreAuth takes a subset of the Defense fields — identity without the dispute/transaction split — and returns a hit/no-hit response. Full request/response reference available in the developer portal after signup.</w:t>
      </w:r>
    </w:p>
    <w:p>
      <w:pPr>
        <w:spacing w:after="0" w:before="200"/>
      </w:pPr>
      <w:r>
        <w:t xml:space="preserve"/>
      </w:r>
    </w:p>
    <w:p>
      <w:pPr>
        <w:spacing w:after="120" w:before="300"/>
      </w:pPr>
      <w:r>
        <w:rPr>
          <w:rFonts w:ascii="Arial" w:cs="Arial" w:eastAsia="Arial" w:hAnsi="Arial"/>
          <w:b/>
          <w:bCs/>
          <w:color w:val="0A1628"/>
          <w:sz w:val="24"/>
          <w:szCs w:val="24"/>
        </w:rPr>
        <w:t xml:space="preserve">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Method</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Bearer token (API key). Include in every request: Authorization: Bearer &lt;your_api_key&gt;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Environments</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Sandbox environment available for integration testing. Sandbox calls do not count against your monthly allocation and do not contribute to the Kombatix Network.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Rate Limits</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Per-plan rate limits apply. Enterprise plans have custom rate limits. Full schedule in developer portal.</w:t>
            </w:r>
          </w:p>
        </w:tc>
      </w:tr>
    </w:tbl>
    <w:p>
      <w:pPr>
        <w:spacing w:after="0" w:before="200"/>
      </w:pPr>
      <w:r>
        <w:t xml:space="preserve"/>
      </w:r>
    </w:p>
    <w:p>
      <w:pPr>
        <w:spacing w:after="120" w:before="300"/>
      </w:pPr>
      <w:r>
        <w:rPr>
          <w:rFonts w:ascii="Arial" w:cs="Arial" w:eastAsia="Arial" w:hAnsi="Arial"/>
          <w:b/>
          <w:bCs/>
          <w:color w:val="0A1628"/>
          <w:sz w:val="24"/>
          <w:szCs w:val="24"/>
        </w:rPr>
        <w:t xml:space="preserve">Full Developer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250"/>
              <w:bottom w:type="dxa" w:w="200"/>
              <w:right w:type="dxa" w:w="250"/>
            </w:tcMar>
          </w:tcPr>
          <w:p>
            <w:pPr>
              <w:spacing w:after="120"/>
            </w:pPr>
            <w:r>
              <w:rPr>
                <w:rFonts w:ascii="Arial" w:cs="Arial" w:eastAsia="Arial" w:hAnsi="Arial"/>
                <w:b/>
                <w:bCs/>
                <w:color w:val="FFFFFF"/>
                <w:sz w:val="22"/>
                <w:szCs w:val="22"/>
              </w:rPr>
              <w:t xml:space="preserve">Full API reference is behind login.</w:t>
            </w:r>
          </w:p>
          <w:p>
            <w:r>
              <w:rPr>
                <w:rFonts w:ascii="Arial" w:cs="Arial" w:eastAsia="Arial" w:hAnsi="Arial"/>
                <w:color w:val="FFFFFF"/>
                <w:sz w:val="20"/>
                <w:szCs w:val="20"/>
              </w:rPr>
              <w:t xml:space="preserve">Complete endpoint documentation, error codes, response schemas, SDKs, and integration guides are inside the developer portal. Sign up to access — API keys and docs delivered within 4 business hours.</w:t>
            </w:r>
          </w:p>
        </w:tc>
      </w:tr>
    </w:tbl>
    <w:p>
      <w:pPr>
        <w:spacing w:after="0" w:before="200"/>
      </w:pPr>
      <w:r>
        <w:t xml:space="preserve"/>
      </w:r>
    </w:p>
    <w:p>
      <w:pPr>
        <w:spacing w:after="120" w:before="300"/>
      </w:pPr>
      <w:r>
        <w:rPr>
          <w:rFonts w:ascii="Arial" w:cs="Arial" w:eastAsia="Arial" w:hAnsi="Arial"/>
          <w:b/>
          <w:bCs/>
          <w:color w:val="0A1628"/>
          <w:sz w:val="24"/>
          <w:szCs w:val="24"/>
        </w:rPr>
        <w:t xml:space="preserve">Footer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Copy</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From signup to first scored request in 4 business hours.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CTA</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Sign Up  →   (app.kombatix.ai/signup)</w:t>
            </w:r>
          </w:p>
        </w:tc>
      </w:tr>
    </w:tbl>
    <w:p>
      <w:pPr>
        <w:pageBreakBefore/>
      </w:pPr>
      <w:r>
        <w:t xml:space="preserve"/>
      </w:r>
    </w:p>
    <w:p>
      <w:pPr>
        <w:pBdr>
          <w:bottom w:val="single" w:color="2563EB" w:sz="18" w:space="4"/>
        </w:pBdr>
        <w:spacing w:after="200" w:before="400"/>
      </w:pPr>
      <w:r>
        <w:rPr>
          <w:rFonts w:ascii="Arial" w:cs="Arial" w:eastAsia="Arial" w:hAnsi="Arial"/>
          <w:b/>
          <w:bCs/>
          <w:color w:val="0A1628"/>
          <w:sz w:val="26"/>
          <w:szCs w:val="26"/>
        </w:rPr>
        <w:t xml:space="preserve">SECTION 3 — THE KOMBATIX NETWORK (CROSS-CUTTING STORY)</w:t>
      </w:r>
    </w:p>
    <w:p>
      <w:pPr>
        <w:spacing w:after="80" w:before="80"/>
      </w:pPr>
      <w:r>
        <w:rPr>
          <w:rFonts w:ascii="Arial" w:cs="Arial" w:eastAsia="Arial" w:hAnsi="Arial"/>
          <w:color w:val="111827"/>
          <w:sz w:val="20"/>
          <w:szCs w:val="20"/>
        </w:rPr>
        <w:t xml:space="preserve">The Kombatix Network is the single most important positioning element on this site and is woven into multiple pages. This section defines the canonical story so every surface tells it consistently. Do not paraphrase — use the exact language below wherever the Network is referenced.</w:t>
      </w:r>
    </w:p>
    <w:p>
      <w:pPr>
        <w:spacing w:after="0" w:before="200"/>
      </w:pPr>
      <w:r>
        <w:t xml:space="preserve"/>
      </w:r>
    </w:p>
    <w:p>
      <w:pPr>
        <w:spacing w:after="120" w:before="300"/>
      </w:pPr>
      <w:r>
        <w:rPr>
          <w:rFonts w:ascii="Arial" w:cs="Arial" w:eastAsia="Arial" w:hAnsi="Arial"/>
          <w:b/>
          <w:bCs/>
          <w:color w:val="0A1628"/>
          <w:sz w:val="24"/>
          <w:szCs w:val="24"/>
        </w:rPr>
        <w:t xml:space="preserve">Canonical One-Liner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250"/>
              <w:bottom w:type="dxa" w:w="200"/>
              <w:right w:type="dxa" w:w="250"/>
            </w:tcMar>
          </w:tcPr>
          <w:p>
            <w:pPr>
              <w:spacing w:after="120"/>
            </w:pPr>
            <w:r>
              <w:rPr>
                <w:rFonts w:ascii="Arial" w:cs="Arial" w:eastAsia="Arial" w:hAnsi="Arial"/>
                <w:b/>
                <w:bCs/>
                <w:color w:val="FFFFFF"/>
                <w:sz w:val="22"/>
                <w:szCs w:val="22"/>
              </w:rPr>
              <w:t xml:space="preserve">"Every Kombatix Defense customer strengthens every Kombatix PreAuth customer."</w:t>
            </w:r>
          </w:p>
          <w:p>
            <w:r>
              <w:rPr>
                <w:rFonts w:ascii="Arial" w:cs="Arial" w:eastAsia="Arial" w:hAnsi="Arial"/>
                <w:color w:val="FFFFFF"/>
                <w:sz w:val="20"/>
                <w:szCs w:val="20"/>
              </w:rPr>
              <w:t xml:space="preserve">When a Kombatix Defense score confirms friendly fraud, that identity joins the Kombatix Network — the shared database every PreAuth customer screens against. The more merchants in the network, the more friendly fraudsters caught at pre-authorization, before the transaction completes.</w:t>
            </w:r>
          </w:p>
        </w:tc>
      </w:tr>
    </w:tbl>
    <w:p>
      <w:pPr>
        <w:spacing w:after="0" w:before="200"/>
      </w:pPr>
      <w:r>
        <w:t xml:space="preserve"/>
      </w:r>
    </w:p>
    <w:p>
      <w:pPr>
        <w:spacing w:after="120" w:before="300"/>
      </w:pPr>
      <w:r>
        <w:rPr>
          <w:rFonts w:ascii="Arial" w:cs="Arial" w:eastAsia="Arial" w:hAnsi="Arial"/>
          <w:b/>
          <w:bCs/>
          <w:color w:val="0A1628"/>
          <w:sz w:val="24"/>
          <w:szCs w:val="24"/>
        </w:rPr>
        <w:t xml:space="preserve">Where the Story Appears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Surface</w:t>
            </w:r>
          </w:p>
        </w:tc>
        <w:tc>
          <w:tcPr>
            <w:tcW w:type="dxa" w:w="616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Treatment</w:t>
            </w:r>
          </w:p>
        </w:tc>
      </w:tr>
      <w:tr>
        <w:tc>
          <w:tcPr>
            <w:tcW w:type="dxa" w:w="3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Homepage — Network Effect section</w:t>
            </w:r>
          </w:p>
        </w:tc>
        <w:tc>
          <w:tcPr>
            <w:tcW w:type="dxa" w:w="61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Primary callout + diagram. First introduction of the flywheel concept. Sets up the two-product story.</w:t>
            </w:r>
          </w:p>
        </w:tc>
      </w:tr>
      <w:tr>
        <w:tc>
          <w:tcPr>
            <w:tcW w:type="dxa" w:w="3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/preauth — 'Why PreAuth Matters'</w:t>
            </w:r>
          </w:p>
        </w:tc>
        <w:tc>
          <w:tcPr>
            <w:tcW w:type="dxa" w:w="61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Emphasizes screening benefit. 'The network is the product.' Framed from the PreAuth consumer's perspective.</w:t>
            </w:r>
          </w:p>
        </w:tc>
      </w:tr>
      <w:tr>
        <w:tc>
          <w:tcPr>
            <w:tcW w:type="dxa" w:w="3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/defense — subtle reference only</w:t>
            </w:r>
          </w:p>
        </w:tc>
        <w:tc>
          <w:tcPr>
            <w:tcW w:type="dxa" w:w="61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Defense customers contribute data but this isn't Defense's selling point. Mention in passing; don't dwell.</w:t>
            </w:r>
          </w:p>
        </w:tc>
      </w:tr>
      <w:tr>
        <w:tc>
          <w:tcPr>
            <w:tcW w:type="dxa" w:w="3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/partners — 'The Network Advantage'</w:t>
            </w:r>
          </w:p>
        </w:tc>
        <w:tc>
          <w:tcPr>
            <w:tcW w:type="dxa" w:w="61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Partnership angle: every partner makes the network stronger for every other partner. Flywheel framing is strongest here.</w:t>
            </w:r>
          </w:p>
        </w:tc>
      </w:tr>
      <w:tr>
        <w:tc>
          <w:tcPr>
            <w:tcW w:type="dxa" w:w="3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/how-it-works — lifecycle diagram</w:t>
            </w:r>
          </w:p>
        </w:tc>
        <w:tc>
          <w:tcPr>
            <w:tcW w:type="dxa" w:w="61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Network shown as the outcome of Defense activity that feeds back into PreAuth. Ties the two products together.</w:t>
            </w:r>
          </w:p>
        </w:tc>
      </w:tr>
      <w:tr>
        <w:tc>
          <w:tcPr>
            <w:tcW w:type="dxa" w:w="3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Footer (homepage)</w:t>
            </w:r>
          </w:p>
        </w:tc>
        <w:tc>
          <w:tcPr>
            <w:tcW w:type="dxa" w:w="61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Short mention in closing copy — 'network grows with every customer.'</w:t>
            </w:r>
          </w:p>
        </w:tc>
      </w:tr>
    </w:tbl>
    <w:p>
      <w:pPr>
        <w:spacing w:after="0" w:before="200"/>
      </w:pPr>
      <w:r>
        <w:t xml:space="preserve"/>
      </w:r>
    </w:p>
    <w:p>
      <w:pPr>
        <w:spacing w:after="120" w:before="300"/>
      </w:pPr>
      <w:r>
        <w:rPr>
          <w:rFonts w:ascii="Arial" w:cs="Arial" w:eastAsia="Arial" w:hAnsi="Arial"/>
          <w:b/>
          <w:bCs/>
          <w:color w:val="0A1628"/>
          <w:sz w:val="24"/>
          <w:szCs w:val="24"/>
        </w:rPr>
        <w:t xml:space="preserve">What NOT to Say</w:t>
      </w:r>
    </w:p>
    <w:p>
      <w:pPr>
        <w:spacing w:after="80" w:before="80"/>
      </w:pPr>
      <w:r>
        <w:rPr>
          <w:rFonts w:ascii="Arial" w:cs="Arial" w:eastAsia="Arial" w:hAnsi="Arial"/>
          <w:color w:val="111827"/>
          <w:sz w:val="20"/>
          <w:szCs w:val="20"/>
        </w:rPr>
        <w:t xml:space="preserve">The Network is a real data asset, but we are careful about overclaiming its current size. Do not use language like:</w:t>
      </w:r>
    </w:p>
    <w:p>
      <w:pPr>
        <w:spacing w:after="0" w:before="80"/>
      </w:pPr>
      <w:r>
        <w:t xml:space="preserve"/>
      </w:r>
    </w:p>
    <w:p>
      <w:pPr>
        <w:pStyle w:val="ListParagraph"/>
        <w:numPr>
          <w:ilvl w:val="0"/>
          <w:numId w:val="2"/>
        </w:numPr>
        <w:spacing w:after="40" w:before="40"/>
      </w:pPr>
      <w:r>
        <w:rPr>
          <w:rFonts w:ascii="Arial" w:cs="Arial" w:eastAsia="Arial" w:hAnsi="Arial"/>
          <w:color w:val="111827"/>
          <w:sz w:val="20"/>
          <w:szCs w:val="20"/>
        </w:rPr>
        <w:t xml:space="preserve">"Millions of identities in the network" — we don't have that yet, and claiming it invites scrutiny</w:t>
      </w:r>
    </w:p>
    <w:p>
      <w:pPr>
        <w:pStyle w:val="ListParagraph"/>
        <w:numPr>
          <w:ilvl w:val="0"/>
          <w:numId w:val="2"/>
        </w:numPr>
        <w:spacing w:after="40" w:before="40"/>
      </w:pPr>
      <w:r>
        <w:rPr>
          <w:rFonts w:ascii="Arial" w:cs="Arial" w:eastAsia="Arial" w:hAnsi="Arial"/>
          <w:color w:val="111827"/>
          <w:sz w:val="20"/>
          <w:szCs w:val="20"/>
        </w:rPr>
        <w:t xml:space="preserve">"The largest friendly-fraud database" — unprovable</w:t>
      </w:r>
    </w:p>
    <w:p>
      <w:pPr>
        <w:pStyle w:val="ListParagraph"/>
        <w:numPr>
          <w:ilvl w:val="0"/>
          <w:numId w:val="2"/>
        </w:numPr>
        <w:spacing w:after="40" w:before="40"/>
      </w:pPr>
      <w:r>
        <w:rPr>
          <w:rFonts w:ascii="Arial" w:cs="Arial" w:eastAsia="Arial" w:hAnsi="Arial"/>
          <w:color w:val="111827"/>
          <w:sz w:val="20"/>
          <w:szCs w:val="20"/>
        </w:rPr>
        <w:t xml:space="preserve">"Every merchant in the network benefits instantly" — this is true but sounds like an overclaim</w:t>
      </w:r>
    </w:p>
    <w:p>
      <w:pPr>
        <w:pStyle w:val="ListParagraph"/>
        <w:numPr>
          <w:ilvl w:val="0"/>
          <w:numId w:val="2"/>
        </w:numPr>
        <w:spacing w:after="40" w:before="40"/>
      </w:pPr>
      <w:r>
        <w:rPr>
          <w:rFonts w:ascii="Arial" w:cs="Arial" w:eastAsia="Arial" w:hAnsi="Arial"/>
          <w:color w:val="111827"/>
          <w:sz w:val="20"/>
          <w:szCs w:val="20"/>
        </w:rPr>
        <w:t xml:space="preserve">"Industry-leading" or any variation — meaningless filler</w:t>
      </w:r>
    </w:p>
    <w:p>
      <w:pPr>
        <w:spacing w:after="0" w:before="80"/>
      </w:pPr>
      <w:r>
        <w:t xml:space="preserve"/>
      </w:r>
    </w:p>
    <w:p>
      <w:pPr>
        <w:spacing w:after="80" w:before="80"/>
      </w:pPr>
      <w:r>
        <w:rPr>
          <w:rFonts w:ascii="Arial" w:cs="Arial" w:eastAsia="Arial" w:hAnsi="Arial"/>
          <w:color w:val="111827"/>
          <w:sz w:val="20"/>
          <w:szCs w:val="20"/>
        </w:rPr>
        <w:t xml:space="preserve">Instead: emphasize the flywheel, the compounding, and the logic of why it works — not the current scale. Scale follows from the logic; the logic is true today, the scale becomes true over time.</w:t>
      </w:r>
    </w:p>
    <w:p>
      <w:pPr>
        <w:spacing w:after="0" w:before="200"/>
      </w:pPr>
      <w:r>
        <w:t xml:space="preserve"/>
      </w:r>
    </w:p>
    <w:p>
      <w:pPr>
        <w:spacing w:after="120" w:before="300"/>
      </w:pPr>
      <w:r>
        <w:rPr>
          <w:rFonts w:ascii="Arial" w:cs="Arial" w:eastAsia="Arial" w:hAnsi="Arial"/>
          <w:b/>
          <w:bCs/>
          <w:color w:val="0A1628"/>
          <w:sz w:val="24"/>
          <w:szCs w:val="24"/>
        </w:rPr>
        <w:t xml:space="preserve">Technical Accuracy Constraints</w:t>
      </w:r>
    </w:p>
    <w:p>
      <w:pPr>
        <w:pStyle w:val="ListParagraph"/>
        <w:numPr>
          <w:ilvl w:val="0"/>
          <w:numId w:val="2"/>
        </w:numPr>
        <w:spacing w:after="40" w:before="40"/>
      </w:pPr>
      <w:r>
        <w:rPr>
          <w:rFonts w:ascii="Arial" w:cs="Arial" w:eastAsia="Arial" w:hAnsi="Arial"/>
          <w:color w:val="111827"/>
          <w:sz w:val="20"/>
          <w:szCs w:val="20"/>
        </w:rPr>
        <w:t xml:space="preserve">Only Defense results with a score of 60+ contribute to the Network (matches the 'pay for actionable outcomes' threshold).</w:t>
      </w:r>
    </w:p>
    <w:p>
      <w:pPr>
        <w:pStyle w:val="ListParagraph"/>
        <w:numPr>
          <w:ilvl w:val="0"/>
          <w:numId w:val="2"/>
        </w:numPr>
        <w:spacing w:after="40" w:before="40"/>
      </w:pPr>
      <w:r>
        <w:rPr>
          <w:rFonts w:ascii="Arial" w:cs="Arial" w:eastAsia="Arial" w:hAnsi="Arial"/>
          <w:color w:val="111827"/>
          <w:sz w:val="20"/>
          <w:szCs w:val="20"/>
        </w:rPr>
        <w:t xml:space="preserve">PreAuth returns hit/no-hit based on Network membership. Hit responses may include severity and match metadata; exact response shape is in the developer portal and should not be published in detail on the public site.</w:t>
      </w:r>
    </w:p>
    <w:p>
      <w:pPr>
        <w:pStyle w:val="ListParagraph"/>
        <w:numPr>
          <w:ilvl w:val="0"/>
          <w:numId w:val="2"/>
        </w:numPr>
        <w:spacing w:after="40" w:before="40"/>
      </w:pPr>
      <w:r>
        <w:rPr>
          <w:rFonts w:ascii="Arial" w:cs="Arial" w:eastAsia="Arial" w:hAnsi="Arial"/>
          <w:color w:val="111827"/>
          <w:sz w:val="20"/>
          <w:szCs w:val="20"/>
        </w:rPr>
        <w:t xml:space="preserve">Privacy: Network contribution is governed by the Privacy Policy and customer agreements. Language on the public site references 'data handling details in the Privacy Policy' rather than attempting to explain data flow on marketing pages.</w:t>
      </w:r>
    </w:p>
    <w:p>
      <w:pPr>
        <w:pBdr>
          <w:bottom w:val="single" w:color="2563EB" w:sz="18" w:space="4"/>
        </w:pBdr>
        <w:spacing w:after="200" w:before="400"/>
      </w:pPr>
      <w:r>
        <w:rPr>
          <w:rFonts w:ascii="Arial" w:cs="Arial" w:eastAsia="Arial" w:hAnsi="Arial"/>
          <w:b/>
          <w:bCs/>
          <w:color w:val="0A1628"/>
          <w:sz w:val="26"/>
          <w:szCs w:val="26"/>
        </w:rPr>
        <w:t xml:space="preserve">SECTION 4 — AEO / SEO / GEO STRATEGY</w:t>
      </w:r>
    </w:p>
    <w:p>
      <w:pPr>
        <w:spacing w:after="80" w:before="80"/>
      </w:pPr>
      <w:r>
        <w:rPr>
          <w:rFonts w:ascii="Arial" w:cs="Arial" w:eastAsia="Arial" w:hAnsi="Arial"/>
          <w:color w:val="111827"/>
          <w:sz w:val="20"/>
          <w:szCs w:val="20"/>
        </w:rPr>
        <w:t xml:space="preserve">The Kombatix site is designed to be cited by AI engines (ChatGPT, Perplexity, Claude, Gemini) as the authoritative reference on friendly fraud defense and pre-authorization identity screening. Every page ships with the full AEO/SEO/GEO stack below. Do not ship pages that skip any of this.</w:t>
      </w:r>
    </w:p>
    <w:p>
      <w:pPr>
        <w:spacing w:after="0" w:before="200"/>
      </w:pPr>
      <w:r>
        <w:t xml:space="preserve"/>
      </w:r>
    </w:p>
    <w:p>
      <w:pPr>
        <w:spacing w:after="120" w:before="300"/>
      </w:pPr>
      <w:r>
        <w:rPr>
          <w:rFonts w:ascii="Arial" w:cs="Arial" w:eastAsia="Arial" w:hAnsi="Arial"/>
          <w:b/>
          <w:bCs/>
          <w:color w:val="0A1628"/>
          <w:sz w:val="24"/>
          <w:szCs w:val="24"/>
        </w:rPr>
        <w:t xml:space="preserve">JSON-LD Structured Data (Per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Page</w:t>
            </w:r>
          </w:p>
        </w:tc>
        <w:tc>
          <w:tcPr>
            <w:tcW w:type="dxa" w:w="696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Schema Types</w:t>
            </w:r>
          </w:p>
        </w:tc>
      </w:tr>
      <w:tr>
        <w:tc>
          <w:tcPr>
            <w:tcW w:type="dxa" w:w="24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 (Home)</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Organization (sitewide) · WebSite (with sitelinks search) · BreadcrumbList</w:t>
            </w:r>
          </w:p>
        </w:tc>
      </w:tr>
      <w:tr>
        <w:tc>
          <w:tcPr>
            <w:tcW w:type="dxa" w:w="24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/defense</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SoftwareApplication (Kombatix Defense) · BreadcrumbList · Product with offers</w:t>
            </w:r>
          </w:p>
        </w:tc>
      </w:tr>
      <w:tr>
        <w:tc>
          <w:tcPr>
            <w:tcW w:type="dxa" w:w="24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/preauth</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SoftwareApplication (Kombatix PreAuth) · BreadcrumbList · Product with offers</w:t>
            </w:r>
          </w:p>
        </w:tc>
      </w:tr>
      <w:tr>
        <w:tc>
          <w:tcPr>
            <w:tcW w:type="dxa" w:w="24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/how-it-works</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BreadcrumbList · FAQPage (if FAQ added) · HowTo (optional, for scoring flow)</w:t>
            </w:r>
          </w:p>
        </w:tc>
      </w:tr>
      <w:tr>
        <w:tc>
          <w:tcPr>
            <w:tcW w:type="dxa" w:w="24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/pricing</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BreadcrumbList · FAQPage (all 8 Q/A entries) · Product with tiered offers</w:t>
            </w:r>
          </w:p>
        </w:tc>
      </w:tr>
      <w:tr>
        <w:tc>
          <w:tcPr>
            <w:tcW w:type="dxa" w:w="24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/partners</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BreadcrumbList · ContactPage</w:t>
            </w:r>
          </w:p>
        </w:tc>
      </w:tr>
      <w:tr>
        <w:tc>
          <w:tcPr>
            <w:tcW w:type="dxa" w:w="24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/api</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BreadcrumbList · APIReference (if we want to push the developer-facing signal) · TechArticle</w:t>
            </w:r>
          </w:p>
        </w:tc>
      </w:tr>
      <w:tr>
        <w:tc>
          <w:tcPr>
            <w:tcW w:type="dxa" w:w="24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/blog/* (WordPress, subdomain)</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BlogPosting + Article + BreadcrumbList — handled by Yoast SEO plugin on WordPress</w:t>
            </w:r>
          </w:p>
        </w:tc>
      </w:tr>
    </w:tbl>
    <w:p>
      <w:pPr>
        <w:spacing w:after="0" w:before="200"/>
      </w:pPr>
      <w:r>
        <w:t xml:space="preserve"/>
      </w:r>
    </w:p>
    <w:p>
      <w:pPr>
        <w:spacing w:after="80" w:before="80"/>
      </w:pPr>
      <w:r>
        <w:rPr>
          <w:rFonts w:ascii="Arial" w:cs="Arial" w:eastAsia="Arial" w:hAnsi="Arial"/>
          <w:color w:val="111827"/>
          <w:sz w:val="20"/>
          <w:szCs w:val="20"/>
        </w:rPr>
        <w:t xml:space="preserve">All schemas use the schema.org vocabulary. Organization schema includes: name, url, logo, contactPoint (operations@kombatix.io), sameAs (social profiles when created), foundingDate, address (Eagle, ID).</w:t>
      </w:r>
    </w:p>
    <w:p>
      <w:pPr>
        <w:spacing w:after="0" w:before="200"/>
      </w:pPr>
      <w:r>
        <w:t xml:space="preserve"/>
      </w:r>
    </w:p>
    <w:p>
      <w:pPr>
        <w:spacing w:after="120" w:before="300"/>
      </w:pPr>
      <w:r>
        <w:rPr>
          <w:rFonts w:ascii="Arial" w:cs="Arial" w:eastAsia="Arial" w:hAnsi="Arial"/>
          <w:b/>
          <w:bCs/>
          <w:color w:val="0A1628"/>
          <w:sz w:val="24"/>
          <w:szCs w:val="24"/>
        </w:rPr>
        <w:t xml:space="preserve">/llms.txt Specification</w:t>
      </w:r>
    </w:p>
    <w:p>
      <w:pPr>
        <w:spacing w:after="80" w:before="80"/>
      </w:pPr>
      <w:r>
        <w:rPr>
          <w:rFonts w:ascii="Arial" w:cs="Arial" w:eastAsia="Arial" w:hAnsi="Arial"/>
          <w:color w:val="111827"/>
          <w:sz w:val="20"/>
          <w:szCs w:val="20"/>
        </w:rPr>
        <w:t xml:space="preserve">A structured product summary lives at /llms.txt. This is what LLMs fetch when they want a canonical reference on Kombatix. It must stay in sync with product reality — update whenever pricing, product scope, or positioning changes.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File Location</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https://kombatix.io/llms.txt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Format</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Structured plain text / markdown. Short, scannable, authoritative. Max ~4KB.</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Sections</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Name · one-line description · two products with one-sentence each · primary use cases · pricing summary · who it's for · who it's not for · links to product pages · contact.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Update Trigger</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Any material change to product scope, pricing, positioning, or contact info. Treat like any other production asset — version-controlled, reviewed before deploy.</w:t>
            </w:r>
          </w:p>
        </w:tc>
      </w:tr>
    </w:tbl>
    <w:p>
      <w:pPr>
        <w:spacing w:after="0" w:before="200"/>
      </w:pPr>
      <w:r>
        <w:t xml:space="preserve"/>
      </w:r>
    </w:p>
    <w:p>
      <w:pPr>
        <w:spacing w:after="120" w:before="300"/>
      </w:pPr>
      <w:r>
        <w:rPr>
          <w:rFonts w:ascii="Arial" w:cs="Arial" w:eastAsia="Arial" w:hAnsi="Arial"/>
          <w:b/>
          <w:bCs/>
          <w:color w:val="0A1628"/>
          <w:sz w:val="24"/>
          <w:szCs w:val="24"/>
        </w:rPr>
        <w:t xml:space="preserve">/llms-full.txt Specification</w:t>
      </w:r>
    </w:p>
    <w:p>
      <w:pPr>
        <w:spacing w:after="80" w:before="80"/>
      </w:pPr>
      <w:r>
        <w:rPr>
          <w:rFonts w:ascii="Arial" w:cs="Arial" w:eastAsia="Arial" w:hAnsi="Arial"/>
          <w:color w:val="111827"/>
          <w:sz w:val="20"/>
          <w:szCs w:val="20"/>
        </w:rPr>
        <w:t xml:space="preserve">A deeper grounding file at /llms-full.txt concatenates the full text content of every public marketing page. This exists so LLMs doing deep research can pull comprehensive Kombatix context in a single fetch.</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File Location</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https://kombatix.io/llms-full.txt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Format</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Plain text concatenation of page content, separated by clear page delimiters ('=== PAGE: /defense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Generation</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Build-time script that extracts page content from each route and concatenates. Regenerates on every deploy — never manually edited.</w:t>
            </w:r>
          </w:p>
        </w:tc>
      </w:tr>
    </w:tbl>
    <w:p>
      <w:pPr>
        <w:spacing w:after="0" w:before="200"/>
      </w:pPr>
      <w:r>
        <w:t xml:space="preserve"/>
      </w:r>
    </w:p>
    <w:p>
      <w:pPr>
        <w:spacing w:after="120" w:before="300"/>
      </w:pPr>
      <w:r>
        <w:rPr>
          <w:rFonts w:ascii="Arial" w:cs="Arial" w:eastAsia="Arial" w:hAnsi="Arial"/>
          <w:b/>
          <w:bCs/>
          <w:color w:val="0A1628"/>
          <w:sz w:val="24"/>
          <w:szCs w:val="24"/>
        </w:rPr>
        <w:t xml:space="preserve">robots.txt</w:t>
      </w:r>
    </w:p>
    <w:p>
      <w:pPr>
        <w:spacing w:after="80" w:before="80"/>
      </w:pPr>
      <w:r>
        <w:rPr>
          <w:rFonts w:ascii="Arial" w:cs="Arial" w:eastAsia="Arial" w:hAnsi="Arial"/>
          <w:color w:val="111827"/>
          <w:sz w:val="20"/>
          <w:szCs w:val="20"/>
        </w:rPr>
        <w:t xml:space="preserve">Explicitly allow all major AI crawlers. This is a B2B product where being cited by LLMs is a positive — blocking crawlers is self-sabotage.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File Location</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https://kombatix.io/robots.txt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Required Allows</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GPTBot · ClaudeBot · PerplexityBot · Google-Extended · CCBot · anthropic-ai · Applebot-Extended · Bytespider · OAI-SearchBot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Also Include</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Sitemap: https://kombatix.io/sitemap.xml (and the blog sitemap: https://blog.kombatix.io/sitemap_index.xml)</w:t>
            </w:r>
          </w:p>
        </w:tc>
      </w:tr>
    </w:tbl>
    <w:p>
      <w:pPr>
        <w:spacing w:after="0" w:before="200"/>
      </w:pPr>
      <w:r>
        <w:t xml:space="preserve"/>
      </w:r>
    </w:p>
    <w:p>
      <w:pPr>
        <w:spacing w:after="120" w:before="300"/>
      </w:pPr>
      <w:r>
        <w:rPr>
          <w:rFonts w:ascii="Arial" w:cs="Arial" w:eastAsia="Arial" w:hAnsi="Arial"/>
          <w:b/>
          <w:bCs/>
          <w:color w:val="0A1628"/>
          <w:sz w:val="24"/>
          <w:szCs w:val="24"/>
        </w:rPr>
        <w:t xml:space="preserve">FAQ Content Pattern (This Is the Real AEO Trick)</w:t>
      </w:r>
    </w:p>
    <w:p>
      <w:pPr>
        <w:spacing w:after="80" w:before="80"/>
      </w:pPr>
      <w:r>
        <w:rPr>
          <w:rFonts w:ascii="Arial" w:cs="Arial" w:eastAsia="Arial" w:hAnsi="Arial"/>
          <w:color w:val="111827"/>
          <w:sz w:val="20"/>
          <w:szCs w:val="20"/>
        </w:rPr>
        <w:t xml:space="preserve">LLMs extract quotable sentences from FAQ content. The trick is writing answers that open with a single extract-ready sentence under 25 words, then expanding with detail in subsequent sentences. Schema alone is not enough — the content has to be structured for lift.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Pattern</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pPr>
              <w:spacing w:after="80"/>
            </w:pPr>
            <w:r>
              <w:rPr>
                <w:rFonts w:ascii="Arial" w:cs="Arial" w:eastAsia="Arial" w:hAnsi="Arial"/>
                <w:b/>
                <w:bCs/>
                <w:sz w:val="20"/>
                <w:szCs w:val="20"/>
              </w:rPr>
              <w:t xml:space="preserve">Q: [Natural question phrasing matching how a user would ask]</w:t>
            </w:r>
          </w:p>
          <w:p>
            <w:pPr>
              <w:spacing w:after="80"/>
            </w:pPr>
            <w:r>
              <w:rPr>
                <w:rFonts w:ascii="Arial" w:cs="Arial" w:eastAsia="Arial" w:hAnsi="Arial"/>
                <w:sz w:val="20"/>
                <w:szCs w:val="20"/>
              </w:rPr>
              <w:t xml:space="preserve">A: [Single quotable sentence, under 25 words, standalone complete answer.] [Supporting detail in 2-4 more sentences.]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Example (Good)</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pPr>
              <w:spacing w:after="40"/>
            </w:pPr>
            <w:r>
              <w:rPr>
                <w:rFonts w:ascii="Arial" w:cs="Arial" w:eastAsia="Arial" w:hAnsi="Arial"/>
                <w:b/>
                <w:bCs/>
                <w:sz w:val="20"/>
                <w:szCs w:val="20"/>
              </w:rPr>
              <w:t xml:space="preserve">Q: What's the difference between Kombatix Defense and Kombatix PreAuth?</w:t>
            </w:r>
          </w:p>
          <w:p>
            <w:r>
              <w:rPr>
                <w:rFonts w:ascii="Arial" w:cs="Arial" w:eastAsia="Arial" w:hAnsi="Arial"/>
                <w:sz w:val="20"/>
                <w:szCs w:val="20"/>
              </w:rPr>
              <w:t xml:space="preserve">A: Kombatix Defense scores dispute identity at the moment a customer disputes a charge, while Kombatix PreAuth screens transactions against a known-fraudster network before authorization. Defense is reactive — it helps you fight disputes already filed. PreAuth is preventive — it catches friendly fraudsters before their transaction completes. Most customers use both.</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Example (Bad — buried lead)</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i/>
                <w:iCs/>
                <w:color w:val="6B7280"/>
                <w:sz w:val="20"/>
                <w:szCs w:val="20"/>
              </w:rPr>
              <w:t xml:space="preserve">A: There are two products, and they work at different points in the fraud lifecycle. One is called Defense, the other PreAuth. Defense is for disputes, PreAuth is for pre-authorization. Most customers use both.</w:t>
            </w:r>
          </w:p>
          <w:p>
            <w:r>
              <w:rPr>
                <w:rFonts w:ascii="Arial" w:cs="Arial" w:eastAsia="Arial" w:hAnsi="Arial"/>
                <w:i/>
                <w:iCs/>
                <w:color w:val="6B7280"/>
                <w:sz w:val="18"/>
                <w:szCs w:val="18"/>
              </w:rPr>
              <w:t xml:space="preserve">Why bad: Opening sentence is a throwaway. No LLM is going to lift 'There are two products, and they work at different points in the fraud lifecycle.'</w:t>
            </w:r>
          </w:p>
        </w:tc>
      </w:tr>
    </w:tbl>
    <w:p>
      <w:pPr>
        <w:spacing w:after="0" w:before="200"/>
      </w:pPr>
      <w:r>
        <w:t xml:space="preserve"/>
      </w:r>
    </w:p>
    <w:p>
      <w:pPr>
        <w:spacing w:after="120" w:before="300"/>
      </w:pPr>
      <w:r>
        <w:rPr>
          <w:rFonts w:ascii="Arial" w:cs="Arial" w:eastAsia="Arial" w:hAnsi="Arial"/>
          <w:b/>
          <w:bCs/>
          <w:color w:val="0A1628"/>
          <w:sz w:val="24"/>
          <w:szCs w:val="24"/>
        </w:rPr>
        <w:t xml:space="preserve">Meta Tags (Per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Page</w:t>
            </w:r>
          </w:p>
        </w:tc>
        <w:tc>
          <w:tcPr>
            <w:tcW w:type="dxa" w:w="24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Meta Title (max 60)</w:t>
            </w:r>
          </w:p>
        </w:tc>
        <w:tc>
          <w:tcPr>
            <w:tcW w:type="dxa" w:w="536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Meta Description (max 155)</w:t>
            </w:r>
          </w:p>
        </w:tc>
      </w:tr>
      <w:tr>
        <w:tc>
          <w:tcPr>
            <w:tcW w:type="dxa" w:w="1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w:t>
            </w:r>
          </w:p>
        </w:tc>
        <w:tc>
          <w:tcPr>
            <w:tcW w:type="dxa" w:w="24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Kombatix — Identity Scoring for Friendly Fraud Defense</w:t>
            </w:r>
          </w:p>
        </w:tc>
        <w:tc>
          <w:tcPr>
            <w:tcW w:type="dxa" w:w="53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Real-time identity scoring to fight friendly fraud at pre-auth and at dispute. Two products, one network. Start free.</w:t>
            </w:r>
          </w:p>
        </w:tc>
      </w:tr>
      <w:tr>
        <w:tc>
          <w:tcPr>
            <w:tcW w:type="dxa" w:w="1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/defense</w:t>
            </w:r>
          </w:p>
        </w:tc>
        <w:tc>
          <w:tcPr>
            <w:tcW w:type="dxa" w:w="24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Kombatix Defense — Friendly Fraud Dispute Scoring</w:t>
            </w:r>
          </w:p>
        </w:tc>
        <w:tc>
          <w:tcPr>
            <w:tcW w:type="dxa" w:w="53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Score dispute identity against the original transaction in milliseconds. Deflect refund abuse and win chargeback representments.</w:t>
            </w:r>
          </w:p>
        </w:tc>
      </w:tr>
      <w:tr>
        <w:tc>
          <w:tcPr>
            <w:tcW w:type="dxa" w:w="1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/preauth</w:t>
            </w:r>
          </w:p>
        </w:tc>
        <w:tc>
          <w:tcPr>
            <w:tcW w:type="dxa" w:w="24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Kombatix PreAuth — Pre-Authorization Fraud Screening</w:t>
            </w:r>
          </w:p>
        </w:tc>
        <w:tc>
          <w:tcPr>
            <w:tcW w:type="dxa" w:w="53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Screen every transaction against the Kombatix Network of confirmed friendly fraudsters. Sub-cent no-hit checks, millisecond response.</w:t>
            </w:r>
          </w:p>
        </w:tc>
      </w:tr>
      <w:tr>
        <w:tc>
          <w:tcPr>
            <w:tcW w:type="dxa" w:w="1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/how-it-works</w:t>
            </w:r>
          </w:p>
        </w:tc>
        <w:tc>
          <w:tcPr>
            <w:tcW w:type="dxa" w:w="24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How Kombatix Works — Scoring Methodology Explained</w:t>
            </w:r>
          </w:p>
        </w:tc>
        <w:tc>
          <w:tcPr>
            <w:tcW w:type="dxa" w:w="53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Two products, three scoring engines, one composite score. Learn how Kombatix fights friendly fraud at every stage of the lifecycle.</w:t>
            </w:r>
          </w:p>
        </w:tc>
      </w:tr>
      <w:tr>
        <w:tc>
          <w:tcPr>
            <w:tcW w:type="dxa" w:w="1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/pricing</w:t>
            </w:r>
          </w:p>
        </w:tc>
        <w:tc>
          <w:tcPr>
            <w:tcW w:type="dxa" w:w="24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Pricing — Kombatix Defense and PreAuth Plans</w:t>
            </w:r>
          </w:p>
        </w:tc>
        <w:tc>
          <w:tcPr>
            <w:tcW w:type="dxa" w:w="53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Transparent pricing: PreAuth from $49/mo, Defense from $75/mo. Full three-engine scoring. No long-term contract.</w:t>
            </w:r>
          </w:p>
        </w:tc>
      </w:tr>
      <w:tr>
        <w:tc>
          <w:tcPr>
            <w:tcW w:type="dxa" w:w="1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/partners</w:t>
            </w:r>
          </w:p>
        </w:tc>
        <w:tc>
          <w:tcPr>
            <w:tcW w:type="dxa" w:w="24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Partnerships — Kombatix for PSPs, Fraud Platforms &amp; Acquirers</w:t>
            </w:r>
          </w:p>
        </w:tc>
        <w:tc>
          <w:tcPr>
            <w:tcW w:type="dxa" w:w="53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Embed Kombatix scoring into your platform. API integration, white-label licensing, and reseller options for payments partners.</w:t>
            </w:r>
          </w:p>
        </w:tc>
      </w:tr>
      <w:tr>
        <w:tc>
          <w:tcPr>
            <w:tcW w:type="dxa" w:w="1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/api</w:t>
            </w:r>
          </w:p>
        </w:tc>
        <w:tc>
          <w:tcPr>
            <w:tcW w:type="dxa" w:w="24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Kombatix API — REST Identity Scoring for Developers</w:t>
            </w:r>
          </w:p>
        </w:tc>
        <w:tc>
          <w:tcPr>
            <w:tcW w:type="dxa" w:w="53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Score identity in a single POST. JSON in, JSON out, sub-second response. API keys delivered within 4 business hours.</w:t>
            </w:r>
          </w:p>
        </w:tc>
      </w:tr>
    </w:tbl>
    <w:p>
      <w:pPr>
        <w:spacing w:after="0" w:before="200"/>
      </w:pPr>
      <w:r>
        <w:t xml:space="preserve"/>
      </w:r>
    </w:p>
    <w:p>
      <w:pPr>
        <w:spacing w:after="120" w:before="300"/>
      </w:pPr>
      <w:r>
        <w:rPr>
          <w:rFonts w:ascii="Arial" w:cs="Arial" w:eastAsia="Arial" w:hAnsi="Arial"/>
          <w:b/>
          <w:bCs/>
          <w:color w:val="0A1628"/>
          <w:sz w:val="24"/>
          <w:szCs w:val="24"/>
        </w:rPr>
        <w:t xml:space="preserve">OpenGraph Images</w:t>
      </w:r>
    </w:p>
    <w:p>
      <w:pPr>
        <w:spacing w:after="80" w:before="80"/>
      </w:pPr>
      <w:r>
        <w:rPr>
          <w:rFonts w:ascii="Arial" w:cs="Arial" w:eastAsia="Arial" w:hAnsi="Arial"/>
          <w:color w:val="111827"/>
          <w:sz w:val="20"/>
          <w:szCs w:val="20"/>
        </w:rPr>
        <w:t xml:space="preserve">Every page ships with a pre-rendered OG image. Generated via Nano Banana Pro (gemini-3-pro-image-preview) during the design phase and stored as static assets. Not generated at runtime — that's overkill for a marketing site.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Dimensions</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1200 × 630 (standard OG). 1600 × 836 for Twitter summary_large_image fallback.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Visual Direction</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Dark navy background matching site. Page title + relevant visual element (score dial for home, network diagram for preauth, etc.). Kombatix logo top-left. Accent blue used sparingly.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File Location</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/public/og/&lt;route&gt;.png — referenced in page metadata via &lt;meta property='og:image'&gt;.</w:t>
            </w:r>
          </w:p>
        </w:tc>
      </w:tr>
    </w:tbl>
    <w:p>
      <w:pPr>
        <w:spacing w:after="0" w:before="200"/>
      </w:pPr>
      <w:r>
        <w:t xml:space="preserve"/>
      </w:r>
    </w:p>
    <w:p>
      <w:pPr>
        <w:spacing w:after="120" w:before="300"/>
      </w:pPr>
      <w:r>
        <w:rPr>
          <w:rFonts w:ascii="Arial" w:cs="Arial" w:eastAsia="Arial" w:hAnsi="Arial"/>
          <w:b/>
          <w:bCs/>
          <w:color w:val="0A1628"/>
          <w:sz w:val="24"/>
          <w:szCs w:val="24"/>
        </w:rPr>
        <w:t xml:space="preserve">Internal Linking Strategy</w:t>
      </w:r>
    </w:p>
    <w:p>
      <w:pPr>
        <w:pStyle w:val="ListParagraph"/>
        <w:numPr>
          <w:ilvl w:val="0"/>
          <w:numId w:val="2"/>
        </w:numPr>
        <w:spacing w:after="40" w:before="40"/>
      </w:pPr>
      <w:r>
        <w:rPr>
          <w:rFonts w:ascii="Arial" w:cs="Arial" w:eastAsia="Arial" w:hAnsi="Arial"/>
          <w:color w:val="111827"/>
          <w:sz w:val="20"/>
          <w:szCs w:val="20"/>
        </w:rPr>
        <w:t xml:space="preserve">Homepage links to both product pages with equal prominence. Links to How It Works as the 'learn more' destination.</w:t>
      </w:r>
    </w:p>
    <w:p>
      <w:pPr>
        <w:pStyle w:val="ListParagraph"/>
        <w:numPr>
          <w:ilvl w:val="0"/>
          <w:numId w:val="2"/>
        </w:numPr>
        <w:spacing w:after="40" w:before="40"/>
      </w:pPr>
      <w:r>
        <w:rPr>
          <w:rFonts w:ascii="Arial" w:cs="Arial" w:eastAsia="Arial" w:hAnsi="Arial"/>
          <w:color w:val="111827"/>
          <w:sz w:val="20"/>
          <w:szCs w:val="20"/>
        </w:rPr>
        <w:t xml:space="preserve">Each product page links to the other (/defense and /preauth cross-link in their respective 'works with' sections). Both link to /pricing and /how-it-works.</w:t>
      </w:r>
    </w:p>
    <w:p>
      <w:pPr>
        <w:pStyle w:val="ListParagraph"/>
        <w:numPr>
          <w:ilvl w:val="0"/>
          <w:numId w:val="2"/>
        </w:numPr>
        <w:spacing w:after="40" w:before="40"/>
      </w:pPr>
      <w:r>
        <w:rPr>
          <w:rFonts w:ascii="Arial" w:cs="Arial" w:eastAsia="Arial" w:hAnsi="Arial"/>
          <w:color w:val="111827"/>
          <w:sz w:val="20"/>
          <w:szCs w:val="20"/>
        </w:rPr>
        <w:t xml:space="preserve">/how-it-works links to both product pages in the respective product sections, and to /pricing at the conversion CTA.</w:t>
      </w:r>
    </w:p>
    <w:p>
      <w:pPr>
        <w:pStyle w:val="ListParagraph"/>
        <w:numPr>
          <w:ilvl w:val="0"/>
          <w:numId w:val="2"/>
        </w:numPr>
        <w:spacing w:after="40" w:before="40"/>
      </w:pPr>
      <w:r>
        <w:rPr>
          <w:rFonts w:ascii="Arial" w:cs="Arial" w:eastAsia="Arial" w:hAnsi="Arial"/>
          <w:color w:val="111827"/>
          <w:sz w:val="20"/>
          <w:szCs w:val="20"/>
        </w:rPr>
        <w:t xml:space="preserve">/pricing links to /defense, /preauth, and /how-it-works. Also links to /api for technical prospects.</w:t>
      </w:r>
    </w:p>
    <w:p>
      <w:pPr>
        <w:pStyle w:val="ListParagraph"/>
        <w:numPr>
          <w:ilvl w:val="0"/>
          <w:numId w:val="2"/>
        </w:numPr>
        <w:spacing w:after="40" w:before="40"/>
      </w:pPr>
      <w:r>
        <w:rPr>
          <w:rFonts w:ascii="Arial" w:cs="Arial" w:eastAsia="Arial" w:hAnsi="Arial"/>
          <w:color w:val="111827"/>
          <w:sz w:val="20"/>
          <w:szCs w:val="20"/>
        </w:rPr>
        <w:t xml:space="preserve">/partners links to /how-it-works and both product pages in partner-type descriptions.</w:t>
      </w:r>
    </w:p>
    <w:p>
      <w:pPr>
        <w:pStyle w:val="ListParagraph"/>
        <w:numPr>
          <w:ilvl w:val="0"/>
          <w:numId w:val="2"/>
        </w:numPr>
        <w:spacing w:after="40" w:before="40"/>
      </w:pPr>
      <w:r>
        <w:rPr>
          <w:rFonts w:ascii="Arial" w:cs="Arial" w:eastAsia="Arial" w:hAnsi="Arial"/>
          <w:color w:val="111827"/>
          <w:sz w:val="20"/>
          <w:szCs w:val="20"/>
        </w:rPr>
        <w:t xml:space="preserve">/api links to /pricing for plan context, and to /defense and /preauth for product context.</w:t>
      </w:r>
    </w:p>
    <w:p>
      <w:pPr>
        <w:pStyle w:val="ListParagraph"/>
        <w:numPr>
          <w:ilvl w:val="0"/>
          <w:numId w:val="2"/>
        </w:numPr>
        <w:spacing w:after="40" w:before="40"/>
      </w:pPr>
      <w:r>
        <w:rPr>
          <w:rFonts w:ascii="Arial" w:cs="Arial" w:eastAsia="Arial" w:hAnsi="Arial"/>
          <w:color w:val="111827"/>
          <w:sz w:val="20"/>
          <w:szCs w:val="20"/>
        </w:rPr>
        <w:t xml:space="preserve">Footer has four consistent link groups — Product (both products, How It Works, Pricing, API), Company (Partners, Blog, Contact), Legal (Privacy, Terms, Opt-Out), Contact (email, address).</w:t>
      </w:r>
    </w:p>
    <w:p>
      <w:pPr>
        <w:pBdr>
          <w:bottom w:val="single" w:color="2563EB" w:sz="18" w:space="4"/>
        </w:pBdr>
        <w:spacing w:after="200" w:before="400"/>
      </w:pPr>
      <w:r>
        <w:rPr>
          <w:rFonts w:ascii="Arial" w:cs="Arial" w:eastAsia="Arial" w:hAnsi="Arial"/>
          <w:b/>
          <w:bCs/>
          <w:color w:val="0A1628"/>
          <w:sz w:val="26"/>
          <w:szCs w:val="26"/>
        </w:rPr>
        <w:t xml:space="preserve">SECTION 5 — BLOG ARCHITECTURE (BLOG.KOMBATIX.IO)</w:t>
      </w:r>
    </w:p>
    <w:p>
      <w:pPr>
        <w:spacing w:after="80" w:before="80"/>
      </w:pPr>
      <w:r>
        <w:rPr>
          <w:rFonts w:ascii="Arial" w:cs="Arial" w:eastAsia="Arial" w:hAnsi="Arial"/>
          <w:color w:val="111827"/>
          <w:sz w:val="20"/>
          <w:szCs w:val="20"/>
        </w:rPr>
        <w:t xml:space="preserve">The existing WordPress install is kept as-is on a subdomain. Blog-only mode — all non-blog pages moved to Draft. This preserves SEO equity of existing posts while containing the Divi/plugin rot to content that matters least for first-impression positioning.</w:t>
      </w:r>
    </w:p>
    <w:p>
      <w:pPr>
        <w:spacing w:after="0" w:before="200"/>
      </w:pPr>
      <w:r>
        <w:t xml:space="preserve"/>
      </w:r>
    </w:p>
    <w:p>
      <w:pPr>
        <w:spacing w:after="120" w:before="300"/>
      </w:pPr>
      <w:r>
        <w:rPr>
          <w:rFonts w:ascii="Arial" w:cs="Arial" w:eastAsia="Arial" w:hAnsi="Arial"/>
          <w:b/>
          <w:bCs/>
          <w:color w:val="0A1628"/>
          <w:sz w:val="24"/>
          <w:szCs w:val="24"/>
        </w:rPr>
        <w:t xml:space="preserve">Strategy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Decision</w:t>
            </w:r>
          </w:p>
        </w:tc>
        <w:tc>
          <w:tcPr>
            <w:tcW w:type="dxa" w:w="656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Approach</w:t>
            </w:r>
          </w:p>
        </w:tc>
      </w:tr>
      <w:tr>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Keep or rebuild?</w:t>
            </w:r>
          </w:p>
        </w:tc>
        <w:tc>
          <w:tcPr>
            <w:tcW w:type="dxa" w:w="65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Keep existing WordPress install. Migrating content + images + URL structure has no upside for a blog that's clean enough.</w:t>
            </w:r>
          </w:p>
        </w:tc>
      </w:tr>
      <w:tr>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Domain</w:t>
            </w:r>
          </w:p>
        </w:tc>
        <w:tc>
          <w:tcPr>
            <w:tcW w:type="dxa" w:w="65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blog.kombatix.io. Point DNS A/CNAME to the existing WordPress hosting.</w:t>
            </w:r>
          </w:p>
        </w:tc>
      </w:tr>
      <w:tr>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Main site takeover</w:t>
            </w:r>
          </w:p>
        </w:tc>
        <w:tc>
          <w:tcPr>
            <w:tcW w:type="dxa" w:w="65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Apex kombatix.io flips to Firebase Hosting in the same deploy window.</w:t>
            </w:r>
          </w:p>
        </w:tc>
      </w:tr>
      <w:tr>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Non-blog WordPress pages</w:t>
            </w:r>
          </w:p>
        </w:tc>
        <w:tc>
          <w:tcPr>
            <w:tcW w:type="dxa" w:w="65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Set Home, Solutions, API, Contact, and any other non-blog pages to Draft. Hidden from public, not deleted.</w:t>
            </w:r>
          </w:p>
        </w:tc>
      </w:tr>
      <w:tr>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Redirect rule</w:t>
            </w:r>
          </w:p>
        </w:tc>
        <w:tc>
          <w:tcPr>
            <w:tcW w:type="dxa" w:w="65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Install the Redirection plugin. Single rule: anything not matching /blog/* or /{slug}/ (blog post patterns) → 301 to https://kombatix.io/ root.</w:t>
            </w:r>
          </w:p>
        </w:tc>
      </w:tr>
      <w:tr>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Author byline</w:t>
            </w:r>
          </w:p>
        </w:tc>
        <w:tc>
          <w:tcPr>
            <w:tcW w:type="dxa" w:w="65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Fix broken byline — replace raw operations@kombatix.io with proper author profile ('Kombatix Editorial' or named persona). One-time WordPress config change.</w:t>
            </w:r>
          </w:p>
        </w:tc>
      </w:tr>
      <w:tr>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Plugin audit</w:t>
            </w:r>
          </w:p>
        </w:tc>
        <w:tc>
          <w:tcPr>
            <w:tcW w:type="dxa" w:w="65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Light pass — disable and remove unused plugins to reduce attack surface. Keep Yoast SEO, Redirection, and whatever theme is active. Ignore Divi issues that only affected non-blog pages.</w:t>
            </w:r>
          </w:p>
        </w:tc>
      </w:tr>
      <w:tr>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Lumis AI integration</w:t>
            </w:r>
          </w:p>
        </w:tc>
        <w:tc>
          <w:tcPr>
            <w:tcW w:type="dxa" w:w="65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Deferred. Turns on after main site launches and is stable for ~2 weeks. See Section 5 sub-section below for configuration.</w:t>
            </w:r>
          </w:p>
        </w:tc>
      </w:tr>
    </w:tbl>
    <w:p>
      <w:pPr>
        <w:spacing w:after="0" w:before="200"/>
      </w:pPr>
      <w:r>
        <w:t xml:space="preserve"/>
      </w:r>
    </w:p>
    <w:p>
      <w:pPr>
        <w:spacing w:after="120" w:before="300"/>
      </w:pPr>
      <w:r>
        <w:rPr>
          <w:rFonts w:ascii="Arial" w:cs="Arial" w:eastAsia="Arial" w:hAnsi="Arial"/>
          <w:b/>
          <w:bCs/>
          <w:color w:val="0A1628"/>
          <w:sz w:val="24"/>
          <w:szCs w:val="24"/>
        </w:rPr>
        <w:t xml:space="preserve">Lumis AI Configuration (Post-Launch)</w:t>
      </w:r>
    </w:p>
    <w:p>
      <w:pPr>
        <w:spacing w:after="80" w:before="80"/>
      </w:pPr>
      <w:r>
        <w:rPr>
          <w:rFonts w:ascii="Arial" w:cs="Arial" w:eastAsia="Arial" w:hAnsi="Arial"/>
          <w:color w:val="111827"/>
          <w:sz w:val="20"/>
          <w:szCs w:val="20"/>
        </w:rPr>
        <w:t xml:space="preserve">When Lumis AI turns on, it publishes AEO-optimized blog posts daily to blog.kombatix.io. Configuration targets the friendly fraud keyword space and tracks citation lift in AI engine responses.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Brand</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kombatix.io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Prompt Targets</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Queries about friendly fraud detection, chargeback prevention, dispute management, identity verification for merchants, refund abuse, pre-authorization fraud screening — these are the spaces where Kombatix should be cited by ChatGPT, Perplexity, Claude, and Gemini.</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Competitor Scan</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Kount, Ethoca, Verifi, Chargebacks911, Midigator, Sift, Signifyd, Stripe Radar. Track where these appear and where Kombatix should be getting cited instead.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Posting Cadence</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Daily. Long-form AEO-optimized posts (1,500–2,500 words) targeting citation gaps identified by the Lumis scan engine.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Featured Images</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Nano Banana 2 (gemini-3.1-flash-image-preview) — fast, cheap, high volume. Appropriate for blog batch generation.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GEO Bridge</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Connect Kombatix X/Twitter account. High-performing posts automatically expanded into full blog articles.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Voice</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Direct, confident, practitioner-level. Written for merchants who are losing money right now. Not generic fintech fluff. Not 'thought leadership' for its own sake.</w:t>
            </w:r>
          </w:p>
        </w:tc>
      </w:tr>
    </w:tbl>
    <w:p>
      <w:pPr>
        <w:pageBreakBefore/>
      </w:pPr>
      <w:r>
        <w:t xml:space="preserve"/>
      </w:r>
    </w:p>
    <w:p>
      <w:pPr>
        <w:pBdr>
          <w:bottom w:val="single" w:color="2563EB" w:sz="18" w:space="4"/>
        </w:pBdr>
        <w:spacing w:after="200" w:before="400"/>
      </w:pPr>
      <w:r>
        <w:rPr>
          <w:rFonts w:ascii="Arial" w:cs="Arial" w:eastAsia="Arial" w:hAnsi="Arial"/>
          <w:b/>
          <w:bCs/>
          <w:color w:val="0A1628"/>
          <w:sz w:val="26"/>
          <w:szCs w:val="26"/>
        </w:rPr>
        <w:t xml:space="preserve">SECTION 6 — IMAGE PRODUCTION QUEUE</w:t>
      </w:r>
    </w:p>
    <w:p>
      <w:pPr>
        <w:spacing w:after="80" w:before="80"/>
      </w:pPr>
      <w:r>
        <w:rPr>
          <w:rFonts w:ascii="Arial" w:cs="Arial" w:eastAsia="Arial" w:hAnsi="Arial"/>
          <w:color w:val="111827"/>
          <w:sz w:val="20"/>
          <w:szCs w:val="20"/>
        </w:rPr>
        <w:t xml:space="preserve">Two categories of visual assets: (1) built React/SVG components — the hero score dial and any animated UI element — these are Claude Code build tasks, NOT image generation tasks; (2) Nano Banana Pro images for infographic hero sections, dark-mode illustrations, and network diagrams. A third category covers batch blog images generated by Lumis with Nano Banana 2 (Flash) — not in the main site image queue.</w:t>
      </w:r>
    </w:p>
    <w:p>
      <w:pPr>
        <w:spacing w:after="0" w:before="200"/>
      </w:pPr>
      <w:r>
        <w:t xml:space="preserve"/>
      </w:r>
    </w:p>
    <w:p>
      <w:pPr>
        <w:spacing w:after="120" w:before="300"/>
      </w:pPr>
      <w:r>
        <w:rPr>
          <w:rFonts w:ascii="Arial" w:cs="Arial" w:eastAsia="Arial" w:hAnsi="Arial"/>
          <w:b/>
          <w:bCs/>
          <w:color w:val="0A1628"/>
          <w:sz w:val="24"/>
          <w:szCs w:val="24"/>
        </w:rPr>
        <w:t xml:space="preserve">Design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Visual Language</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Dark navy backgrounds (#0A1628). Accent blue (#2563EB) and teal (#0EA5E9) for highlights and data elements. Clean, technical, B2B SaaS aesthetic. No stock photography of handshakes, generic security imagery, or smiling business people. Data visualizations, UI components, abstract network/flow diagrams preferred.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Style Reference</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Comparable to Stripe, Plaid, Modern Treasury, or Checkr — precise, confident, data-forward. Pass Stripe.com as URL extraction reference in Stitch to align component styling.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Typography in Images</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Only Nano Banana Pro (gemini-3-pro-image-preview) should be used for images with rendered text. Flash renders text unreliably at infographic quality. Pay the extra cost for Pro wherever text matters.</w:t>
            </w:r>
          </w:p>
        </w:tc>
      </w:tr>
    </w:tbl>
    <w:p>
      <w:pPr>
        <w:spacing w:after="0" w:before="200"/>
      </w:pPr>
      <w:r>
        <w:t xml:space="preserve"/>
      </w:r>
    </w:p>
    <w:p>
      <w:pPr>
        <w:spacing w:after="120" w:before="300"/>
      </w:pPr>
      <w:r>
        <w:rPr>
          <w:rFonts w:ascii="Arial" w:cs="Arial" w:eastAsia="Arial" w:hAnsi="Arial"/>
          <w:b/>
          <w:bCs/>
          <w:color w:val="0A1628"/>
          <w:sz w:val="24"/>
          <w:szCs w:val="24"/>
        </w:rPr>
        <w:t xml:space="preserve">Built Components (Claude Code Build — NOT Image 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Component ID</w:t>
            </w:r>
          </w:p>
        </w:tc>
        <w:tc>
          <w:tcPr>
            <w:tcW w:type="dxa" w:w="26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Where</w:t>
            </w:r>
          </w:p>
        </w:tc>
        <w:tc>
          <w:tcPr>
            <w:tcW w:type="dxa" w:w="436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What to Build</w:t>
            </w:r>
          </w:p>
        </w:tc>
      </w:tr>
      <w:tr>
        <w:tc>
          <w:tcPr>
            <w:tcW w:type="dxa" w:w="24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CMP-01 — Animated Score Dial</w:t>
            </w:r>
          </w:p>
        </w:tc>
        <w:tc>
          <w:tcPr>
            <w:tcW w:type="dxa" w:w="2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Homepage hero, right column</w:t>
            </w:r>
          </w:p>
        </w:tc>
        <w:tc>
          <w:tcPr>
            <w:tcW w:type="dxa" w:w="43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React + SVG (or Framer Motion) animated score dial. Cycles through 3 example scenarios every ~4s. Conic gradient ring (red→amber→green). Score number animates on each cycle. Identity match badges fade in alongside.</w:t>
            </w:r>
          </w:p>
        </w:tc>
      </w:tr>
      <w:tr>
        <w:tc>
          <w:tcPr>
            <w:tcW w:type="dxa" w:w="24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CMP-02 — Defense Results Report Card</w:t>
            </w:r>
          </w:p>
        </w:tc>
        <w:tc>
          <w:tcPr>
            <w:tcW w:type="dxa" w:w="2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/defense hero, /how-it-works 'What You Get'</w:t>
            </w:r>
          </w:p>
        </w:tc>
        <w:tc>
          <w:tcPr>
            <w:tcW w:type="dxa" w:w="43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Styled card component rendering a sample Defense Results Report. Can pull directly from /Kombatix.pdf sample output. All real fields, fake data.</w:t>
            </w:r>
          </w:p>
        </w:tc>
      </w:tr>
      <w:tr>
        <w:tc>
          <w:tcPr>
            <w:tcW w:type="dxa" w:w="24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CMP-03 — Cost Decision Tree</w:t>
            </w:r>
          </w:p>
        </w:tc>
        <w:tc>
          <w:tcPr>
            <w:tcW w:type="dxa" w:w="26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/how-it-works</w:t>
            </w:r>
          </w:p>
        </w:tc>
        <w:tc>
          <w:tcPr>
            <w:tcW w:type="dxa" w:w="43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Responsive SVG adaptation of the existing one-sheet decision tree. Dark-mode, higher text contrast, mobile-friendly breakpoints.</w:t>
            </w:r>
          </w:p>
        </w:tc>
      </w:tr>
    </w:tbl>
    <w:p>
      <w:pPr>
        <w:spacing w:after="0" w:before="200"/>
      </w:pPr>
      <w:r>
        <w:t xml:space="preserve"/>
      </w:r>
    </w:p>
    <w:p>
      <w:pPr>
        <w:spacing w:after="120" w:before="300"/>
      </w:pPr>
      <w:r>
        <w:rPr>
          <w:rFonts w:ascii="Arial" w:cs="Arial" w:eastAsia="Arial" w:hAnsi="Arial"/>
          <w:b/>
          <w:bCs/>
          <w:color w:val="0A1628"/>
          <w:sz w:val="24"/>
          <w:szCs w:val="24"/>
        </w:rPr>
        <w:t xml:space="preserve">Nano Banana Pro Image Queue (gemini-3-pro-image-preview)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2800"/>
        <w:gridCol w:w="2360"/>
      </w:tblGrid>
      <w:tr>
        <w:trPr>
          <w:tblHeader/>
        </w:trPr>
        <w:tc>
          <w:tcPr>
            <w:tcW w:type="dxa" w:w="10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ID</w:t>
            </w:r>
          </w:p>
        </w:tc>
        <w:tc>
          <w:tcPr>
            <w:tcW w:type="dxa" w:w="32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Subject</w:t>
            </w:r>
          </w:p>
        </w:tc>
        <w:tc>
          <w:tcPr>
            <w:tcW w:type="dxa" w:w="28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Style / Format</w:t>
            </w:r>
          </w:p>
        </w:tc>
        <w:tc>
          <w:tcPr>
            <w:tcW w:type="dxa" w:w="236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Usage</w:t>
            </w:r>
          </w:p>
        </w:tc>
      </w:tr>
      <w:tr>
        <w:tc>
          <w:tcPr>
            <w:tcW w:type="dxa" w:w="10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IMG-02</w:t>
            </w:r>
          </w:p>
        </w:tc>
        <w:tc>
          <w:tcPr>
            <w:tcW w:type="dxa" w:w="3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Three-zone gap diagram — Fraud Prevention → GAP ZONE (Kombatix) → Chargeback Resolution</w:t>
            </w:r>
          </w:p>
        </w:tc>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Infographic · dark bg · minimal labels · 16:9</w:t>
            </w:r>
          </w:p>
        </w:tc>
        <w:tc>
          <w:tcPr>
            <w:tcW w:type="dxa" w:w="23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Homepage Problem section.</w:t>
            </w:r>
          </w:p>
        </w:tc>
      </w:tr>
      <w:tr>
        <w:tc>
          <w:tcPr>
            <w:tcW w:type="dxa" w:w="10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IMG-04</w:t>
            </w:r>
          </w:p>
        </w:tc>
        <w:tc>
          <w:tcPr>
            <w:tcW w:type="dxa" w:w="3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Full fraud-lifecycle pipeline — Transaction → PreAuth → Auth → Dispute → Defense → Outcome</w:t>
            </w:r>
          </w:p>
        </w:tc>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Technical data-viz · dark bg · 16:9</w:t>
            </w:r>
          </w:p>
        </w:tc>
        <w:tc>
          <w:tcPr>
            <w:tcW w:type="dxa" w:w="23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/how-it-works hero visual.</w:t>
            </w:r>
          </w:p>
        </w:tc>
      </w:tr>
      <w:tr>
        <w:tc>
          <w:tcPr>
            <w:tcW w:type="dxa" w:w="10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IMG-05</w:t>
            </w:r>
          </w:p>
        </w:tc>
        <w:tc>
          <w:tcPr>
            <w:tcW w:type="dxa" w:w="3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Two profile cards (Dispute Info / Transaction Info) with field-level match indicators</w:t>
            </w:r>
          </w:p>
        </w:tc>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UI card style · dark bg · minimal · 16:9</w:t>
            </w:r>
          </w:p>
        </w:tc>
        <w:tc>
          <w:tcPr>
            <w:tcW w:type="dxa" w:w="23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/how-it-works Identity Match section.</w:t>
            </w:r>
          </w:p>
        </w:tc>
      </w:tr>
      <w:tr>
        <w:tc>
          <w:tcPr>
            <w:tcW w:type="dxa" w:w="10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IMG-06</w:t>
            </w:r>
          </w:p>
        </w:tc>
        <w:tc>
          <w:tcPr>
            <w:tcW w:type="dxa" w:w="3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Behavioral velocity timeline — baseline with spike cluster near a disputed transaction</w:t>
            </w:r>
          </w:p>
        </w:tc>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Data chart · dark bg · accent spikes · 16:9</w:t>
            </w:r>
          </w:p>
        </w:tc>
        <w:tc>
          <w:tcPr>
            <w:tcW w:type="dxa" w:w="23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/how-it-works Behavioral Risk section.</w:t>
            </w:r>
          </w:p>
        </w:tc>
      </w:tr>
      <w:tr>
        <w:tc>
          <w:tcPr>
            <w:tcW w:type="dxa" w:w="10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IMG-07</w:t>
            </w:r>
          </w:p>
        </w:tc>
        <w:tc>
          <w:tcPr>
            <w:tcW w:type="dxa" w:w="3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Composite score dial, needle at 94.3 with color gradient zones</w:t>
            </w:r>
          </w:p>
        </w:tc>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UI component · 1:1 or 4:3 · red-amber-green gradient</w:t>
            </w:r>
          </w:p>
        </w:tc>
        <w:tc>
          <w:tcPr>
            <w:tcW w:type="dxa" w:w="23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/how-it-works Composite Score section.</w:t>
            </w:r>
          </w:p>
        </w:tc>
      </w:tr>
      <w:tr>
        <w:tc>
          <w:tcPr>
            <w:tcW w:type="dxa" w:w="10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IMG-08</w:t>
            </w:r>
          </w:p>
        </w:tc>
        <w:tc>
          <w:tcPr>
            <w:tcW w:type="dxa" w:w="3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Network diagram — merchants contributing to central identity graph (Defense flow), arrows back out (PreAuth screening)</w:t>
            </w:r>
          </w:p>
        </w:tc>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Abstract network viz · dark bg · 16:9</w:t>
            </w:r>
          </w:p>
        </w:tc>
        <w:tc>
          <w:tcPr>
            <w:tcW w:type="dxa" w:w="23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Homepage Network section.</w:t>
            </w:r>
          </w:p>
        </w:tc>
      </w:tr>
      <w:tr>
        <w:tc>
          <w:tcPr>
            <w:tcW w:type="dxa" w:w="10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IMG-09</w:t>
            </w:r>
          </w:p>
        </w:tc>
        <w:tc>
          <w:tcPr>
            <w:tcW w:type="dxa" w:w="3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Network visualization with transaction flowing into checkpoint, flagged red on hit</w:t>
            </w:r>
          </w:p>
        </w:tc>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Abstract · dark bg · accent blue + red · 16:9</w:t>
            </w:r>
          </w:p>
        </w:tc>
        <w:tc>
          <w:tcPr>
            <w:tcW w:type="dxa" w:w="23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/preauth hero.</w:t>
            </w:r>
          </w:p>
        </w:tc>
      </w:tr>
      <w:tr>
        <w:tc>
          <w:tcPr>
            <w:tcW w:type="dxa" w:w="10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IMG-10</w:t>
            </w:r>
          </w:p>
        </w:tc>
        <w:tc>
          <w:tcPr>
            <w:tcW w:type="dxa" w:w="3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Cost decision tree adapted for web</w:t>
            </w:r>
          </w:p>
        </w:tc>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Responsive SVG · dark bg · green/red branches</w:t>
            </w:r>
          </w:p>
        </w:tc>
        <w:tc>
          <w:tcPr>
            <w:tcW w:type="dxa" w:w="23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/how-it-works. May also build as CMP-03 if React rendering preferred.</w:t>
            </w:r>
          </w:p>
        </w:tc>
      </w:tr>
      <w:tr>
        <w:tc>
          <w:tcPr>
            <w:tcW w:type="dxa" w:w="10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OG-HOME</w:t>
            </w:r>
          </w:p>
        </w:tc>
        <w:tc>
          <w:tcPr>
            <w:tcW w:type="dxa" w:w="3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Home OG image — score dial + Kombatix wordmark</w:t>
            </w:r>
          </w:p>
        </w:tc>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Dark bg · 1200x630</w:t>
            </w:r>
          </w:p>
        </w:tc>
        <w:tc>
          <w:tcPr>
            <w:tcW w:type="dxa" w:w="23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Homepage social share.</w:t>
            </w:r>
          </w:p>
        </w:tc>
      </w:tr>
      <w:tr>
        <w:tc>
          <w:tcPr>
            <w:tcW w:type="dxa" w:w="10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OG-DEFENSE</w:t>
            </w:r>
          </w:p>
        </w:tc>
        <w:tc>
          <w:tcPr>
            <w:tcW w:type="dxa" w:w="3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Defense OG image — three engines converging to score</w:t>
            </w:r>
          </w:p>
        </w:tc>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Dark bg · 1200x630</w:t>
            </w:r>
          </w:p>
        </w:tc>
        <w:tc>
          <w:tcPr>
            <w:tcW w:type="dxa" w:w="23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/defense social share.</w:t>
            </w:r>
          </w:p>
        </w:tc>
      </w:tr>
      <w:tr>
        <w:tc>
          <w:tcPr>
            <w:tcW w:type="dxa" w:w="10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OG-PREAUTH</w:t>
            </w:r>
          </w:p>
        </w:tc>
        <w:tc>
          <w:tcPr>
            <w:tcW w:type="dxa" w:w="3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PreAuth OG image — network checkpoint graphic</w:t>
            </w:r>
          </w:p>
        </w:tc>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Dark bg · 1200x630</w:t>
            </w:r>
          </w:p>
        </w:tc>
        <w:tc>
          <w:tcPr>
            <w:tcW w:type="dxa" w:w="23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/preauth social share.</w:t>
            </w:r>
          </w:p>
        </w:tc>
      </w:tr>
      <w:tr>
        <w:tc>
          <w:tcPr>
            <w:tcW w:type="dxa" w:w="10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OG-PRICING</w:t>
            </w:r>
          </w:p>
        </w:tc>
        <w:tc>
          <w:tcPr>
            <w:tcW w:type="dxa" w:w="32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Pricing OG image — two pricing cards side-by-side</w:t>
            </w:r>
          </w:p>
        </w:tc>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Dark bg · 1200x630</w:t>
            </w:r>
          </w:p>
        </w:tc>
        <w:tc>
          <w:tcPr>
            <w:tcW w:type="dxa" w:w="23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/pricing social share.</w:t>
            </w:r>
          </w:p>
        </w:tc>
      </w:tr>
    </w:tbl>
    <w:p>
      <w:pPr>
        <w:spacing w:after="0" w:before="200"/>
      </w:pPr>
      <w:r>
        <w:t xml:space="preserve"/>
      </w:r>
    </w:p>
    <w:p>
      <w:pPr>
        <w:spacing w:after="120" w:before="300"/>
      </w:pPr>
      <w:r>
        <w:rPr>
          <w:rFonts w:ascii="Arial" w:cs="Arial" w:eastAsia="Arial" w:hAnsi="Arial"/>
          <w:b/>
          <w:bCs/>
          <w:color w:val="0A1628"/>
          <w:sz w:val="24"/>
          <w:szCs w:val="24"/>
        </w:rPr>
        <w:t xml:space="preserve">Reuse Candidates from Existing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Asset</w:t>
            </w:r>
          </w:p>
        </w:tc>
        <w:tc>
          <w:tcPr>
            <w:tcW w:type="dxa" w:w="28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Source</w:t>
            </w:r>
          </w:p>
        </w:tc>
        <w:tc>
          <w:tcPr>
            <w:tcW w:type="dxa" w:w="416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Notes</w:t>
            </w:r>
          </w:p>
        </w:tc>
      </w:tr>
      <w:tr>
        <w:tc>
          <w:tcPr>
            <w:tcW w:type="dxa" w:w="24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Cost Decision Tree</w:t>
            </w:r>
          </w:p>
        </w:tc>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Kombatix.pdf, page 2 (one-sheet)</w:t>
            </w:r>
          </w:p>
        </w:tc>
        <w:tc>
          <w:tcPr>
            <w:tcW w:type="dxa" w:w="41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Direct reuse for /how-it-works. Convert from PDF to SVG or rebuild as component (CMP-03) for dark-mode + responsiveness.</w:t>
            </w:r>
          </w:p>
        </w:tc>
      </w:tr>
      <w:tr>
        <w:tc>
          <w:tcPr>
            <w:tcW w:type="dxa" w:w="24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Defense Results Report Sample</w:t>
            </w:r>
          </w:p>
        </w:tc>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2026-04-10_10-41-52.pdf</w:t>
            </w:r>
          </w:p>
        </w:tc>
        <w:tc>
          <w:tcPr>
            <w:tcW w:type="dxa" w:w="41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Reference for CMP-02 — Defense Results Report Card. All fields, all styling.</w:t>
            </w:r>
          </w:p>
        </w:tc>
      </w:tr>
      <w:tr>
        <w:tc>
          <w:tcPr>
            <w:tcW w:type="dxa" w:w="24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Kombatix Logo</w:t>
            </w:r>
          </w:p>
        </w:tc>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kombatix-logoAsset-1@0.5x.png in current WordPress media library</w:t>
            </w:r>
          </w:p>
        </w:tc>
        <w:tc>
          <w:tcPr>
            <w:tcW w:type="dxa" w:w="41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Pull from current WP uploads. Request SVG version if available for crisp rendering.</w:t>
            </w:r>
          </w:p>
        </w:tc>
      </w:tr>
      <w:tr>
        <w:tc>
          <w:tcPr>
            <w:tcW w:type="dxa" w:w="24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Friendly Fraud Cost Charts</w:t>
            </w:r>
          </w:p>
        </w:tc>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Three infographic images on current homepage ($25 txn, $5 txn, 'Stopped' outcome)</w:t>
            </w:r>
          </w:p>
        </w:tc>
        <w:tc>
          <w:tcPr>
            <w:tcW w:type="dxa" w:w="41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Pull from WP media library. Can be repurposed on /pricing or /how-it-works if quality holds up.</w:t>
            </w:r>
          </w:p>
        </w:tc>
      </w:tr>
      <w:tr>
        <w:tc>
          <w:tcPr>
            <w:tcW w:type="dxa" w:w="24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PeopleFinders Logo</w:t>
            </w:r>
          </w:p>
        </w:tc>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Customer — permission granted</w:t>
            </w:r>
          </w:p>
        </w:tc>
        <w:tc>
          <w:tcPr>
            <w:tcW w:type="dxa" w:w="41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Use on homepage Trusted By strip. Get high-resolution source file from operations.</w:t>
            </w:r>
          </w:p>
        </w:tc>
      </w:tr>
      <w:tr>
        <w:tc>
          <w:tcPr>
            <w:tcW w:type="dxa" w:w="24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Kount / Equifax Logo</w:t>
            </w:r>
          </w:p>
        </w:tc>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Partner — verify authorized reseller marketing toolkit</w:t>
            </w:r>
          </w:p>
        </w:tc>
        <w:tc>
          <w:tcPr>
            <w:tcW w:type="dxa" w:w="41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Use on homepage Powered By strip only if authorized reseller status allows. If unclear, ship without.</w:t>
            </w:r>
          </w:p>
        </w:tc>
      </w:tr>
    </w:tbl>
    <w:p>
      <w:pPr>
        <w:pBdr>
          <w:bottom w:val="single" w:color="2563EB" w:sz="18" w:space="4"/>
        </w:pBdr>
        <w:spacing w:after="200" w:before="400"/>
      </w:pPr>
      <w:r>
        <w:rPr>
          <w:rFonts w:ascii="Arial" w:cs="Arial" w:eastAsia="Arial" w:hAnsi="Arial"/>
          <w:b/>
          <w:bCs/>
          <w:color w:val="0A1628"/>
          <w:sz w:val="26"/>
          <w:szCs w:val="26"/>
        </w:rPr>
        <w:t xml:space="preserve">SECTION 7 — GOOGLE STITCH DESIGN PROMPTS (GEMINI 3 PRO MODE)</w:t>
      </w:r>
    </w:p>
    <w:p>
      <w:pPr>
        <w:spacing w:after="80" w:before="80"/>
      </w:pPr>
      <w:r>
        <w:rPr>
          <w:rFonts w:ascii="Arial" w:cs="Arial" w:eastAsia="Arial" w:hAnsi="Arial"/>
          <w:color w:val="111827"/>
          <w:sz w:val="20"/>
          <w:szCs w:val="20"/>
        </w:rPr>
        <w:t xml:space="preserve">Stitch had a major March 18, 2026 update that added four AI modes (Fast, Gemini 2.5 Pro, Gemini 3 Pro, Nano Banana Pro) and shipped an MCP server that bridges directly to Claude Code. This changes the recommended workflow materially versus v1.</w:t>
      </w:r>
    </w:p>
    <w:p>
      <w:pPr>
        <w:spacing w:after="0" w:before="200"/>
      </w:pPr>
      <w:r>
        <w:t xml:space="preserve"/>
      </w:r>
    </w:p>
    <w:p>
      <w:pPr>
        <w:spacing w:after="120" w:before="300"/>
      </w:pPr>
      <w:r>
        <w:rPr>
          <w:rFonts w:ascii="Arial" w:cs="Arial" w:eastAsia="Arial" w:hAnsi="Arial"/>
          <w:b/>
          <w:bCs/>
          <w:color w:val="0A1628"/>
          <w:sz w:val="24"/>
          <w:szCs w:val="24"/>
        </w:rPr>
        <w:t xml:space="preserve">Updated Workflow</w:t>
      </w:r>
    </w:p>
    <w:p>
      <w:pPr>
        <w:pStyle w:val="ListParagraph"/>
        <w:numPr>
          <w:ilvl w:val="0"/>
          <w:numId w:val="3"/>
        </w:numPr>
        <w:spacing w:after="40" w:before="40"/>
      </w:pPr>
      <w:r>
        <w:rPr>
          <w:rFonts w:ascii="Arial" w:cs="Arial" w:eastAsia="Arial" w:hAnsi="Arial"/>
          <w:color w:val="111827"/>
          <w:sz w:val="20"/>
          <w:szCs w:val="20"/>
        </w:rPr>
        <w:t xml:space="preserve">Go to stitch.withgoogle.com and sign in with the Kombatix Google account.</w:t>
      </w:r>
    </w:p>
    <w:p>
      <w:pPr>
        <w:pStyle w:val="ListParagraph"/>
        <w:numPr>
          <w:ilvl w:val="0"/>
          <w:numId w:val="3"/>
        </w:numPr>
        <w:spacing w:after="40" w:before="40"/>
      </w:pPr>
      <w:r>
        <w:rPr>
          <w:rFonts w:ascii="Arial" w:cs="Arial" w:eastAsia="Arial" w:hAnsi="Arial"/>
          <w:color w:val="111827"/>
          <w:sz w:val="20"/>
          <w:szCs w:val="20"/>
        </w:rPr>
        <w:t xml:space="preserve">Set mode to Gemini 3 Pro — this is the production-grade mode for B2B marketing design in 2026. Do not use 2.5 Pro Experimental mode (v1 guidance is outdated).</w:t>
      </w:r>
    </w:p>
    <w:p>
      <w:pPr>
        <w:pStyle w:val="ListParagraph"/>
        <w:numPr>
          <w:ilvl w:val="0"/>
          <w:numId w:val="3"/>
        </w:numPr>
        <w:spacing w:after="40" w:before="40"/>
      </w:pPr>
      <w:r>
        <w:rPr>
          <w:rFonts w:ascii="Arial" w:cs="Arial" w:eastAsia="Arial" w:hAnsi="Arial"/>
          <w:color w:val="111827"/>
          <w:sz w:val="20"/>
          <w:szCs w:val="20"/>
        </w:rPr>
        <w:t xml:space="preserve">Enable Stitch MCP server and install in Claude Code: connect Stitch to your Claude Code session so designs flow directly from Stitch to the build agent. This replaces the v1 'export to Figma → manual handoff' flow.</w:t>
      </w:r>
    </w:p>
    <w:p>
      <w:pPr>
        <w:pStyle w:val="ListParagraph"/>
        <w:numPr>
          <w:ilvl w:val="0"/>
          <w:numId w:val="3"/>
        </w:numPr>
        <w:spacing w:after="40" w:before="40"/>
      </w:pPr>
      <w:r>
        <w:rPr>
          <w:rFonts w:ascii="Arial" w:cs="Arial" w:eastAsia="Arial" w:hAnsi="Arial"/>
          <w:color w:val="111827"/>
          <w:sz w:val="20"/>
          <w:szCs w:val="20"/>
        </w:rPr>
        <w:t xml:space="preserve">Use URL extraction: paste https://stripe.com as a visual style reference to extract design tokens (colors, typography, spacing, component style).</w:t>
      </w:r>
    </w:p>
    <w:p>
      <w:pPr>
        <w:pStyle w:val="ListParagraph"/>
        <w:numPr>
          <w:ilvl w:val="0"/>
          <w:numId w:val="3"/>
        </w:numPr>
        <w:spacing w:after="40" w:before="40"/>
      </w:pPr>
      <w:r>
        <w:rPr>
          <w:rFonts w:ascii="Arial" w:cs="Arial" w:eastAsia="Arial" w:hAnsi="Arial"/>
          <w:color w:val="111827"/>
          <w:sz w:val="20"/>
          <w:szCs w:val="20"/>
        </w:rPr>
        <w:t xml:space="preserve">Create a DESIGN.md at project root capturing design system tokens — Stitch uses this to keep the system consistent across screens.</w:t>
      </w:r>
    </w:p>
    <w:p>
      <w:pPr>
        <w:pStyle w:val="ListParagraph"/>
        <w:numPr>
          <w:ilvl w:val="0"/>
          <w:numId w:val="3"/>
        </w:numPr>
        <w:spacing w:after="40" w:before="40"/>
      </w:pPr>
      <w:r>
        <w:rPr>
          <w:rFonts w:ascii="Arial" w:cs="Arial" w:eastAsia="Arial" w:hAnsi="Arial"/>
          <w:color w:val="111827"/>
          <w:sz w:val="20"/>
          <w:szCs w:val="20"/>
        </w:rPr>
        <w:t xml:space="preserve">Generate the Homepage first. Iterate with follow-up prompts or Direct Edits. Save Gemini 3 Pro generations for final polish — for exploratory work, Fast mode is enough and cheaper on daily credits.</w:t>
      </w:r>
    </w:p>
    <w:p>
      <w:pPr>
        <w:pStyle w:val="ListParagraph"/>
        <w:numPr>
          <w:ilvl w:val="0"/>
          <w:numId w:val="3"/>
        </w:numPr>
        <w:spacing w:after="40" w:before="40"/>
      </w:pPr>
      <w:r>
        <w:rPr>
          <w:rFonts w:ascii="Arial" w:cs="Arial" w:eastAsia="Arial" w:hAnsi="Arial"/>
          <w:color w:val="111827"/>
          <w:sz w:val="20"/>
          <w:szCs w:val="20"/>
        </w:rPr>
        <w:t xml:space="preserve">With MCP bridge active, Claude Code reads Stitch designs directly. No need to export HTML or paste. Just reference the design in your build prompt.</w:t>
      </w:r>
    </w:p>
    <w:p>
      <w:pPr>
        <w:spacing w:after="0" w:before="200"/>
      </w:pPr>
      <w:r>
        <w:t xml:space="preserve"/>
      </w:r>
    </w:p>
    <w:p>
      <w:pPr>
        <w:spacing w:after="120" w:before="300"/>
      </w:pPr>
      <w:r>
        <w:rPr>
          <w:rFonts w:ascii="Arial" w:cs="Arial" w:eastAsia="Arial" w:hAnsi="Arial"/>
          <w:b/>
          <w:bCs/>
          <w:color w:val="0A1628"/>
          <w:sz w:val="24"/>
          <w:szCs w:val="24"/>
        </w:rPr>
        <w:t xml:space="preserve">Homepage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Prompt</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Design a dark-mode B2B SaaS marketing homepage for Kombatix, a real-time identity scoring platform that helps merchants fight friendly fraud. Two products: Defense (dispute-time scoring) and PreAuth (pre-authorization screening against a known-fraudster network). Visual style: dark navy (#0A1628) background, accent blue (#2563EB) primary CTA, teal (#0EA5E9) secondary accent, clean modern sans-serif typography, data-visualization aesthetic similar to Stripe or Plaid. NOT stock photography. Sections in order: 1) HERO — Full-width dark hero, ~90vh. Eyebrow tag 'REAL-TIME IDENTITY SCORING · FROM PRE-AUTHORIZATION TO DISPUTE'. Headline 'Know who you're fighting. Before you authorize, before you refund, before you pay out.' Subheadline. Two CTAs: 'Start Free →' (accent blue button) and 'See How It Works' (ghost button). Right 40% of hero reserved for a score dial component placeholder. 2) TRUST BAR — Slim bar with text badges: 'API-First · REST Integration · Self-Service Portal · SOC 2 In Progress · No Long-Term Contract'. 3) TWO-PRODUCT PANEL — Two equal-weight cards side-by-side. Left: 'Kombatix PreAuth — screen every transaction against the growing network.' Right: 'Kombatix Defense — score dispute identity in milliseconds.' Each with CTA link. 4) PROBLEM — 'The Gap in the Fraud Stack.' Three-zone horizontal diagram: Fraud Prevention → GAP (Kombatix) → Chargeback Resolution. 5) NETWORK EFFECT — Dark callout block: 'Every Kombatix Defense customer strengthens every Kombatix PreAuth customer.' Network diagram to the side. 6) CUSTOMER OUTCOMES — Three stat cards: 'Refund Rate: 10% → 5%' / 'Post-Contact Disputes: −60%' / 'Representment Wins: 40% → 80%'. 7) PRICING PREVIEW — Two-column preview showing PreAuth from $49 and Defense from $75, each with CTA to /pricing. 8) PARTNERS TEASER — Simple dark section with 'Built for scale — partnership ready' + CTA to /partners. 9) FOOTER CTA BAR — 'Stop guessing. Start scoring.' with 'Create Your Free Account →' button. 10) FOOTER — Four-column: Product (Defense, PreAuth, How It Works, Pricing, API), Company (Partners, Blog, Contact), Legal, Contact (operations@kombatix.io, Eagle ID).</w:t>
            </w:r>
          </w:p>
        </w:tc>
      </w:tr>
    </w:tbl>
    <w:p>
      <w:pPr>
        <w:spacing w:after="0" w:before="200"/>
      </w:pPr>
      <w:r>
        <w:t xml:space="preserve"/>
      </w:r>
    </w:p>
    <w:p>
      <w:pPr>
        <w:spacing w:after="120" w:before="300"/>
      </w:pPr>
      <w:r>
        <w:rPr>
          <w:rFonts w:ascii="Arial" w:cs="Arial" w:eastAsia="Arial" w:hAnsi="Arial"/>
          <w:b/>
          <w:bCs/>
          <w:color w:val="0A1628"/>
          <w:sz w:val="24"/>
          <w:szCs w:val="24"/>
        </w:rPr>
        <w:t xml:space="preserve">/defense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Prompt</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Design a product page for Kombatix Defense at /defense. Same dark navy + accent blue design system as homepage. Sections: 1) HERO — 'Stop refunding money you don't owe.' Subheadline about three-engine scoring. Two CTAs. Hero visual placeholder for a styled Defense Results Report card showing score 94.3 and identity match breakdown. 2) WHEN YOU USE IT — Two-column split: 'At First Contact' (support agent workflow) and 'At Chargeback Representment' (evidence package workflow). 3) THE THREE SCORING ENGINES — Three stacked sections with headline + body + score range for Identity Match, Identity Risk, Behavioral Risk. 4) WHAT YOU GET — Feature list in table format: Composite Score, Sub-scores, Reason Codes, Identity Match Breakdown, AI Defense Narrative, Transaction Metadata, Request ID + Timestamp. 5) HOW YOU ACCESS IT — Two-column: REST API and Web Application. 6) PRICING PREVIEW. 7) FOOTER CTA 'Your next friendly-fraud dispute is already in the queue. Be ready.'</w:t>
            </w:r>
          </w:p>
        </w:tc>
      </w:tr>
    </w:tbl>
    <w:p>
      <w:pPr>
        <w:spacing w:after="0" w:before="200"/>
      </w:pPr>
      <w:r>
        <w:t xml:space="preserve"/>
      </w:r>
    </w:p>
    <w:p>
      <w:pPr>
        <w:spacing w:after="120" w:before="300"/>
      </w:pPr>
      <w:r>
        <w:rPr>
          <w:rFonts w:ascii="Arial" w:cs="Arial" w:eastAsia="Arial" w:hAnsi="Arial"/>
          <w:b/>
          <w:bCs/>
          <w:color w:val="0A1628"/>
          <w:sz w:val="24"/>
          <w:szCs w:val="24"/>
        </w:rPr>
        <w:t xml:space="preserve">/preauth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Prompt</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Design a product page for Kombatix PreAuth at /preauth. Same dark navy + accent blue design system. Sections: 1) HERO — 'Catch friendly fraudsters before you authorize.' Subheadline about Network screening. Two CTAs. Hero visual: abstract network diagram with a transaction flowing in and getting flagged. 2) WHY PREAUTH MATTERS — body copy + full-width dark callout 'The Network Is the Product.' 3) HOW PREAUTH WORKS — 4-step table: Incoming Transaction, Network Check, Hit/No-Hit Response, Your Decision. 4) WHERE IT FITS IN YOUR STACK — body copy explaining it complements rather than replaces Kount/Signifyd/Stripe Radar. 5) PRICING — Three pricing cards: Starter $49, Growth $149 (recommended badge), Enterprise $499. Usage detail below. 6) WHO PREAUTH IS FOR — table of segments with fit ratings. 7) FOOTER CTA 'The network grows every day. Join it.'</w:t>
            </w:r>
          </w:p>
        </w:tc>
      </w:tr>
    </w:tbl>
    <w:p>
      <w:pPr>
        <w:spacing w:after="0" w:before="200"/>
      </w:pPr>
      <w:r>
        <w:t xml:space="preserve"/>
      </w:r>
    </w:p>
    <w:p>
      <w:pPr>
        <w:spacing w:after="120" w:before="300"/>
      </w:pPr>
      <w:r>
        <w:rPr>
          <w:rFonts w:ascii="Arial" w:cs="Arial" w:eastAsia="Arial" w:hAnsi="Arial"/>
          <w:b/>
          <w:bCs/>
          <w:color w:val="0A1628"/>
          <w:sz w:val="24"/>
          <w:szCs w:val="24"/>
        </w:rPr>
        <w:t xml:space="preserve">/how-it-works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Prompt</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Design a technical explainer page at /how-it-works. Same dark design system. Sections: 1) HERO — 'Identity scoring at every stage of the fraud lifecycle.' Full-lifecycle pipeline diagram placeholder. 2) COST OF A FRIENDLY FRAUD CLAIM — Large decision tree diagram placeholder (adapts existing one-sheet). 3) KOMBATIX PREAUTH SECTION — Headline, body, inputs, output. 4) KOMBATIX DEFENSE — Engine-by-engine breakdown (3 engines, each with headline, body, score range, inputs, visual placeholder). 5) COMPOSITE DEFENSE SCORE — Score range table (80–100 / 50–79 / 0–49) with signal and recommended action columns. Large composite score dial graphic. 6) AI DEFENSE NARRATIVE — screenshot-style card showing sample narrative. 7) ACCESS METHODS — REST API + Web App two-column. 8) FOOTER CTA 'The gap in your stack has a product. Two of them.'</w:t>
            </w:r>
          </w:p>
        </w:tc>
      </w:tr>
    </w:tbl>
    <w:p>
      <w:pPr>
        <w:spacing w:after="0" w:before="200"/>
      </w:pPr>
      <w:r>
        <w:t xml:space="preserve"/>
      </w:r>
    </w:p>
    <w:p>
      <w:pPr>
        <w:spacing w:after="120" w:before="300"/>
      </w:pPr>
      <w:r>
        <w:rPr>
          <w:rFonts w:ascii="Arial" w:cs="Arial" w:eastAsia="Arial" w:hAnsi="Arial"/>
          <w:b/>
          <w:bCs/>
          <w:color w:val="0A1628"/>
          <w:sz w:val="24"/>
          <w:szCs w:val="24"/>
        </w:rPr>
        <w:t xml:space="preserve">/pricing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Prompt</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Design a pricing page with a product toggle at the top — Defense (default) or PreAuth. Same dark design system. Defense view: hero, three pricing cards (Standard $75, Advanced $500, Enterprise custom), full feature comparison table, 'Pay for Actionable Outcomes' callout. PreAuth view: three pricing cards (Starter $49, Growth $149 with 'Recommended' ribbon, Enterprise $499), usage detail section explaining no-hit vs hit pricing, $250 implementation fee note. Shared FAQ section at the bottom with 8 Q&amp;A pairs in accordion style.</w:t>
            </w:r>
          </w:p>
        </w:tc>
      </w:tr>
    </w:tbl>
    <w:p>
      <w:pPr>
        <w:spacing w:after="0" w:before="200"/>
      </w:pPr>
      <w:r>
        <w:t xml:space="preserve"/>
      </w:r>
    </w:p>
    <w:p>
      <w:pPr>
        <w:spacing w:after="120" w:before="300"/>
      </w:pPr>
      <w:r>
        <w:rPr>
          <w:rFonts w:ascii="Arial" w:cs="Arial" w:eastAsia="Arial" w:hAnsi="Arial"/>
          <w:b/>
          <w:bCs/>
          <w:color w:val="0A1628"/>
          <w:sz w:val="24"/>
          <w:szCs w:val="24"/>
        </w:rPr>
        <w:t xml:space="preserve">/partners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Prompt</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Design a B2B partnership landing page at /partners. Audience: payment processors, fraud platforms, acquirers, chargeback platforms. Same dark design system. Hero with audience tag and 'Embed identity scoring across your platform' headline. Network Advantage section with flywheel callout. Three partner type cards. Integration Options table (API, White-Label, Co-Branded, Reseller). Partnership inquiry form with all specified fields including company type dropdown and transaction volume dropdown. Form submits to /api/partner-inquiry endpoint (styled as a standard form, functional POST handling will be wired in build phase).</w:t>
            </w:r>
          </w:p>
        </w:tc>
      </w:tr>
    </w:tbl>
    <w:p>
      <w:pPr>
        <w:spacing w:after="0" w:before="200"/>
      </w:pPr>
      <w:r>
        <w:t xml:space="preserve"/>
      </w:r>
    </w:p>
    <w:p>
      <w:pPr>
        <w:spacing w:after="120" w:before="300"/>
      </w:pPr>
      <w:r>
        <w:rPr>
          <w:rFonts w:ascii="Arial" w:cs="Arial" w:eastAsia="Arial" w:hAnsi="Arial"/>
          <w:b/>
          <w:bCs/>
          <w:color w:val="0A1628"/>
          <w:sz w:val="24"/>
          <w:szCs w:val="24"/>
        </w:rPr>
        <w:t xml:space="preserve">/api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Prompt</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Design a developer-facing API landing page at /api. Same dark design system but with code-block emphasis. Hero: 'Score identity in a single POST.' Two CTAs. Section showing two endpoints (Defense, PreAuth) in a table with response time stats. Sample Request code block (dark syntax-highlighted panel, real endpoint + real field structure from the architecture doc). Sample Response code block below. Response field reference table. PreAuth endpoint summary. Authentication section. Full Documentation callout directing to signup. Footer CTA 'From signup to first scored request in 4 business hours.' Style reference: Stripe API docs (dark mode), Plaid API docs.</w:t>
            </w:r>
          </w:p>
        </w:tc>
      </w:tr>
    </w:tbl>
    <w:p>
      <w:pPr>
        <w:pBdr>
          <w:bottom w:val="single" w:color="2563EB" w:sz="18" w:space="4"/>
        </w:pBdr>
        <w:spacing w:after="200" w:before="400"/>
      </w:pPr>
      <w:r>
        <w:rPr>
          <w:rFonts w:ascii="Arial" w:cs="Arial" w:eastAsia="Arial" w:hAnsi="Arial"/>
          <w:b/>
          <w:bCs/>
          <w:color w:val="0A1628"/>
          <w:sz w:val="26"/>
          <w:szCs w:val="26"/>
        </w:rPr>
        <w:t xml:space="preserve">SECTION 8 — TECHNICAL ARCHITECTURE</w:t>
      </w:r>
    </w:p>
    <w:p>
      <w:pPr>
        <w:spacing w:after="80" w:before="80"/>
      </w:pPr>
      <w:r>
        <w:rPr>
          <w:rFonts w:ascii="Arial" w:cs="Arial" w:eastAsia="Arial" w:hAnsi="Arial"/>
          <w:color w:val="111827"/>
          <w:sz w:val="20"/>
          <w:szCs w:val="20"/>
        </w:rPr>
        <w:t xml:space="preserve">This site is a statically-exported Next.js application served by Firebase Hosting. One Firebase Cloud Function handles the partnership inquiry form submission to HubSpot. Nothing else on the site is dynamic.</w:t>
      </w:r>
    </w:p>
    <w:p>
      <w:pPr>
        <w:spacing w:after="0" w:before="200"/>
      </w:pPr>
      <w:r>
        <w:t xml:space="preserve"/>
      </w:r>
    </w:p>
    <w:p>
      <w:pPr>
        <w:spacing w:after="120" w:before="300"/>
      </w:pPr>
      <w:r>
        <w:rPr>
          <w:rFonts w:ascii="Arial" w:cs="Arial" w:eastAsia="Arial" w:hAnsi="Arial"/>
          <w:b/>
          <w:bCs/>
          <w:color w:val="0A1628"/>
          <w:sz w:val="24"/>
          <w:szCs w:val="24"/>
        </w:rPr>
        <w:t xml:space="preserve">Stack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Decision</w:t>
            </w:r>
          </w:p>
        </w:tc>
        <w:tc>
          <w:tcPr>
            <w:tcW w:type="dxa" w:w="280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Choice</w:t>
            </w:r>
          </w:p>
        </w:tc>
        <w:tc>
          <w:tcPr>
            <w:tcW w:type="dxa" w:w="4560"/>
            <w:tcBorders>
              <w:top w:val="single" w:color="D1D5DB" w:sz="4"/>
              <w:left w:val="single" w:color="D1D5DB" w:sz="4"/>
              <w:bottom w:val="single" w:color="D1D5DB" w:sz="4"/>
              <w:right w:val="single" w:color="D1D5DB" w:sz="4"/>
            </w:tcBorders>
            <w:shd w:fill="0A1628" w:val="clear"/>
            <w:tcMar>
              <w:top w:type="dxa" w:w="100"/>
              <w:left w:type="dxa" w:w="150"/>
              <w:bottom w:type="dxa" w:w="100"/>
              <w:right w:type="dxa" w:w="150"/>
            </w:tcMar>
            <w:vAlign w:val="center"/>
          </w:tcPr>
          <w:p>
            <w:r>
              <w:rPr>
                <w:rFonts w:ascii="Arial" w:cs="Arial" w:eastAsia="Arial" w:hAnsi="Arial"/>
                <w:b/>
                <w:bCs/>
                <w:color w:val="FFFFFF"/>
                <w:sz w:val="18"/>
                <w:szCs w:val="18"/>
              </w:rPr>
              <w:t xml:space="preserve">Why</w:t>
            </w:r>
          </w:p>
        </w:tc>
      </w:tr>
      <w:tr>
        <w:tc>
          <w:tcPr>
            <w:tcW w:type="dxa" w:w="20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Framework</w:t>
            </w:r>
          </w:p>
        </w:tc>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Next.js (static export)</w:t>
            </w:r>
          </w:p>
        </w:tc>
        <w:tc>
          <w:tcPr>
            <w:tcW w:type="dxa" w:w="45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SEO-friendly, component composition, familiar stack. output: 'export' makes it fully static.</w:t>
            </w:r>
          </w:p>
        </w:tc>
      </w:tr>
      <w:tr>
        <w:tc>
          <w:tcPr>
            <w:tcW w:type="dxa" w:w="20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Hosting</w:t>
            </w:r>
          </w:p>
        </w:tc>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Firebase Hosting (not App Hosting)</w:t>
            </w:r>
          </w:p>
        </w:tc>
        <w:tc>
          <w:tcPr>
            <w:tcW w:type="dxa" w:w="45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No SSR needed. Cloud Run overhead unjustified for 7-page marketing site.</w:t>
            </w:r>
          </w:p>
        </w:tc>
      </w:tr>
      <w:tr>
        <w:tc>
          <w:tcPr>
            <w:tcW w:type="dxa" w:w="20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Styling</w:t>
            </w:r>
          </w:p>
        </w:tc>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Tailwind CSS</w:t>
            </w:r>
          </w:p>
        </w:tc>
        <w:tc>
          <w:tcPr>
            <w:tcW w:type="dxa" w:w="45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Direct utility classes, no theme config bloat, aligned with Stitch output.</w:t>
            </w:r>
          </w:p>
        </w:tc>
      </w:tr>
      <w:tr>
        <w:tc>
          <w:tcPr>
            <w:tcW w:type="dxa" w:w="20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Forms</w:t>
            </w:r>
          </w:p>
        </w:tc>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Firebase Cloud Function → HubSpot Forms API</w:t>
            </w:r>
          </w:p>
        </w:tc>
        <w:tc>
          <w:tcPr>
            <w:tcW w:type="dxa" w:w="45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Keeps HubSpot portal ID/token server-side. Lead lands in HubSpot cleanly.</w:t>
            </w:r>
          </w:p>
        </w:tc>
      </w:tr>
      <w:tr>
        <w:tc>
          <w:tcPr>
            <w:tcW w:type="dxa" w:w="20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Analytics</w:t>
            </w:r>
          </w:p>
        </w:tc>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GA4 direct (no GTM)</w:t>
            </w:r>
          </w:p>
        </w:tc>
        <w:tc>
          <w:tcPr>
            <w:tcW w:type="dxa" w:w="45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No ads ever. GTM complexity not justified.</w:t>
            </w:r>
          </w:p>
        </w:tc>
      </w:tr>
      <w:tr>
        <w:tc>
          <w:tcPr>
            <w:tcW w:type="dxa" w:w="20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Images</w:t>
            </w:r>
          </w:p>
        </w:tc>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Static PNG/SVG assets</w:t>
            </w:r>
          </w:p>
        </w:tc>
        <w:tc>
          <w:tcPr>
            <w:tcW w:type="dxa" w:w="45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Pre-generated via Nano Banana Pro at design phase. No runtime image generation.</w:t>
            </w:r>
          </w:p>
        </w:tc>
      </w:tr>
      <w:tr>
        <w:tc>
          <w:tcPr>
            <w:tcW w:type="dxa" w:w="20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Fonts</w:t>
            </w:r>
          </w:p>
        </w:tc>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next/font (system or Inter/Geist)</w:t>
            </w:r>
          </w:p>
        </w:tc>
        <w:tc>
          <w:tcPr>
            <w:tcW w:type="dxa" w:w="45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Self-hosted via Next, no external font CDN.</w:t>
            </w:r>
          </w:p>
        </w:tc>
      </w:tr>
      <w:tr>
        <w:tc>
          <w:tcPr>
            <w:tcW w:type="dxa" w:w="20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Secrets</w:t>
            </w:r>
          </w:p>
        </w:tc>
        <w:tc>
          <w:tcPr>
            <w:tcW w:type="dxa" w:w="280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Firebase Secret Manager</w:t>
            </w:r>
          </w:p>
        </w:tc>
        <w:tc>
          <w:tcPr>
            <w:tcW w:type="dxa" w:w="45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18"/>
                <w:szCs w:val="18"/>
              </w:rPr>
              <w:t xml:space="preserve">HubSpot token, GA4 measurement ID, etc. Never inline, never committed.</w:t>
            </w:r>
          </w:p>
        </w:tc>
      </w:tr>
    </w:tbl>
    <w:p>
      <w:pPr>
        <w:spacing w:after="0" w:before="200"/>
      </w:pPr>
      <w:r>
        <w:t xml:space="preserve"/>
      </w:r>
    </w:p>
    <w:p>
      <w:pPr>
        <w:spacing w:after="120" w:before="300"/>
      </w:pPr>
      <w:r>
        <w:rPr>
          <w:rFonts w:ascii="Arial" w:cs="Arial" w:eastAsia="Arial" w:hAnsi="Arial"/>
          <w:b/>
          <w:bCs/>
          <w:color w:val="0A1628"/>
          <w:sz w:val="24"/>
          <w:szCs w:val="24"/>
        </w:rPr>
        <w:t xml:space="preserve">Firebase Hosting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firebase.json — hosting</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"hosting": {</w:t>
            </w:r>
          </w:p>
          <w:p>
            <w:pPr>
              <w:spacing w:after="40"/>
            </w:pPr>
            <w:r>
              <w:rPr>
                <w:rFonts w:ascii="Consolas" w:cs="Consolas" w:eastAsia="Consolas" w:hAnsi="Consolas"/>
                <w:sz w:val="18"/>
                <w:szCs w:val="18"/>
              </w:rPr>
              <w:t xml:space="preserve">    "public": "out",     // Next.js static export directory</w:t>
            </w:r>
          </w:p>
          <w:p>
            <w:pPr>
              <w:spacing w:after="40"/>
            </w:pPr>
            <w:r>
              <w:rPr>
                <w:rFonts w:ascii="Consolas" w:cs="Consolas" w:eastAsia="Consolas" w:hAnsi="Consolas"/>
                <w:sz w:val="18"/>
                <w:szCs w:val="18"/>
              </w:rPr>
              <w:t xml:space="preserve">    "ignore": ["firebase.json", "**/.*", "**/node_modules/**"],</w:t>
            </w:r>
          </w:p>
          <w:p>
            <w:pPr>
              <w:spacing w:after="40"/>
            </w:pPr>
            <w:r>
              <w:rPr>
                <w:rFonts w:ascii="Consolas" w:cs="Consolas" w:eastAsia="Consolas" w:hAnsi="Consolas"/>
                <w:sz w:val="18"/>
                <w:szCs w:val="18"/>
              </w:rPr>
              <w:t xml:space="preserve">    "rewrites":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"source": "/api/partner-inquiry",</w:t>
            </w:r>
          </w:p>
          <w:p>
            <w:pPr>
              <w:spacing w:after="40"/>
            </w:pPr>
            <w:r>
              <w:rPr>
                <w:rFonts w:ascii="Consolas" w:cs="Consolas" w:eastAsia="Consolas" w:hAnsi="Consolas"/>
                <w:sz w:val="18"/>
                <w:szCs w:val="18"/>
              </w:rPr>
              <w:t xml:space="preserve">        "function": "partnerInquiry"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"headers": [ /* security headers — see below */ ]</w:t>
            </w:r>
          </w:p>
          <w:p>
            <w:pPr>
              <w:spacing w:after="40"/>
            </w:pPr>
            <w:r>
              <w:rPr>
                <w:rFonts w:ascii="Consolas" w:cs="Consolas" w:eastAsia="Consolas" w:hAnsi="Consolas"/>
                <w:sz w:val="18"/>
                <w:szCs w:val="18"/>
              </w:rPr>
              <w:t xml:space="preserve">  }</w:t>
            </w:r>
          </w:p>
          <w:p>
            <w:r>
              <w:rPr>
                <w:rFonts w:ascii="Consolas" w:cs="Consolas" w:eastAsia="Consolas" w:hAnsi="Consolas"/>
                <w:sz w:val="18"/>
                <w:szCs w:val="18"/>
              </w:rPr>
              <w:t xml:space="preserve">}</w:t>
            </w:r>
          </w:p>
        </w:tc>
      </w:tr>
    </w:tbl>
    <w:p>
      <w:pPr>
        <w:spacing w:after="0" w:before="200"/>
      </w:pPr>
      <w:r>
        <w:t xml:space="preserve"/>
      </w:r>
    </w:p>
    <w:p>
      <w:pPr>
        <w:spacing w:after="120" w:before="300"/>
      </w:pPr>
      <w:r>
        <w:rPr>
          <w:rFonts w:ascii="Arial" w:cs="Arial" w:eastAsia="Arial" w:hAnsi="Arial"/>
          <w:b/>
          <w:bCs/>
          <w:color w:val="0A1628"/>
          <w:sz w:val="24"/>
          <w:szCs w:val="24"/>
        </w:rPr>
        <w:t xml:space="preserve">Security Headers</w:t>
      </w:r>
    </w:p>
    <w:p>
      <w:pPr>
        <w:spacing w:after="80" w:before="80"/>
      </w:pPr>
      <w:r>
        <w:rPr>
          <w:rFonts w:ascii="Arial" w:cs="Arial" w:eastAsia="Arial" w:hAnsi="Arial"/>
          <w:color w:val="111827"/>
          <w:sz w:val="20"/>
          <w:szCs w:val="20"/>
        </w:rPr>
        <w:t xml:space="preserve">Set security headers via firebase.json hosting.headers or Next.js config. Required:</w:t>
      </w:r>
    </w:p>
    <w:p>
      <w:pPr>
        <w:spacing w:after="0" w:before="80"/>
      </w:pPr>
      <w:r>
        <w:t xml:space="preserve"/>
      </w:r>
    </w:p>
    <w:p>
      <w:pPr>
        <w:pStyle w:val="ListParagraph"/>
        <w:numPr>
          <w:ilvl w:val="0"/>
          <w:numId w:val="2"/>
        </w:numPr>
        <w:spacing w:after="40" w:before="40"/>
      </w:pPr>
      <w:r>
        <w:rPr>
          <w:rFonts w:ascii="Arial" w:cs="Arial" w:eastAsia="Arial" w:hAnsi="Arial"/>
          <w:color w:val="111827"/>
          <w:sz w:val="20"/>
          <w:szCs w:val="20"/>
        </w:rPr>
        <w:t xml:space="preserve">Strict-Transport-Security: max-age=63072000; includeSubDomains; preload</w:t>
      </w:r>
    </w:p>
    <w:p>
      <w:pPr>
        <w:pStyle w:val="ListParagraph"/>
        <w:numPr>
          <w:ilvl w:val="0"/>
          <w:numId w:val="2"/>
        </w:numPr>
        <w:spacing w:after="40" w:before="40"/>
      </w:pPr>
      <w:r>
        <w:rPr>
          <w:rFonts w:ascii="Arial" w:cs="Arial" w:eastAsia="Arial" w:hAnsi="Arial"/>
          <w:color w:val="111827"/>
          <w:sz w:val="20"/>
          <w:szCs w:val="20"/>
        </w:rPr>
        <w:t xml:space="preserve">X-Content-Type-Options: nosniff</w:t>
      </w:r>
    </w:p>
    <w:p>
      <w:pPr>
        <w:pStyle w:val="ListParagraph"/>
        <w:numPr>
          <w:ilvl w:val="0"/>
          <w:numId w:val="2"/>
        </w:numPr>
        <w:spacing w:after="40" w:before="40"/>
      </w:pPr>
      <w:r>
        <w:rPr>
          <w:rFonts w:ascii="Arial" w:cs="Arial" w:eastAsia="Arial" w:hAnsi="Arial"/>
          <w:color w:val="111827"/>
          <w:sz w:val="20"/>
          <w:szCs w:val="20"/>
        </w:rPr>
        <w:t xml:space="preserve">X-Frame-Options: DENY</w:t>
      </w:r>
    </w:p>
    <w:p>
      <w:pPr>
        <w:pStyle w:val="ListParagraph"/>
        <w:numPr>
          <w:ilvl w:val="0"/>
          <w:numId w:val="2"/>
        </w:numPr>
        <w:spacing w:after="40" w:before="40"/>
      </w:pPr>
      <w:r>
        <w:rPr>
          <w:rFonts w:ascii="Arial" w:cs="Arial" w:eastAsia="Arial" w:hAnsi="Arial"/>
          <w:color w:val="111827"/>
          <w:sz w:val="20"/>
          <w:szCs w:val="20"/>
        </w:rPr>
        <w:t xml:space="preserve">Referrer-Policy: strict-origin-when-cross-origin</w:t>
      </w:r>
    </w:p>
    <w:p>
      <w:pPr>
        <w:pStyle w:val="ListParagraph"/>
        <w:numPr>
          <w:ilvl w:val="0"/>
          <w:numId w:val="2"/>
        </w:numPr>
        <w:spacing w:after="40" w:before="40"/>
      </w:pPr>
      <w:r>
        <w:rPr>
          <w:rFonts w:ascii="Arial" w:cs="Arial" w:eastAsia="Arial" w:hAnsi="Arial"/>
          <w:color w:val="111827"/>
          <w:sz w:val="20"/>
          <w:szCs w:val="20"/>
        </w:rPr>
        <w:t xml:space="preserve">Permissions-Policy: camera=(), microphone=(), geolocation=()</w:t>
      </w:r>
    </w:p>
    <w:p>
      <w:pPr>
        <w:pStyle w:val="ListParagraph"/>
        <w:numPr>
          <w:ilvl w:val="0"/>
          <w:numId w:val="2"/>
        </w:numPr>
        <w:spacing w:after="40" w:before="40"/>
      </w:pPr>
      <w:r>
        <w:rPr>
          <w:rFonts w:ascii="Arial" w:cs="Arial" w:eastAsia="Arial" w:hAnsi="Arial"/>
          <w:color w:val="111827"/>
          <w:sz w:val="20"/>
          <w:szCs w:val="20"/>
        </w:rPr>
        <w:t xml:space="preserve">Content-Security-Policy: default-src 'self'; script-src 'self' 'unsafe-inline' https://www.googletagmanager.com https://www.google-analytics.com; style-src 'self' 'unsafe-inline'; img-src 'self' data: https://www.google-analytics.com; connect-src 'self' https://www.google-analytics.com https://*.cloudfunctions.net;</w:t>
      </w:r>
    </w:p>
    <w:p>
      <w:pPr>
        <w:spacing w:after="0" w:before="200"/>
      </w:pPr>
      <w:r>
        <w:t xml:space="preserve"/>
      </w:r>
    </w:p>
    <w:p>
      <w:pPr>
        <w:spacing w:after="120" w:before="300"/>
      </w:pPr>
      <w:r>
        <w:rPr>
          <w:rFonts w:ascii="Arial" w:cs="Arial" w:eastAsia="Arial" w:hAnsi="Arial"/>
          <w:b/>
          <w:bCs/>
          <w:color w:val="0A1628"/>
          <w:sz w:val="24"/>
          <w:szCs w:val="24"/>
        </w:rPr>
        <w:t xml:space="preserve">HubSpot Forms API Integration</w:t>
      </w:r>
    </w:p>
    <w:p>
      <w:pPr>
        <w:spacing w:after="80" w:before="80"/>
      </w:pPr>
      <w:r>
        <w:rPr>
          <w:rFonts w:ascii="Arial" w:cs="Arial" w:eastAsia="Arial" w:hAnsi="Arial"/>
          <w:color w:val="111827"/>
          <w:sz w:val="20"/>
          <w:szCs w:val="20"/>
        </w:rPr>
        <w:t xml:space="preserve">The partner inquiry form on /partners submits to a Firebase Cloud Function that wraps the HubSpot Forms API v3. This pattern keeps the HubSpot portal ID, form GUID, and private app token server-side, avoids CORS issues, and gives us one controlled integration point.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Endpoint</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POST /api/partner-inquiry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Function File</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functions/src/partner-inquiry.ts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Behavior</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pPr>
              <w:spacing w:after="40"/>
            </w:pPr>
            <w:r>
              <w:rPr>
                <w:rFonts w:ascii="Arial" w:cs="Arial" w:eastAsia="Arial" w:hAnsi="Arial"/>
                <w:sz w:val="20"/>
                <w:szCs w:val="20"/>
              </w:rPr>
              <w:t xml:space="preserve">1. Validate request body (required fields present, email format valid).</w:t>
            </w:r>
          </w:p>
          <w:p>
            <w:pPr>
              <w:spacing w:after="40"/>
            </w:pPr>
            <w:r>
              <w:rPr>
                <w:rFonts w:ascii="Arial" w:cs="Arial" w:eastAsia="Arial" w:hAnsi="Arial"/>
                <w:sz w:val="20"/>
                <w:szCs w:val="20"/>
              </w:rPr>
              <w:t xml:space="preserve">2. Apply basic spam defense (honeypot field, rate-limit per IP).</w:t>
            </w:r>
          </w:p>
          <w:p>
            <w:pPr>
              <w:spacing w:after="40"/>
            </w:pPr>
            <w:r>
              <w:rPr>
                <w:rFonts w:ascii="Consolas" w:cs="Consolas" w:eastAsia="Consolas" w:hAnsi="Consolas"/>
                <w:sz w:val="18"/>
                <w:szCs w:val="18"/>
              </w:rPr>
              <w:t xml:space="preserve">3. POST to HubSpot Forms API: https://api.hsforms.com/submissions/v3/integration/submit/{portalId}/{formGuid}</w:t>
            </w:r>
          </w:p>
          <w:p>
            <w:pPr>
              <w:spacing w:after="40"/>
            </w:pPr>
            <w:r>
              <w:rPr>
                <w:rFonts w:ascii="Arial" w:cs="Arial" w:eastAsia="Arial" w:hAnsi="Arial"/>
                <w:sz w:val="20"/>
                <w:szCs w:val="20"/>
              </w:rPr>
              <w:t xml:space="preserve">4. Authenticate with HubSpot private app token (from Firebase Secret Manager).</w:t>
            </w:r>
          </w:p>
          <w:p>
            <w:pPr>
              <w:spacing w:after="40"/>
            </w:pPr>
            <w:r>
              <w:rPr>
                <w:rFonts w:ascii="Arial" w:cs="Arial" w:eastAsia="Arial" w:hAnsi="Arial"/>
                <w:sz w:val="20"/>
                <w:szCs w:val="20"/>
              </w:rPr>
              <w:t xml:space="preserve">5. On success, return 200 to client. On failure, log and return 500 with fallback-email instruction.</w:t>
            </w:r>
          </w:p>
          <w:p>
            <w:r>
              <w:rPr>
                <w:rFonts w:ascii="Arial" w:cs="Arial" w:eastAsia="Arial" w:hAnsi="Arial"/>
                <w:sz w:val="20"/>
                <w:szCs w:val="20"/>
              </w:rPr>
              <w:t xml:space="preserve">6. Log all submissions to Firestore (partnerInquiries collection) as backup.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Secrets Required</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HUBSPOT_PORTAL_ID · HUBSPOT_FORM_GUID · HUBSPOT_PRIVATE_APP_TOKEN. All stored in Firebase Secret Manager and accessed via functions.config() or the new Firebase Secrets API.</w:t>
            </w:r>
          </w:p>
        </w:tc>
      </w:tr>
    </w:tbl>
    <w:p>
      <w:pPr>
        <w:spacing w:after="0" w:before="200"/>
      </w:pPr>
      <w:r>
        <w:t xml:space="preserve"/>
      </w:r>
    </w:p>
    <w:p>
      <w:pPr>
        <w:spacing w:after="120" w:before="300"/>
      </w:pPr>
      <w:r>
        <w:rPr>
          <w:rFonts w:ascii="Arial" w:cs="Arial" w:eastAsia="Arial" w:hAnsi="Arial"/>
          <w:b/>
          <w:bCs/>
          <w:color w:val="0A1628"/>
          <w:sz w:val="24"/>
          <w:szCs w:val="24"/>
        </w:rPr>
        <w:t xml:space="preserve">GA4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Install</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Direct GA4 install via &lt;Script&gt; component in Next.js root layout. No GTM. Use the GA4 measurement ID from Firebase Secret Manager.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Conversion Events</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pPr>
              <w:spacing w:after="40"/>
            </w:pPr>
            <w:r>
              <w:rPr>
                <w:rFonts w:ascii="Arial" w:cs="Arial" w:eastAsia="Arial" w:hAnsi="Arial"/>
                <w:sz w:val="20"/>
                <w:szCs w:val="20"/>
              </w:rPr>
              <w:t xml:space="preserve">signup_click_defense — 'Start Free' CTA click on /defense or homepage</w:t>
            </w:r>
          </w:p>
          <w:p>
            <w:pPr>
              <w:spacing w:after="40"/>
            </w:pPr>
            <w:r>
              <w:rPr>
                <w:rFonts w:ascii="Arial" w:cs="Arial" w:eastAsia="Arial" w:hAnsi="Arial"/>
                <w:sz w:val="20"/>
                <w:szCs w:val="20"/>
              </w:rPr>
              <w:t xml:space="preserve">signup_click_preauth — 'Start Screening' CTA click on /preauth</w:t>
            </w:r>
          </w:p>
          <w:p>
            <w:pPr>
              <w:spacing w:after="40"/>
            </w:pPr>
            <w:r>
              <w:rPr>
                <w:rFonts w:ascii="Arial" w:cs="Arial" w:eastAsia="Arial" w:hAnsi="Arial"/>
                <w:sz w:val="20"/>
                <w:szCs w:val="20"/>
              </w:rPr>
              <w:t xml:space="preserve">partner_form_submit — successful submission of the partner inquiry form</w:t>
            </w:r>
          </w:p>
          <w:p>
            <w:pPr>
              <w:spacing w:after="40"/>
            </w:pPr>
            <w:r>
              <w:rPr>
                <w:rFonts w:ascii="Arial" w:cs="Arial" w:eastAsia="Arial" w:hAnsi="Arial"/>
                <w:sz w:val="20"/>
                <w:szCs w:val="20"/>
              </w:rPr>
              <w:t xml:space="preserve">pricing_view — pageview on /pricing</w:t>
            </w:r>
          </w:p>
          <w:p>
            <w:pPr>
              <w:spacing w:after="40"/>
            </w:pPr>
            <w:r>
              <w:rPr>
                <w:rFonts w:ascii="Arial" w:cs="Arial" w:eastAsia="Arial" w:hAnsi="Arial"/>
                <w:sz w:val="20"/>
                <w:szCs w:val="20"/>
              </w:rPr>
              <w:t xml:space="preserve">api_page_view — pageview on /api</w:t>
            </w:r>
          </w:p>
          <w:p>
            <w:pPr>
              <w:spacing w:after="40"/>
            </w:pPr>
            <w:r>
              <w:rPr>
                <w:rFonts w:ascii="Arial" w:cs="Arial" w:eastAsia="Arial" w:hAnsi="Arial"/>
                <w:sz w:val="20"/>
                <w:szCs w:val="20"/>
              </w:rPr>
              <w:t xml:space="preserve">how_it_works_scroll_50 — scrolled past 50% of /how-it-works</w:t>
            </w:r>
          </w:p>
          <w:p>
            <w:r>
              <w:rPr>
                <w:rFonts w:ascii="Arial" w:cs="Arial" w:eastAsia="Arial" w:hAnsi="Arial"/>
                <w:sz w:val="20"/>
                <w:szCs w:val="20"/>
              </w:rPr>
              <w:t xml:space="preserve">how_it_works_scroll_100 — reached bottom of /how-it-works</w:t>
            </w:r>
          </w:p>
        </w:tc>
      </w:tr>
    </w:tbl>
    <w:p>
      <w:pPr>
        <w:spacing w:after="0" w:before="200"/>
      </w:pPr>
      <w:r>
        <w:t xml:space="preserve"/>
      </w:r>
    </w:p>
    <w:p>
      <w:pPr>
        <w:spacing w:after="120" w:before="300"/>
      </w:pPr>
      <w:r>
        <w:rPr>
          <w:rFonts w:ascii="Arial" w:cs="Arial" w:eastAsia="Arial" w:hAnsi="Arial"/>
          <w:b/>
          <w:bCs/>
          <w:color w:val="0A1628"/>
          <w:sz w:val="24"/>
          <w:szCs w:val="24"/>
        </w:rPr>
        <w:t xml:space="preserve">Deploy Strategy</w:t>
      </w:r>
    </w:p>
    <w:p>
      <w:pPr>
        <w:pStyle w:val="ListParagraph"/>
        <w:numPr>
          <w:ilvl w:val="0"/>
          <w:numId w:val="3"/>
        </w:numPr>
        <w:spacing w:after="40" w:before="40"/>
      </w:pPr>
      <w:r>
        <w:rPr>
          <w:rFonts w:ascii="Arial" w:cs="Arial" w:eastAsia="Arial" w:hAnsi="Arial"/>
          <w:color w:val="111827"/>
          <w:sz w:val="20"/>
          <w:szCs w:val="20"/>
        </w:rPr>
        <w:t xml:space="preserve">Build on Firebase Hosting preview channel: firebase hosting:channel:deploy preview --expires 7d</w:t>
      </w:r>
    </w:p>
    <w:p>
      <w:pPr>
        <w:pStyle w:val="ListParagraph"/>
        <w:numPr>
          <w:ilvl w:val="0"/>
          <w:numId w:val="3"/>
        </w:numPr>
        <w:spacing w:after="40" w:before="40"/>
      </w:pPr>
      <w:r>
        <w:rPr>
          <w:rFonts w:ascii="Arial" w:cs="Arial" w:eastAsia="Arial" w:hAnsi="Arial"/>
          <w:color w:val="111827"/>
          <w:sz w:val="20"/>
          <w:szCs w:val="20"/>
        </w:rPr>
        <w:t xml:space="preserve">QA every page on the preview URL (&lt;channel-id&gt;--&lt;project&gt;.web.app).</w:t>
      </w:r>
    </w:p>
    <w:p>
      <w:pPr>
        <w:pStyle w:val="ListParagraph"/>
        <w:numPr>
          <w:ilvl w:val="0"/>
          <w:numId w:val="3"/>
        </w:numPr>
        <w:spacing w:after="40" w:before="40"/>
      </w:pPr>
      <w:r>
        <w:rPr>
          <w:rFonts w:ascii="Arial" w:cs="Arial" w:eastAsia="Arial" w:hAnsi="Arial"/>
          <w:color w:val="111827"/>
          <w:sz w:val="20"/>
          <w:szCs w:val="20"/>
        </w:rPr>
        <w:t xml:space="preserve">Run Lighthouse (must be ≥95 across performance/accessibility/SEO/best practices on home, /defense, /preauth).</w:t>
      </w:r>
    </w:p>
    <w:p>
      <w:pPr>
        <w:pStyle w:val="ListParagraph"/>
        <w:numPr>
          <w:ilvl w:val="0"/>
          <w:numId w:val="3"/>
        </w:numPr>
        <w:spacing w:after="40" w:before="40"/>
      </w:pPr>
      <w:r>
        <w:rPr>
          <w:rFonts w:ascii="Arial" w:cs="Arial" w:eastAsia="Arial" w:hAnsi="Arial"/>
          <w:color w:val="111827"/>
          <w:sz w:val="20"/>
          <w:szCs w:val="20"/>
        </w:rPr>
        <w:t xml:space="preserve">Run W3C HTML validator on every page. No errors.</w:t>
      </w:r>
    </w:p>
    <w:p>
      <w:pPr>
        <w:pStyle w:val="ListParagraph"/>
        <w:numPr>
          <w:ilvl w:val="0"/>
          <w:numId w:val="3"/>
        </w:numPr>
        <w:spacing w:after="40" w:before="40"/>
      </w:pPr>
      <w:r>
        <w:rPr>
          <w:rFonts w:ascii="Arial" w:cs="Arial" w:eastAsia="Arial" w:hAnsi="Arial"/>
          <w:color w:val="111827"/>
          <w:sz w:val="20"/>
          <w:szCs w:val="20"/>
        </w:rPr>
        <w:t xml:space="preserve">Run link checker. No broken internal links.</w:t>
      </w:r>
    </w:p>
    <w:p>
      <w:pPr>
        <w:pStyle w:val="ListParagraph"/>
        <w:numPr>
          <w:ilvl w:val="0"/>
          <w:numId w:val="3"/>
        </w:numPr>
        <w:spacing w:after="40" w:before="40"/>
      </w:pPr>
      <w:r>
        <w:rPr>
          <w:rFonts w:ascii="Arial" w:cs="Arial" w:eastAsia="Arial" w:hAnsi="Arial"/>
          <w:color w:val="111827"/>
          <w:sz w:val="20"/>
          <w:szCs w:val="20"/>
        </w:rPr>
        <w:t xml:space="preserve">Verify GA4 is receiving events from the preview URL.</w:t>
      </w:r>
    </w:p>
    <w:p>
      <w:pPr>
        <w:pStyle w:val="ListParagraph"/>
        <w:numPr>
          <w:ilvl w:val="0"/>
          <w:numId w:val="3"/>
        </w:numPr>
        <w:spacing w:after="40" w:before="40"/>
      </w:pPr>
      <w:r>
        <w:rPr>
          <w:rFonts w:ascii="Arial" w:cs="Arial" w:eastAsia="Arial" w:hAnsi="Arial"/>
          <w:color w:val="111827"/>
          <w:sz w:val="20"/>
          <w:szCs w:val="20"/>
        </w:rPr>
        <w:t xml:space="preserve">Verify partner form submission lands in HubSpot (via HubSpot sandbox first, then production).</w:t>
      </w:r>
    </w:p>
    <w:p>
      <w:pPr>
        <w:pStyle w:val="ListParagraph"/>
        <w:numPr>
          <w:ilvl w:val="0"/>
          <w:numId w:val="3"/>
        </w:numPr>
        <w:spacing w:after="40" w:before="40"/>
      </w:pPr>
      <w:r>
        <w:rPr>
          <w:rFonts w:ascii="Arial" w:cs="Arial" w:eastAsia="Arial" w:hAnsi="Arial"/>
          <w:color w:val="111827"/>
          <w:sz w:val="20"/>
          <w:szCs w:val="20"/>
        </w:rPr>
        <w:t xml:space="preserve">Promote preview to live channel: firebase deploy --only hosting,functions</w:t>
      </w:r>
    </w:p>
    <w:p>
      <w:pPr>
        <w:pStyle w:val="ListParagraph"/>
        <w:numPr>
          <w:ilvl w:val="0"/>
          <w:numId w:val="3"/>
        </w:numPr>
        <w:spacing w:after="40" w:before="40"/>
      </w:pPr>
      <w:r>
        <w:rPr>
          <w:rFonts w:ascii="Arial" w:cs="Arial" w:eastAsia="Arial" w:hAnsi="Arial"/>
          <w:color w:val="111827"/>
          <w:sz w:val="20"/>
          <w:szCs w:val="20"/>
        </w:rPr>
        <w:t xml:space="preserve">Flip kombatix.io apex DNS to Firebase Hosting. Flip blog.kombatix.io subdomain DNS to existing WordPress host.</w:t>
      </w:r>
    </w:p>
    <w:p>
      <w:pPr>
        <w:pStyle w:val="ListParagraph"/>
        <w:numPr>
          <w:ilvl w:val="0"/>
          <w:numId w:val="3"/>
        </w:numPr>
        <w:spacing w:after="40" w:before="40"/>
      </w:pPr>
      <w:r>
        <w:rPr>
          <w:rFonts w:ascii="Arial" w:cs="Arial" w:eastAsia="Arial" w:hAnsi="Arial"/>
          <w:color w:val="111827"/>
          <w:sz w:val="20"/>
          <w:szCs w:val="20"/>
        </w:rPr>
        <w:t xml:space="preserve">Monitor for 24 hours. Rollback capability: firebase hosting:rollback if needed.</w:t>
      </w:r>
    </w:p>
    <w:p>
      <w:pPr>
        <w:spacing w:after="0" w:before="200"/>
      </w:pPr>
      <w:r>
        <w:t xml:space="preserve"/>
      </w:r>
    </w:p>
    <w:p>
      <w:pPr>
        <w:spacing w:after="120" w:before="300"/>
      </w:pPr>
      <w:r>
        <w:rPr>
          <w:rFonts w:ascii="Arial" w:cs="Arial" w:eastAsia="Arial" w:hAnsi="Arial"/>
          <w:b/>
          <w:bCs/>
          <w:color w:val="0A1628"/>
          <w:sz w:val="24"/>
          <w:szCs w:val="24"/>
        </w:rPr>
        <w:t xml:space="preserve">Account Lock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250"/>
              <w:bottom w:type="dxa" w:w="200"/>
              <w:right w:type="dxa" w:w="250"/>
            </w:tcMar>
          </w:tcPr>
          <w:p>
            <w:pPr>
              <w:spacing w:after="120"/>
            </w:pPr>
            <w:r>
              <w:rPr>
                <w:rFonts w:ascii="Arial" w:cs="Arial" w:eastAsia="Arial" w:hAnsi="Arial"/>
                <w:b/>
                <w:bCs/>
                <w:color w:val="FFFFFF"/>
                <w:sz w:val="22"/>
                <w:szCs w:val="22"/>
              </w:rPr>
              <w:t xml:space="preserve">Prevent credential drift across projects.</w:t>
            </w:r>
          </w:p>
          <w:p>
            <w:r>
              <w:rPr>
                <w:rFonts w:ascii="Arial" w:cs="Arial" w:eastAsia="Arial" w:hAnsi="Arial"/>
                <w:color w:val="FFFFFF"/>
                <w:sz w:val="20"/>
                <w:szCs w:val="20"/>
              </w:rPr>
              <w:t xml:space="preserve">Darrel works across multiple Firebase/GCP/GitHub accounts simultaneously (PeopleFinders, Big Fat Dad, Kombatix, and others). The build session must verify correct account context before every commit. See CLAUDE.md section 1 for enforcement.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GitHub</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kombatix org. Repo name TBD — suggest kombatix-web or kombatix-site.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Firebase / GCP</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New Firebase project in the kombatix organization. Firebase projects ARE GCP projects — one and the same.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Session Start Checks</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r>
              <w:rPr>
                <w:rFonts w:ascii="Arial" w:cs="Arial" w:eastAsia="Arial" w:hAnsi="Arial"/>
                <w:color w:val="111827"/>
                <w:sz w:val="20"/>
                <w:szCs w:val="20"/>
              </w:rPr>
              <w:t xml:space="preserve">At every Claude Code session start: run 'gh repo view', 'firebase use', 'gcloud config get-value project', 'gcloud auth list --format="value(account)"'. All four must match the expected values in CLAUDE.md. On any mismatch: STOP, alert the user, do not proceed.</w:t>
            </w:r>
          </w:p>
        </w:tc>
      </w:tr>
    </w:tbl>
    <w:p>
      <w:pPr>
        <w:pageBreakBefore/>
      </w:pPr>
      <w:r>
        <w:t xml:space="preserve"/>
      </w:r>
    </w:p>
    <w:p>
      <w:pPr>
        <w:pBdr>
          <w:bottom w:val="single" w:color="2563EB" w:sz="18" w:space="4"/>
        </w:pBdr>
        <w:spacing w:after="200" w:before="400"/>
      </w:pPr>
      <w:r>
        <w:rPr>
          <w:rFonts w:ascii="Arial" w:cs="Arial" w:eastAsia="Arial" w:hAnsi="Arial"/>
          <w:b/>
          <w:bCs/>
          <w:color w:val="0A1628"/>
          <w:sz w:val="26"/>
          <w:szCs w:val="26"/>
        </w:rPr>
        <w:t xml:space="preserve">BUILD SESSION HANDOFF</w:t>
      </w:r>
    </w:p>
    <w:p>
      <w:pPr>
        <w:spacing w:after="80" w:before="80"/>
      </w:pPr>
      <w:r>
        <w:rPr>
          <w:rFonts w:ascii="Arial" w:cs="Arial" w:eastAsia="Arial" w:hAnsi="Arial"/>
          <w:color w:val="111827"/>
          <w:sz w:val="20"/>
          <w:szCs w:val="20"/>
        </w:rPr>
        <w:t xml:space="preserve">This document is the reference artifact for the Claude Code build session. Pair it with:</w:t>
      </w:r>
    </w:p>
    <w:p>
      <w:pPr>
        <w:spacing w:after="0" w:before="80"/>
      </w:pPr>
      <w:r>
        <w:t xml:space="preserve"/>
      </w:r>
    </w:p>
    <w:p>
      <w:pPr>
        <w:pStyle w:val="ListParagraph"/>
        <w:numPr>
          <w:ilvl w:val="0"/>
          <w:numId w:val="2"/>
        </w:numPr>
        <w:spacing w:after="40" w:before="40"/>
      </w:pPr>
      <w:r>
        <w:rPr>
          <w:rFonts w:ascii="Arial" w:cs="Arial" w:eastAsia="Arial" w:hAnsi="Arial"/>
          <w:color w:val="111827"/>
          <w:sz w:val="20"/>
          <w:szCs w:val="20"/>
        </w:rPr>
        <w:t xml:space="preserve">CLAUDE.md — session operating rules (account lock, MCP enforcement, model verification, hard rules)</w:t>
      </w:r>
    </w:p>
    <w:p>
      <w:pPr>
        <w:pStyle w:val="ListParagraph"/>
        <w:numPr>
          <w:ilvl w:val="0"/>
          <w:numId w:val="2"/>
        </w:numPr>
        <w:spacing w:after="40" w:before="40"/>
      </w:pPr>
      <w:r>
        <w:rPr>
          <w:rFonts w:ascii="Arial" w:cs="Arial" w:eastAsia="Arial" w:hAnsi="Arial"/>
          <w:color w:val="111827"/>
          <w:sz w:val="20"/>
          <w:szCs w:val="20"/>
        </w:rPr>
        <w:t xml:space="preserve">README.md — repo setup and local dev instructions</w:t>
      </w:r>
    </w:p>
    <w:p>
      <w:pPr>
        <w:spacing w:after="0" w:before="200"/>
      </w:pPr>
      <w:r>
        <w:t xml:space="preserve"/>
      </w:r>
    </w:p>
    <w:p>
      <w:pPr>
        <w:spacing w:after="80" w:before="80"/>
      </w:pPr>
      <w:r>
        <w:rPr>
          <w:rFonts w:ascii="Arial" w:cs="Arial" w:eastAsia="Arial" w:hAnsi="Arial"/>
          <w:color w:val="111827"/>
          <w:sz w:val="20"/>
          <w:szCs w:val="20"/>
        </w:rPr>
        <w:t xml:space="preserve">The build agent reads CLAUDE.md at session start, references this architecture doc for content and structure, and asks before deviating from anything specified here. Content copy should be lifted verbatim from this doc — paraphrasing reintroduces errors that were caught in the v1 review.</w:t>
      </w:r>
    </w:p>
    <w:p>
      <w:pPr>
        <w:spacing w:after="0" w:before="200"/>
      </w:pPr>
      <w:r>
        <w:t xml:space="preserve"/>
      </w:r>
    </w:p>
    <w:p>
      <w:pPr>
        <w:spacing w:after="120" w:before="300"/>
      </w:pPr>
      <w:r>
        <w:rPr>
          <w:rFonts w:ascii="Arial" w:cs="Arial" w:eastAsia="Arial" w:hAnsi="Arial"/>
          <w:b/>
          <w:bCs/>
          <w:color w:val="0A1628"/>
          <w:sz w:val="24"/>
          <w:szCs w:val="24"/>
        </w:rPr>
        <w:t xml:space="preserve">First-Session Starter Prompt (Paste Into Claude Code)</w:t>
      </w:r>
    </w:p>
    <w:p>
      <w:pPr>
        <w:spacing w:after="80" w:before="80"/>
      </w:pPr>
      <w:r>
        <w:rPr>
          <w:rFonts w:ascii="Arial" w:cs="Arial" w:eastAsia="Arial" w:hAnsi="Arial"/>
          <w:color w:val="111827"/>
          <w:sz w:val="20"/>
          <w:szCs w:val="20"/>
        </w:rPr>
        <w:t xml:space="preserve">Use this as the opening prompt for the first Claude Code session on this repo:</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3F4F6" w:val="clear"/>
            <w:tcMar>
              <w:top w:type="dxa" w:w="100"/>
              <w:left w:type="dxa" w:w="150"/>
              <w:bottom w:type="dxa" w:w="100"/>
              <w:right w:type="dxa" w:w="150"/>
            </w:tcMar>
            <w:vAlign w:val="top"/>
          </w:tcPr>
          <w:p>
            <w:r>
              <w:rPr>
                <w:rFonts w:ascii="Arial" w:cs="Arial" w:eastAsia="Arial" w:hAnsi="Arial"/>
                <w:b/>
                <w:bCs/>
                <w:color w:val="0A1628"/>
                <w:sz w:val="18"/>
                <w:szCs w:val="18"/>
              </w:rPr>
              <w:t xml:space="preserve">Starter Prompt</w:t>
            </w:r>
          </w:p>
        </w:tc>
        <w:tc>
          <w:tcPr>
            <w:tcW w:type="dxa" w:w="6960"/>
            <w:tcBorders>
              <w:top w:val="single" w:color="D1D5DB" w:sz="4"/>
              <w:left w:val="single" w:color="D1D5DB" w:sz="4"/>
              <w:bottom w:val="single" w:color="D1D5DB" w:sz="4"/>
              <w:right w:val="single" w:color="D1D5DB" w:sz="4"/>
            </w:tcBorders>
            <w:tcMar>
              <w:top w:type="dxa" w:w="100"/>
              <w:left w:type="dxa" w:w="150"/>
              <w:bottom w:type="dxa" w:w="100"/>
              <w:right w:type="dxa" w:w="150"/>
            </w:tcMar>
            <w:vAlign w:val="top"/>
          </w:tcPr>
          <w:p>
            <w:pPr>
              <w:spacing w:after="80"/>
            </w:pPr>
            <w:r>
              <w:rPr>
                <w:rFonts w:ascii="Arial" w:cs="Arial" w:eastAsia="Arial" w:hAnsi="Arial"/>
                <w:i/>
                <w:iCs/>
                <w:sz w:val="20"/>
                <w:szCs w:val="20"/>
              </w:rPr>
              <w:t xml:space="preserve">This is the Kombatix marketing site build. Before writing any code:</w:t>
            </w:r>
          </w:p>
          <w:p>
            <w:pPr>
              <w:spacing w:after="40"/>
            </w:pPr>
            <w:r>
              <w:rPr>
                <w:rFonts w:ascii="Arial" w:cs="Arial" w:eastAsia="Arial" w:hAnsi="Arial"/>
                <w:i/>
                <w:iCs/>
                <w:sz w:val="20"/>
                <w:szCs w:val="20"/>
              </w:rPr>
              <w:t xml:space="preserve">1. Read CLAUDE.md in full. Follow every rule — especially the account-lock checks in section 1.</w:t>
            </w:r>
          </w:p>
          <w:p>
            <w:pPr>
              <w:spacing w:after="40"/>
            </w:pPr>
            <w:r>
              <w:rPr>
                <w:rFonts w:ascii="Arial" w:cs="Arial" w:eastAsia="Arial" w:hAnsi="Arial"/>
                <w:i/>
                <w:iCs/>
                <w:sz w:val="20"/>
                <w:szCs w:val="20"/>
              </w:rPr>
              <w:t xml:space="preserve">2. Verify active MCP servers: Firebase MCP, Google Developer Knowledge, Context7.</w:t>
            </w:r>
          </w:p>
          <w:p>
            <w:pPr>
              <w:spacing w:after="40"/>
            </w:pPr>
            <w:r>
              <w:rPr>
                <w:rFonts w:ascii="Arial" w:cs="Arial" w:eastAsia="Arial" w:hAnsi="Arial"/>
                <w:i/>
                <w:iCs/>
                <w:sz w:val="20"/>
                <w:szCs w:val="20"/>
              </w:rPr>
              <w:t xml:space="preserve">3. Read KOMBATIX_SITE_V2.docx — this is the approved content and structure reference.</w:t>
            </w:r>
          </w:p>
          <w:p>
            <w:pPr>
              <w:spacing w:after="40"/>
            </w:pPr>
            <w:r>
              <w:rPr>
                <w:rFonts w:ascii="Arial" w:cs="Arial" w:eastAsia="Arial" w:hAnsi="Arial"/>
                <w:i/>
                <w:iCs/>
                <w:sz w:val="20"/>
                <w:szCs w:val="20"/>
              </w:rPr>
              <w:t xml:space="preserve">4. Scaffold: Next.js (static export), Tailwind, Firebase Hosting config, one Cloud Function placeholder at functions/src/partner-inquiry.ts, basic layout with header and footer from the doc's sitemap, and empty route files for all 7 pages.</w:t>
            </w:r>
          </w:p>
          <w:p>
            <w:pPr>
              <w:spacing w:after="40"/>
            </w:pPr>
            <w:r>
              <w:rPr>
                <w:rFonts w:ascii="Arial" w:cs="Arial" w:eastAsia="Arial" w:hAnsi="Arial"/>
                <w:i/>
                <w:iCs/>
                <w:sz w:val="20"/>
                <w:szCs w:val="20"/>
              </w:rPr>
              <w:t xml:space="preserve">5. Confirm scaffold and stop. Do not build page content yet — we'll generate designs in Stitch first (Gemini 3 Pro mode, MCP bridge), then build against those designs page by page.</w:t>
            </w:r>
          </w:p>
          <w:p>
            <w:r>
              <w:rPr>
                <w:rFonts w:ascii="Arial" w:cs="Arial" w:eastAsia="Arial" w:hAnsi="Arial"/>
                <w:i/>
                <w:iCs/>
                <w:sz w:val="20"/>
                <w:szCs w:val="20"/>
              </w:rPr>
              <w:t xml:space="preserve">Flag any mismatch, missing prerequisite, or ambiguity before writing code.</w:t>
            </w:r>
          </w:p>
        </w:tc>
      </w:tr>
    </w:tbl>
    <w:p>
      <w:pPr>
        <w:spacing w:after="0" w:before="400"/>
      </w:pPr>
      <w:r>
        <w:t xml:space="preserve"/>
      </w:r>
    </w:p>
    <w:p>
      <w:pPr>
        <w:jc w:val="center"/>
      </w:pPr>
      <w:r>
        <w:rPr>
          <w:rFonts w:ascii="Arial" w:cs="Arial" w:eastAsia="Arial" w:hAnsi="Arial"/>
          <w:i/>
          <w:iCs/>
          <w:color w:val="6B7280"/>
          <w:sz w:val="20"/>
          <w:szCs w:val="20"/>
        </w:rPr>
        <w:t xml:space="preserve">— End of Kombatix Site Architecture v2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KOMBATIX  ·  Site Architecture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Kombatix Site Architecture v2</dc:title>
  <dc:creator>Kombatix</dc:creator>
  <dc:description>Approved architecture for the Kombatix marketing site rebuild</dc:description>
  <cp:lastModifiedBy>Un-named</cp:lastModifiedBy>
  <cp:revision>1</cp:revision>
  <dcterms:created xsi:type="dcterms:W3CDTF">2026-04-22T06:51:40.947Z</dcterms:created>
  <dcterms:modified xsi:type="dcterms:W3CDTF">2026-04-22T06:51:40.948Z</dcterms:modified>
</cp:coreProperties>
</file>

<file path=docProps/custom.xml><?xml version="1.0" encoding="utf-8"?>
<Properties xmlns="http://schemas.openxmlformats.org/officeDocument/2006/custom-properties" xmlns:vt="http://schemas.openxmlformats.org/officeDocument/2006/docPropsVTypes"/>
</file>