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28202" w14:textId="77777777" w:rsidR="00B8604B" w:rsidRDefault="00000000">
      <w:pPr>
        <w:ind w:left="-5"/>
      </w:pPr>
      <w:r>
        <w:rPr>
          <w:b/>
        </w:rPr>
        <w:t xml:space="preserve">Introduction:  </w:t>
      </w:r>
      <w:r>
        <w:t xml:space="preserve">Modern American democracy operates under conditions of rational ignorance, where the costs of acquiring meaningful political information exceed the benefits for most citizens. </w:t>
      </w:r>
      <w:commentRangeStart w:id="0"/>
      <w:commentRangeStart w:id="1"/>
      <w:r>
        <w:t>Interest groups and lobbying have emerged as a key institutional response to this problem by organizing and transmitting information on the public’s behalf</w:t>
      </w:r>
      <w:commentRangeEnd w:id="0"/>
      <w:r w:rsidR="00AE2BB3">
        <w:rPr>
          <w:rStyle w:val="CommentReference"/>
        </w:rPr>
        <w:commentReference w:id="0"/>
      </w:r>
      <w:commentRangeEnd w:id="1"/>
      <w:r w:rsidR="00AE2BB3">
        <w:rPr>
          <w:rStyle w:val="CommentReference"/>
        </w:rPr>
        <w:commentReference w:id="1"/>
      </w:r>
      <w:r>
        <w:t>.</w:t>
      </w:r>
    </w:p>
    <w:p w14:paraId="42D25FD1" w14:textId="77777777" w:rsidR="00B8604B" w:rsidRDefault="00000000">
      <w:pPr>
        <w:pStyle w:val="Heading1"/>
        <w:ind w:left="-5"/>
      </w:pPr>
      <w:r>
        <w:t>Section 1: Framing the Problem</w:t>
      </w:r>
    </w:p>
    <w:p w14:paraId="1BB2ADA5" w14:textId="77777777" w:rsidR="00B8604B" w:rsidRDefault="00000000">
      <w:pPr>
        <w:ind w:left="-15" w:firstLine="720"/>
      </w:pPr>
      <w:r>
        <w:t xml:space="preserve">In theory, lobbying helps address rational ignorance by solving collective action problems. As </w:t>
      </w:r>
      <w:proofErr w:type="spellStart"/>
      <w:r>
        <w:t>Mancur</w:t>
      </w:r>
      <w:proofErr w:type="spellEnd"/>
      <w:r>
        <w:t xml:space="preserve"> Olson put it, “unless the number of individuals in a group is quite small, or unless there is coercion or some other special device,” rational people will not act to advance a shared interest. </w:t>
      </w:r>
      <w:r>
        <w:rPr>
          <w:vertAlign w:val="superscript"/>
        </w:rPr>
        <w:footnoteReference w:id="1"/>
      </w:r>
      <w:r>
        <w:t xml:space="preserve">Small, organized groups, what Olson calls distributive coalitions, therefore have a built-in advantage, that the benefits of political success are concentrated on a few people, while the costs are spread thinly across everyone else. Because these groups have more at stake, they invest in expertise, monitoring, and advocacy. Lobbying therefore can be explained as a practical response to rational ignorance in mass democracy, allowing people to coordinate and share information for common interests in a society where the common good is often too abstract or difficult to </w:t>
      </w:r>
      <w:commentRangeStart w:id="2"/>
      <w:r>
        <w:t>ascertain</w:t>
      </w:r>
      <w:commentRangeEnd w:id="2"/>
      <w:r w:rsidR="00ED41F4">
        <w:rPr>
          <w:rStyle w:val="CommentReference"/>
        </w:rPr>
        <w:commentReference w:id="2"/>
      </w:r>
      <w:r>
        <w:t xml:space="preserve">. </w:t>
      </w:r>
    </w:p>
    <w:p w14:paraId="30BC48D1" w14:textId="77777777" w:rsidR="00B8604B" w:rsidRDefault="00000000">
      <w:pPr>
        <w:ind w:left="-15" w:firstLine="720"/>
      </w:pPr>
      <w:r>
        <w:t xml:space="preserve">However, the contemporary lobbying system increasingly undermines this informational function. Rather than serving as bridges between citizens and policymakers, many interest groups have become professionalized, bureaucratic, and detached from their constituencies. Lobbying today often operates through closed networks of donors, consultants, and policy professionals who engage in agenda-setting and information control with minimal participatory input. This transformation worsens rational ignorance by consolidating political knowledge while alienating the broader public from meaningful engagement. </w:t>
      </w:r>
    </w:p>
    <w:p w14:paraId="42424468" w14:textId="77777777" w:rsidR="00B8604B" w:rsidRDefault="00000000">
      <w:pPr>
        <w:pStyle w:val="Heading1"/>
        <w:ind w:left="-5"/>
      </w:pPr>
      <w:r>
        <w:t xml:space="preserve">Section 2: The Core Issue of Rational Ignorance in Lobbying </w:t>
      </w:r>
    </w:p>
    <w:p w14:paraId="03471264" w14:textId="77777777" w:rsidR="00B8604B" w:rsidRDefault="00000000">
      <w:pPr>
        <w:ind w:left="-15" w:firstLine="720"/>
      </w:pPr>
      <w:r>
        <w:t>As Theda Skocpol observes, in today’s advocacy landscape “most adherents are seen as consumers who send money to buy a certain brand of public-interest representation,” reducing the role of democratic information sharing in political processes.</w:t>
      </w:r>
      <w:r>
        <w:rPr>
          <w:vertAlign w:val="superscript"/>
        </w:rPr>
        <w:footnoteReference w:id="2"/>
      </w:r>
      <w:r>
        <w:t xml:space="preserve">  This is in stark contrast to previous norms for decentralized special interest organizations, as major membership organizations had as many as  “15,000 to 17,000 local chapters,” and in the 1950s an estimated “3 to 5 percent of the adult population was serving in leadership roles” within such groups.</w:t>
      </w:r>
      <w:r>
        <w:rPr>
          <w:vertAlign w:val="superscript"/>
        </w:rPr>
        <w:t>3</w:t>
      </w:r>
      <w:r>
        <w:t xml:space="preserve"> These organizations taught ordinary citizens how to run meetings, deliberate, mobilize peers, and participate meaningfully in democratic governance. Within this civic structure, members were active participants who learned about issues through engagement and leadership and were </w:t>
      </w:r>
      <w:r>
        <w:lastRenderedPageBreak/>
        <w:t>incentivized to not only learn but implement the policy preferences of their communities, countering the hurdle of information acquisition.</w:t>
      </w:r>
    </w:p>
    <w:p w14:paraId="58993A2D" w14:textId="77777777" w:rsidR="00B8604B" w:rsidRDefault="00000000">
      <w:pPr>
        <w:spacing w:after="31"/>
        <w:ind w:left="-15" w:firstLine="720"/>
      </w:pPr>
      <w:r>
        <w:t>The contrast between older, membership-based advocacy organizations and contemporary lobbying illustrates this shift. The National Rifle Association, at its peak, functioned less as a top-down lobbying firm and more as a decentralized civic organization. It relied on local chapters, volunteer engagement, training programs, and sustained social ties. Members were not only donors but participants who learned about issues, mobilized peers, and enforced accountability within the organization.</w:t>
      </w:r>
      <w:r>
        <w:rPr>
          <w:vertAlign w:val="superscript"/>
        </w:rPr>
        <w:footnoteReference w:id="3"/>
      </w:r>
      <w:r>
        <w:t xml:space="preserve"> Whatever one thinks of its policy goals, the </w:t>
      </w:r>
    </w:p>
    <w:p w14:paraId="0959C4DE" w14:textId="77777777" w:rsidR="00B8604B" w:rsidRDefault="00000000">
      <w:pPr>
        <w:ind w:left="-5"/>
      </w:pPr>
      <w:commentRangeStart w:id="3"/>
      <w:r>
        <w:t xml:space="preserve">NRA has mitigated rational ignorance by embedding political information within an egalitarian and inclusive special interest structure. </w:t>
      </w:r>
      <w:commentRangeEnd w:id="3"/>
      <w:r w:rsidR="00ED41F4">
        <w:rPr>
          <w:rStyle w:val="CommentReference"/>
        </w:rPr>
        <w:commentReference w:id="3"/>
      </w:r>
      <w:r>
        <w:t xml:space="preserve">By contrast, many modern advocacy campaigns operate through opaque funding streams and professional messaging that disincentivizes participation and learning about policy, contributing further to the rational ignorance problem. The core of the problem of lobbying and rational ignorance is the inclusiveness of the systems through which distributive coalitions arise. </w:t>
      </w:r>
    </w:p>
    <w:p w14:paraId="53E22E12" w14:textId="77777777" w:rsidR="00B8604B" w:rsidRDefault="00000000">
      <w:pPr>
        <w:pStyle w:val="Heading1"/>
        <w:ind w:left="-5"/>
      </w:pPr>
      <w:r>
        <w:t>Section 3: Policy Barriers of Information Gathering in Lobbying</w:t>
      </w:r>
    </w:p>
    <w:p w14:paraId="270E55F0" w14:textId="77777777" w:rsidR="00B8604B" w:rsidRDefault="00000000">
      <w:pPr>
        <w:ind w:left="-15" w:firstLine="720"/>
      </w:pPr>
      <w:r>
        <w:t xml:space="preserve">The informational decay associated with modern lobbying is inseparable from the broader narrowing of civic life. As Eitan Hersh argues, large segments of contemporary political engagement increasingly take the form of “political </w:t>
      </w:r>
      <w:proofErr w:type="spellStart"/>
      <w:r>
        <w:t>hobbyism</w:t>
      </w:r>
      <w:proofErr w:type="spellEnd"/>
      <w:r>
        <w:t>” which translates to engaging with politics as entertainment rather than participating in organizations that seek power. Highly educated and affluent citizens are especially prone to this pattern. They are informed, but their engagement is individualistic and disconnected from collective action or community-based politics.</w:t>
      </w:r>
      <w:r>
        <w:rPr>
          <w:vertAlign w:val="superscript"/>
        </w:rPr>
        <w:footnoteReference w:id="4"/>
      </w:r>
      <w:r>
        <w:t xml:space="preserve"> The problem is therefore not a lack of informed people who can organize advocacy and special interest mobilization and offer information gathering skills on a local level, but structural barrier to their involvement. So, a policy solution, where there are incentives given to these </w:t>
      </w:r>
      <w:proofErr w:type="spellStart"/>
      <w:r>
        <w:t>highinformation</w:t>
      </w:r>
      <w:proofErr w:type="spellEnd"/>
      <w:r>
        <w:t xml:space="preserve"> voters and potential community organizers to immerse themselves in the community, offers a step in countering rational ignorance.</w:t>
      </w:r>
    </w:p>
    <w:p w14:paraId="6C039327" w14:textId="77777777" w:rsidR="00B8604B" w:rsidRDefault="00000000">
      <w:pPr>
        <w:ind w:left="-15" w:firstLine="720"/>
      </w:pPr>
      <w:r>
        <w:t xml:space="preserve">As </w:t>
      </w:r>
      <w:commentRangeStart w:id="4"/>
      <w:r>
        <w:t xml:space="preserve">mentioned earlier, when civic organizations decline, lobbying fills the demand for local interest demands, often without serving them well. Economic globalization and trade liberalization have played a direct role in eroding the community structures that once sustained civic participation. Policies such as NAFTA accelerated deindustrialization, weakened unions, and hollowed out stable, place-based employment, breaking the social networks through which people historically learned to organize </w:t>
      </w:r>
      <w:commentRangeEnd w:id="4"/>
      <w:r w:rsidR="00561CAC">
        <w:rPr>
          <w:rStyle w:val="CommentReference"/>
        </w:rPr>
        <w:commentReference w:id="4"/>
      </w:r>
      <w:r>
        <w:t xml:space="preserve">and participate politically. As work became more alienated from American citizens and communities more eroded, civic life narrowed and political engagement shifted away from collective participation toward individualized consumption. In this environment, professionalized lobbying fills the void, centralizing political information and </w:t>
      </w:r>
      <w:r>
        <w:lastRenderedPageBreak/>
        <w:t xml:space="preserve">influence while deepening rational ignorance among a public increasingly disconnected from the institutions that once anchored democratic life. </w:t>
      </w:r>
    </w:p>
    <w:p w14:paraId="60313D7F" w14:textId="77777777" w:rsidR="00B8604B" w:rsidRDefault="00000000">
      <w:pPr>
        <w:ind w:left="-15" w:firstLine="720"/>
      </w:pPr>
      <w:r>
        <w:t>This erosion also reflects a deeper political philosophical rift in how individuals are understood within liberal democracy. Rawls’s political liberalism, developed in response to injustices, assumes rational individuals capable of abstracting from their social positions to agree on fair principles of cooperation. In theory, this abstraction protects pluralism and prevents domination.</w:t>
      </w:r>
      <w:r>
        <w:rPr>
          <w:vertAlign w:val="superscript"/>
        </w:rPr>
        <w:footnoteReference w:id="5"/>
      </w:r>
      <w:r>
        <w:t xml:space="preserve"> In practice, however, when absorbed into a hyper-capitalist political economy, this framework is easily repurposed to treat people as interchangeable economic units, ones that are mobile, atomized, and detached from place or community. As Michael Sandel argues, this neglects the fact that individuals are formed through shared practices, institutions, and moral commitments, not prior to them, and by removing people from their communities and their valued togetherness you strip their personhood.</w:t>
      </w:r>
      <w:r>
        <w:rPr>
          <w:vertAlign w:val="superscript"/>
        </w:rPr>
        <w:t>7</w:t>
      </w:r>
      <w:r>
        <w:t xml:space="preserve"> When economic decisions, such as globalist outsourcing like relocating factories overseas, a hallmark of our industrial policy in the last 30 years, are justified purely in terms of efficiency or total macroeconomic welfare, what is lost is not only income but the civic and social structures were the primary means of information gathering for advocacy organizations. Further economic decay and lack of home ownership and job retention mean people are much less rooted in their neighborhoods. In the absence of these shared contexts, politics becomes abstract and distant, and rational ignorance flourishes because citizens no longer experience political decisions as connected to a common life they inhabit. </w:t>
      </w:r>
      <w:proofErr w:type="gramStart"/>
      <w:r>
        <w:t>So</w:t>
      </w:r>
      <w:proofErr w:type="gramEnd"/>
      <w:r>
        <w:t xml:space="preserve"> there is a deeper-rooted barrier inherent to many aspects of policy that prevent the building of an inclusive local political mobilization, which then have the </w:t>
      </w:r>
      <w:proofErr w:type="gramStart"/>
      <w:r>
        <w:t>knock on</w:t>
      </w:r>
      <w:proofErr w:type="gramEnd"/>
      <w:r>
        <w:t xml:space="preserve"> impact of entrenching rational ignorance.</w:t>
      </w:r>
    </w:p>
    <w:p w14:paraId="5C111491" w14:textId="77777777" w:rsidR="00B8604B" w:rsidRDefault="00000000">
      <w:pPr>
        <w:spacing w:after="251" w:line="265" w:lineRule="auto"/>
        <w:ind w:left="-5"/>
      </w:pPr>
      <w:r>
        <w:rPr>
          <w:b/>
        </w:rPr>
        <w:t>Conclusion:</w:t>
      </w:r>
    </w:p>
    <w:p w14:paraId="164ED9F1" w14:textId="77777777" w:rsidR="00B8604B" w:rsidRDefault="00000000">
      <w:pPr>
        <w:ind w:left="-15" w:firstLine="720"/>
      </w:pPr>
      <w:r>
        <w:t>Addressing rational ignorance requires rebuilding locally rooted civic organizations, not just transparency rules. Economic globalization has weakened community life, allowing lobbying to become centralized and professionalized. Without restoring these foundations, lobbying will deepen ignorance rather than reduce it.</w:t>
      </w:r>
    </w:p>
    <w:p w14:paraId="6A0BAF2A" w14:textId="77777777" w:rsidR="00B8604B" w:rsidRDefault="00000000">
      <w:pPr>
        <w:pStyle w:val="Heading1"/>
        <w:tabs>
          <w:tab w:val="center" w:pos="720"/>
          <w:tab w:val="center" w:pos="4257"/>
        </w:tabs>
        <w:spacing w:after="815"/>
        <w:ind w:left="0" w:firstLine="0"/>
      </w:pPr>
      <w:r>
        <w:rPr>
          <w:rFonts w:ascii="Calibri" w:eastAsia="Calibri" w:hAnsi="Calibri" w:cs="Calibri"/>
          <w:b w:val="0"/>
          <w:sz w:val="22"/>
        </w:rPr>
        <w:tab/>
      </w:r>
      <w:r>
        <w:t xml:space="preserve">   </w:t>
      </w:r>
      <w:r>
        <w:tab/>
        <w:t>Works Cited</w:t>
      </w:r>
    </w:p>
    <w:p w14:paraId="5D4BDC70" w14:textId="77777777" w:rsidR="00B8604B" w:rsidRDefault="00000000">
      <w:pPr>
        <w:spacing w:line="267" w:lineRule="auto"/>
        <w:ind w:left="595" w:right="204"/>
      </w:pPr>
      <w:r>
        <w:t xml:space="preserve">Olson, </w:t>
      </w:r>
      <w:proofErr w:type="spellStart"/>
      <w:r>
        <w:t>Mancur</w:t>
      </w:r>
      <w:proofErr w:type="spellEnd"/>
      <w:r>
        <w:t xml:space="preserve">. </w:t>
      </w:r>
      <w:r>
        <w:rPr>
          <w:i/>
        </w:rPr>
        <w:t>The Logic of Collective Action: Public Goods and the Theory of Groups</w:t>
      </w:r>
      <w:r>
        <w:t>. Cambridge, MA: Harvard University Press, 1965.</w:t>
      </w:r>
    </w:p>
    <w:p w14:paraId="42548A08" w14:textId="77777777" w:rsidR="00B8604B" w:rsidRDefault="00000000">
      <w:pPr>
        <w:ind w:left="610" w:right="465"/>
      </w:pPr>
      <w:proofErr w:type="spellStart"/>
      <w:r>
        <w:lastRenderedPageBreak/>
        <w:t>Reckhow</w:t>
      </w:r>
      <w:proofErr w:type="spellEnd"/>
      <w:r>
        <w:t xml:space="preserve">, Sarah, Jeffrey R. Henig, Rebecca Jacobsen, and Jamie Alter Litt. “Outsiders with Deep Pockets: The Nationalization of Local School Board Elections.” </w:t>
      </w:r>
      <w:r>
        <w:rPr>
          <w:i/>
        </w:rPr>
        <w:t>Urban Affairs Review</w:t>
      </w:r>
      <w:r>
        <w:t xml:space="preserve"> 53, no. 5 (2017): 843–871.</w:t>
      </w:r>
    </w:p>
    <w:p w14:paraId="40402A7A" w14:textId="77777777" w:rsidR="00B8604B" w:rsidRDefault="00000000">
      <w:pPr>
        <w:ind w:left="610" w:right="232"/>
      </w:pPr>
      <w:r>
        <w:t xml:space="preserve">Skocpol, Theda. “The Narrowing of Civic Life.” </w:t>
      </w:r>
      <w:r>
        <w:rPr>
          <w:i/>
        </w:rPr>
        <w:t>The American Prospect</w:t>
      </w:r>
      <w:r>
        <w:t>, May 17, 2004.</w:t>
      </w:r>
    </w:p>
    <w:p w14:paraId="78AA4E6D" w14:textId="77777777" w:rsidR="00B8604B" w:rsidRDefault="00000000">
      <w:pPr>
        <w:spacing w:after="10" w:line="267" w:lineRule="auto"/>
        <w:ind w:left="595" w:right="204"/>
      </w:pPr>
      <w:r>
        <w:t xml:space="preserve">National Rifle Association. </w:t>
      </w:r>
      <w:r>
        <w:rPr>
          <w:i/>
        </w:rPr>
        <w:t xml:space="preserve">Interest Group Organization and Grassroots </w:t>
      </w:r>
    </w:p>
    <w:p w14:paraId="388FB012" w14:textId="77777777" w:rsidR="00B8604B" w:rsidRDefault="00000000">
      <w:pPr>
        <w:ind w:left="610"/>
      </w:pPr>
      <w:r>
        <w:rPr>
          <w:i/>
        </w:rPr>
        <w:t>Mobilization</w:t>
      </w:r>
      <w:r>
        <w:t>. Course handout. Duke University, POLSCI course materials. N.d.</w:t>
      </w:r>
    </w:p>
    <w:p w14:paraId="7B6281C5" w14:textId="77777777" w:rsidR="00B8604B" w:rsidRDefault="00000000">
      <w:pPr>
        <w:ind w:left="610" w:right="465"/>
      </w:pPr>
      <w:r>
        <w:t xml:space="preserve">Freeman, Samuel. “John Rawls.” </w:t>
      </w:r>
      <w:r>
        <w:rPr>
          <w:i/>
        </w:rPr>
        <w:t>Stanford Encyclopedia of Philosophy</w:t>
      </w:r>
      <w:r>
        <w:t>. Last modified September 25, 2018.</w:t>
      </w:r>
      <w:hyperlink r:id="rId10">
        <w:r>
          <w:t xml:space="preserve"> </w:t>
        </w:r>
      </w:hyperlink>
      <w:hyperlink r:id="rId11">
        <w:r>
          <w:rPr>
            <w:color w:val="1155CC"/>
            <w:u w:val="single" w:color="1155CC"/>
          </w:rPr>
          <w:t>https://plato.stanford.edu/entries/rawls/</w:t>
        </w:r>
      </w:hyperlink>
    </w:p>
    <w:p w14:paraId="0D195D9A" w14:textId="77777777" w:rsidR="00B8604B" w:rsidRDefault="00000000">
      <w:pPr>
        <w:ind w:left="610"/>
      </w:pPr>
      <w:r>
        <w:t xml:space="preserve">Mulhall, Stephen, and Adam Swift. “Communitarianism.” </w:t>
      </w:r>
      <w:r>
        <w:rPr>
          <w:i/>
        </w:rPr>
        <w:t>Stanford Encyclopedia of Philosophy</w:t>
      </w:r>
      <w:r>
        <w:t>. Last modified September 27, 2022.</w:t>
      </w:r>
      <w:hyperlink r:id="rId12">
        <w:r>
          <w:t xml:space="preserve"> </w:t>
        </w:r>
      </w:hyperlink>
      <w:hyperlink r:id="rId13">
        <w:r>
          <w:rPr>
            <w:color w:val="1155CC"/>
            <w:u w:val="single" w:color="1155CC"/>
          </w:rPr>
          <w:t>https://plato.stanford.edu/entries/communitarianism/</w:t>
        </w:r>
      </w:hyperlink>
    </w:p>
    <w:p w14:paraId="21289A50" w14:textId="77777777" w:rsidR="00B8604B" w:rsidRDefault="00000000">
      <w:pPr>
        <w:ind w:left="610"/>
      </w:pPr>
      <w:r>
        <w:t>.</w:t>
      </w:r>
    </w:p>
    <w:p w14:paraId="2DB4BFD6" w14:textId="77777777" w:rsidR="00B8604B" w:rsidRDefault="00B8604B">
      <w:pPr>
        <w:sectPr w:rsidR="00B8604B">
          <w:pgSz w:w="12240" w:h="15840"/>
          <w:pgMar w:top="1498" w:right="1450" w:bottom="1440" w:left="1440" w:header="720" w:footer="720" w:gutter="0"/>
          <w:cols w:space="720"/>
        </w:sectPr>
      </w:pPr>
    </w:p>
    <w:p w14:paraId="0A30473E" w14:textId="77777777" w:rsidR="00B8604B" w:rsidRDefault="00B8604B">
      <w:pPr>
        <w:spacing w:after="0" w:line="259" w:lineRule="auto"/>
        <w:ind w:left="0" w:firstLine="0"/>
      </w:pPr>
    </w:p>
    <w:sectPr w:rsidR="00B8604B">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12-15T19:10:00Z" w:initials="KM">
    <w:p w14:paraId="111BDCAA" w14:textId="77777777" w:rsidR="00AE2BB3" w:rsidRDefault="00AE2BB3" w:rsidP="00AE2BB3">
      <w:r>
        <w:rPr>
          <w:rStyle w:val="CommentReference"/>
        </w:rPr>
        <w:annotationRef/>
      </w:r>
      <w:r>
        <w:rPr>
          <w:sz w:val="20"/>
          <w:szCs w:val="20"/>
        </w:rPr>
        <w:t>interesting, not the frame I was expecting</w:t>
      </w:r>
    </w:p>
  </w:comment>
  <w:comment w:id="1" w:author="Kristina Mensik" w:date="2025-12-15T19:11:00Z" w:initials="KM">
    <w:p w14:paraId="568F9A42" w14:textId="77777777" w:rsidR="00AE2BB3" w:rsidRDefault="00AE2BB3" w:rsidP="00AE2BB3">
      <w:r>
        <w:rPr>
          <w:rStyle w:val="CommentReference"/>
        </w:rPr>
        <w:annotationRef/>
      </w:r>
      <w:r>
        <w:rPr>
          <w:sz w:val="20"/>
          <w:szCs w:val="20"/>
        </w:rPr>
        <w:t>my question is transmitting information to whom? assuming to policymakers</w:t>
      </w:r>
    </w:p>
  </w:comment>
  <w:comment w:id="2" w:author="Kristina Mensik" w:date="2025-12-15T19:22:00Z" w:initials="KM">
    <w:p w14:paraId="78BA926D" w14:textId="77777777" w:rsidR="00ED41F4" w:rsidRDefault="00ED41F4" w:rsidP="00ED41F4">
      <w:r>
        <w:rPr>
          <w:rStyle w:val="CommentReference"/>
        </w:rPr>
        <w:annotationRef/>
      </w:r>
      <w:r>
        <w:rPr>
          <w:sz w:val="20"/>
          <w:szCs w:val="20"/>
        </w:rPr>
        <w:t xml:space="preserve">Still interesting, but I think this is changing the unit of analysis from mass democratic collective action problems to group-level collective action problems. May be resolved later, but I'm not seeing how organized interests (who contribute within groups because/if benefits are concentrated and/or incentives exist) solve the problem of individual/citizens/voters' collective action problem. </w:t>
      </w:r>
    </w:p>
  </w:comment>
  <w:comment w:id="3" w:author="Kristina Mensik" w:date="2025-12-15T19:29:00Z" w:initials="KM">
    <w:p w14:paraId="3A5CA90C" w14:textId="77777777" w:rsidR="00ED41F4" w:rsidRDefault="00ED41F4" w:rsidP="00ED41F4">
      <w:r>
        <w:rPr>
          <w:rStyle w:val="CommentReference"/>
        </w:rPr>
        <w:annotationRef/>
      </w:r>
      <w:r>
        <w:rPr>
          <w:sz w:val="20"/>
          <w:szCs w:val="20"/>
        </w:rPr>
        <w:t xml:space="preserve">this may be coming up, but my sense is what is needed is a clear generalized statement along these lines. Interest groups/civic associations can help combat rational ignorance because they up some benefits, or reduce some costs, or operate as a 'foot-in-the-door' such that the tradeoffs of acquiring political information look different for someone with that foot in the door or in the club than outside of it. </w:t>
      </w:r>
    </w:p>
  </w:comment>
  <w:comment w:id="4" w:author="Kristina Mensik" w:date="2025-12-15T19:32:00Z" w:initials="KM">
    <w:p w14:paraId="1A6EA96A" w14:textId="77777777" w:rsidR="00561CAC" w:rsidRDefault="00561CAC" w:rsidP="00561CAC">
      <w:r>
        <w:rPr>
          <w:rStyle w:val="CommentReference"/>
        </w:rPr>
        <w:annotationRef/>
      </w:r>
      <w:r>
        <w:rPr>
          <w:sz w:val="20"/>
          <w:szCs w:val="20"/>
        </w:rPr>
        <w:t>this is also interesting stuff, but this feels a bit tangential and I think the key point about narrowing has been made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1BDCAA" w15:done="0"/>
  <w15:commentEx w15:paraId="568F9A42" w15:paraIdParent="111BDCAA" w15:done="0"/>
  <w15:commentEx w15:paraId="78BA926D" w15:done="0"/>
  <w15:commentEx w15:paraId="3A5CA90C" w15:done="0"/>
  <w15:commentEx w15:paraId="1A6EA9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4FD882" w16cex:dateUtc="2025-12-16T00:10:00Z"/>
  <w16cex:commentExtensible w16cex:durableId="5B10628F" w16cex:dateUtc="2025-12-16T00:11:00Z"/>
  <w16cex:commentExtensible w16cex:durableId="22ECDB66" w16cex:dateUtc="2025-12-16T00:22:00Z"/>
  <w16cex:commentExtensible w16cex:durableId="4C14B3B4" w16cex:dateUtc="2025-12-16T00:29:00Z"/>
  <w16cex:commentExtensible w16cex:durableId="552A789A" w16cex:dateUtc="2025-12-16T0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1BDCAA" w16cid:durableId="074FD882"/>
  <w16cid:commentId w16cid:paraId="568F9A42" w16cid:durableId="5B10628F"/>
  <w16cid:commentId w16cid:paraId="78BA926D" w16cid:durableId="22ECDB66"/>
  <w16cid:commentId w16cid:paraId="3A5CA90C" w16cid:durableId="4C14B3B4"/>
  <w16cid:commentId w16cid:paraId="1A6EA96A" w16cid:durableId="552A78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50413" w14:textId="77777777" w:rsidR="002D603D" w:rsidRDefault="002D603D">
      <w:pPr>
        <w:spacing w:after="0" w:line="240" w:lineRule="auto"/>
      </w:pPr>
      <w:r>
        <w:separator/>
      </w:r>
    </w:p>
  </w:endnote>
  <w:endnote w:type="continuationSeparator" w:id="0">
    <w:p w14:paraId="31F95D39" w14:textId="77777777" w:rsidR="002D603D" w:rsidRDefault="002D6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18264" w14:textId="77777777" w:rsidR="002D603D" w:rsidRDefault="002D603D">
      <w:pPr>
        <w:spacing w:after="15" w:line="260" w:lineRule="auto"/>
        <w:ind w:left="0" w:firstLine="0"/>
      </w:pPr>
      <w:r>
        <w:separator/>
      </w:r>
    </w:p>
  </w:footnote>
  <w:footnote w:type="continuationSeparator" w:id="0">
    <w:p w14:paraId="2C1D7F1F" w14:textId="77777777" w:rsidR="002D603D" w:rsidRDefault="002D603D">
      <w:pPr>
        <w:spacing w:after="15" w:line="260" w:lineRule="auto"/>
        <w:ind w:left="0" w:firstLine="0"/>
      </w:pPr>
      <w:r>
        <w:continuationSeparator/>
      </w:r>
    </w:p>
  </w:footnote>
  <w:footnote w:id="1">
    <w:p w14:paraId="5EED757F" w14:textId="77777777" w:rsidR="00B8604B" w:rsidRDefault="00000000">
      <w:pPr>
        <w:pStyle w:val="footnotedescription"/>
        <w:spacing w:after="15"/>
      </w:pPr>
      <w:r>
        <w:rPr>
          <w:rStyle w:val="footnotemark"/>
        </w:rPr>
        <w:footnoteRef/>
      </w:r>
      <w:r>
        <w:t xml:space="preserve"> </w:t>
      </w:r>
      <w:proofErr w:type="spellStart"/>
      <w:r>
        <w:t>Mancur</w:t>
      </w:r>
      <w:proofErr w:type="spellEnd"/>
      <w:r>
        <w:t xml:space="preserve"> Olson, </w:t>
      </w:r>
      <w:r>
        <w:rPr>
          <w:i/>
        </w:rPr>
        <w:t>The Logic of Collective Action: Public Goods and the Theory of Groups</w:t>
      </w:r>
      <w:r>
        <w:t xml:space="preserve"> (Cambridge, MA: Harvard University Press, 1965), 2.</w:t>
      </w:r>
    </w:p>
  </w:footnote>
  <w:footnote w:id="2">
    <w:p w14:paraId="56C173C2" w14:textId="77777777" w:rsidR="00B8604B" w:rsidRDefault="00000000">
      <w:pPr>
        <w:pStyle w:val="footnotedescription"/>
        <w:spacing w:line="270" w:lineRule="auto"/>
        <w:ind w:right="1562"/>
      </w:pPr>
      <w:r>
        <w:rPr>
          <w:rStyle w:val="footnotemark"/>
        </w:rPr>
        <w:footnoteRef/>
      </w:r>
      <w:r>
        <w:t xml:space="preserve"> Theda Skocpol, “The Narrowing of Civic Life,” </w:t>
      </w:r>
      <w:r>
        <w:rPr>
          <w:i/>
        </w:rPr>
        <w:t>The American Prospect</w:t>
      </w:r>
      <w:r>
        <w:t xml:space="preserve">, May 17, 2004. </w:t>
      </w:r>
      <w:r>
        <w:rPr>
          <w:rFonts w:ascii="Arial" w:eastAsia="Arial" w:hAnsi="Arial" w:cs="Arial"/>
          <w:vertAlign w:val="superscript"/>
        </w:rPr>
        <w:t>3</w:t>
      </w:r>
      <w:r>
        <w:t xml:space="preserve">Olson, 3. </w:t>
      </w:r>
    </w:p>
  </w:footnote>
  <w:footnote w:id="3">
    <w:p w14:paraId="5682C586" w14:textId="77777777" w:rsidR="00B8604B" w:rsidRDefault="00000000">
      <w:pPr>
        <w:pStyle w:val="footnotedescription"/>
        <w:spacing w:after="12"/>
      </w:pPr>
      <w:r>
        <w:rPr>
          <w:rStyle w:val="footnotemark"/>
        </w:rPr>
        <w:footnoteRef/>
      </w:r>
      <w:r>
        <w:t xml:space="preserve"> National Rifle Association, </w:t>
      </w:r>
      <w:r>
        <w:rPr>
          <w:i/>
        </w:rPr>
        <w:t>Interest Group Organization and Grassroots Mobilization</w:t>
      </w:r>
      <w:r>
        <w:t xml:space="preserve"> (course handout, Duke University, POLSCI course materials, n.d.).</w:t>
      </w:r>
    </w:p>
  </w:footnote>
  <w:footnote w:id="4">
    <w:p w14:paraId="71E07CAB" w14:textId="77777777" w:rsidR="00B8604B" w:rsidRDefault="00000000">
      <w:pPr>
        <w:pStyle w:val="footnotedescription"/>
        <w:spacing w:line="259" w:lineRule="auto"/>
      </w:pPr>
      <w:r>
        <w:rPr>
          <w:rStyle w:val="footnotemark"/>
        </w:rPr>
        <w:footnoteRef/>
      </w:r>
      <w:r>
        <w:t xml:space="preserve"> Hersh, Eitan. “Politics Is for Power, Not Consumption.” </w:t>
      </w:r>
      <w:r>
        <w:rPr>
          <w:i/>
        </w:rPr>
        <w:t>Boston Review</w:t>
      </w:r>
      <w:r>
        <w:t>, November 4, 2019.</w:t>
      </w:r>
    </w:p>
  </w:footnote>
  <w:footnote w:id="5">
    <w:p w14:paraId="4C1BA7E7" w14:textId="77777777" w:rsidR="00B8604B" w:rsidRDefault="00000000">
      <w:pPr>
        <w:pStyle w:val="footnotedescription"/>
        <w:spacing w:line="274" w:lineRule="auto"/>
        <w:ind w:right="307"/>
      </w:pPr>
      <w:r>
        <w:rPr>
          <w:rStyle w:val="footnotemark"/>
        </w:rPr>
        <w:footnoteRef/>
      </w:r>
      <w:r>
        <w:t xml:space="preserve"> Freeman, Samuel. “John Rawls.” </w:t>
      </w:r>
      <w:r>
        <w:rPr>
          <w:i/>
        </w:rPr>
        <w:t>Stanford Encyclopedia of Philosophy</w:t>
      </w:r>
      <w:r>
        <w:t>. Last modified September 25, 2018.</w:t>
      </w:r>
      <w:hyperlink r:id="rId1">
        <w:r>
          <w:t xml:space="preserve"> </w:t>
        </w:r>
      </w:hyperlink>
      <w:r>
        <w:rPr>
          <w:rFonts w:ascii="Arial" w:eastAsia="Arial" w:hAnsi="Arial" w:cs="Arial"/>
          <w:vertAlign w:val="superscript"/>
        </w:rPr>
        <w:t>7</w:t>
      </w:r>
      <w:r>
        <w:rPr>
          <w:rFonts w:ascii="Arial" w:eastAsia="Arial" w:hAnsi="Arial" w:cs="Arial"/>
        </w:rPr>
        <w:t xml:space="preserve"> </w:t>
      </w:r>
      <w:r>
        <w:t xml:space="preserve">Mulhall, Stephen, and Adam Swift. “Communitarianism.” </w:t>
      </w:r>
      <w:r>
        <w:rPr>
          <w:i/>
        </w:rPr>
        <w:t>Stanford Encyclopedia of Philosophy</w:t>
      </w:r>
      <w:r>
        <w:t>. Last modified September 27, 2022.</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04B"/>
    <w:rsid w:val="00074663"/>
    <w:rsid w:val="00075EBA"/>
    <w:rsid w:val="002D603D"/>
    <w:rsid w:val="003B5464"/>
    <w:rsid w:val="00561CAC"/>
    <w:rsid w:val="00AE2BB3"/>
    <w:rsid w:val="00B674ED"/>
    <w:rsid w:val="00B8604B"/>
    <w:rsid w:val="00ED4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2AF543"/>
  <w15:docId w15:val="{971A28D0-211B-E14E-8EE0-2C3C11FF3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7" w:line="268" w:lineRule="auto"/>
      <w:ind w:left="1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251" w:line="265"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customStyle="1" w:styleId="footnotedescription">
    <w:name w:val="footnote description"/>
    <w:next w:val="Normal"/>
    <w:link w:val="footnotedescriptionChar"/>
    <w:hidden/>
    <w:pPr>
      <w:spacing w:after="0" w:line="260"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footnotemark">
    <w:name w:val="footnote mark"/>
    <w:hidden/>
    <w:rPr>
      <w:rFonts w:ascii="Arial" w:eastAsia="Arial" w:hAnsi="Arial" w:cs="Arial"/>
      <w:color w:val="000000"/>
      <w:sz w:val="20"/>
      <w:vertAlign w:val="superscript"/>
    </w:rPr>
  </w:style>
  <w:style w:type="character" w:styleId="CommentReference">
    <w:name w:val="annotation reference"/>
    <w:basedOn w:val="DefaultParagraphFont"/>
    <w:uiPriority w:val="99"/>
    <w:semiHidden/>
    <w:unhideWhenUsed/>
    <w:rsid w:val="00AE2BB3"/>
    <w:rPr>
      <w:sz w:val="16"/>
      <w:szCs w:val="16"/>
    </w:rPr>
  </w:style>
  <w:style w:type="paragraph" w:styleId="CommentText">
    <w:name w:val="annotation text"/>
    <w:basedOn w:val="Normal"/>
    <w:link w:val="CommentTextChar"/>
    <w:uiPriority w:val="99"/>
    <w:semiHidden/>
    <w:unhideWhenUsed/>
    <w:rsid w:val="00AE2BB3"/>
    <w:pPr>
      <w:spacing w:line="240" w:lineRule="auto"/>
    </w:pPr>
    <w:rPr>
      <w:sz w:val="20"/>
      <w:szCs w:val="20"/>
    </w:rPr>
  </w:style>
  <w:style w:type="character" w:customStyle="1" w:styleId="CommentTextChar">
    <w:name w:val="Comment Text Char"/>
    <w:basedOn w:val="DefaultParagraphFont"/>
    <w:link w:val="CommentText"/>
    <w:uiPriority w:val="99"/>
    <w:semiHidden/>
    <w:rsid w:val="00AE2BB3"/>
    <w:rPr>
      <w:rFonts w:ascii="Times New Roman" w:eastAsia="Times New Roman" w:hAnsi="Times New Roman"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AE2BB3"/>
    <w:rPr>
      <w:b/>
      <w:bCs/>
    </w:rPr>
  </w:style>
  <w:style w:type="character" w:customStyle="1" w:styleId="CommentSubjectChar">
    <w:name w:val="Comment Subject Char"/>
    <w:basedOn w:val="CommentTextChar"/>
    <w:link w:val="CommentSubject"/>
    <w:uiPriority w:val="99"/>
    <w:semiHidden/>
    <w:rsid w:val="00AE2BB3"/>
    <w:rPr>
      <w:rFonts w:ascii="Times New Roman" w:eastAsia="Times New Roman" w:hAnsi="Times New Roman" w:cs="Times New Roman"/>
      <w:b/>
      <w:bCs/>
      <w:color w:val="000000"/>
      <w:sz w:val="20"/>
      <w:szCs w:val="20"/>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plato.stanford.edu/entries/communitarianism/" TargetMode="Externa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yperlink" Target="https://plato.stanford.edu/entries/communitarianis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plato.stanford.edu/entries/rawls/" TargetMode="External"/><Relationship Id="rId5" Type="http://schemas.openxmlformats.org/officeDocument/2006/relationships/endnotes" Target="endnotes.xml"/><Relationship Id="rId15" Type="http://schemas.microsoft.com/office/2011/relationships/people" Target="people.xml"/><Relationship Id="rId10" Type="http://schemas.openxmlformats.org/officeDocument/2006/relationships/hyperlink" Target="https://plato.stanford.edu/entries/rawls/" TargetMode="Externa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plato.stanford.edu/entries/raw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1274</Words>
  <Characters>8030</Characters>
  <Application>Microsoft Office Word</Application>
  <DocSecurity>0</DocSecurity>
  <Lines>114</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cp:lastModifiedBy>Kristina Mensik</cp:lastModifiedBy>
  <cp:revision>2</cp:revision>
  <dcterms:created xsi:type="dcterms:W3CDTF">2025-12-16T00:49:00Z</dcterms:created>
  <dcterms:modified xsi:type="dcterms:W3CDTF">2025-12-16T00:49:00Z</dcterms:modified>
</cp:coreProperties>
</file>