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1E8F7" w14:textId="77777777" w:rsidR="00B96E99" w:rsidRDefault="00000000">
      <w:pPr>
        <w:spacing w:before="200" w:after="100"/>
        <w:jc w:val="center"/>
      </w:pPr>
      <w:r>
        <w:rPr>
          <w:b/>
          <w:bCs/>
          <w:color w:val="1F3864"/>
          <w:sz w:val="32"/>
          <w:szCs w:val="32"/>
        </w:rPr>
        <w:t>Chapter 3: Working Outline and Design Sketch</w:t>
      </w:r>
    </w:p>
    <w:p w14:paraId="098303BE" w14:textId="77777777" w:rsidR="00B96E99" w:rsidRDefault="00000000">
      <w:pPr>
        <w:spacing w:after="60"/>
        <w:jc w:val="center"/>
      </w:pPr>
      <w:r>
        <w:rPr>
          <w:i/>
          <w:iCs/>
        </w:rPr>
        <w:t>Dissertation Prospectus Working Document</w:t>
      </w:r>
    </w:p>
    <w:p w14:paraId="02334E1B" w14:textId="77777777" w:rsidR="00B96E99" w:rsidRDefault="00000000">
      <w:pPr>
        <w:spacing w:after="240"/>
        <w:jc w:val="center"/>
      </w:pPr>
      <w:r>
        <w:t>For Advisor Discussion — Draft</w:t>
      </w:r>
    </w:p>
    <w:p w14:paraId="054814E0" w14:textId="77777777" w:rsidR="00B96E99" w:rsidRDefault="00B96E99">
      <w:pPr>
        <w:pBdr>
          <w:bottom w:val="single" w:sz="4" w:space="1" w:color="999999"/>
        </w:pBdr>
        <w:spacing w:before="200" w:after="200"/>
      </w:pPr>
    </w:p>
    <w:p w14:paraId="395593E8" w14:textId="77777777" w:rsidR="00B96E99" w:rsidRDefault="00000000">
      <w:pPr>
        <w:pStyle w:val="Heading1"/>
      </w:pPr>
      <w:r>
        <w:t>I. What Chapters 1 and 2 Establish</w:t>
      </w:r>
    </w:p>
    <w:p w14:paraId="2317F8CB" w14:textId="77777777" w:rsidR="00B96E99" w:rsidRDefault="00000000">
      <w:pPr>
        <w:spacing w:after="160" w:line="276" w:lineRule="auto"/>
      </w:pPr>
      <w:r>
        <w:t xml:space="preserve">This section briefly rehearses the empirical and theoretical scaffolding that Chapter 3 inherits. The purpose is to make legible why the questions Chapter 3 takes up are the </w:t>
      </w:r>
      <w:r>
        <w:rPr>
          <w:i/>
          <w:iCs/>
        </w:rPr>
        <w:t>right next questions</w:t>
      </w:r>
      <w:r>
        <w:t xml:space="preserve"> given the arc of the project.</w:t>
      </w:r>
    </w:p>
    <w:p w14:paraId="69B03F3D" w14:textId="77777777" w:rsidR="00B96E99" w:rsidRDefault="00000000">
      <w:pPr>
        <w:pStyle w:val="Heading2"/>
      </w:pPr>
      <w:r>
        <w:rPr>
          <w:sz w:val="24"/>
          <w:szCs w:val="24"/>
        </w:rPr>
        <w:t>Chapter 1: Carceral Constituencies as Political Actors</w:t>
      </w:r>
    </w:p>
    <w:p w14:paraId="2976E98B" w14:textId="77777777" w:rsidR="00B96E99" w:rsidRDefault="00000000">
      <w:pPr>
        <w:pStyle w:val="ListParagraph"/>
        <w:numPr>
          <w:ilvl w:val="0"/>
          <w:numId w:val="2"/>
        </w:numPr>
        <w:spacing w:after="100" w:line="276" w:lineRule="auto"/>
      </w:pPr>
      <w:r>
        <w:t xml:space="preserve">Establishes that carceral contact (direct incarceration, victimization, proximal contact) is associated with </w:t>
      </w:r>
      <w:r>
        <w:rPr>
          <w:b/>
          <w:bCs/>
        </w:rPr>
        <w:t>distinct policy preferences</w:t>
      </w:r>
      <w:r>
        <w:t xml:space="preserve"> — raising the question of when those preferences are substantively represented.</w:t>
      </w:r>
    </w:p>
    <w:p w14:paraId="51EA3FEE" w14:textId="77777777" w:rsidR="00B96E99" w:rsidRDefault="00000000">
      <w:pPr>
        <w:pStyle w:val="ListParagraph"/>
        <w:numPr>
          <w:ilvl w:val="0"/>
          <w:numId w:val="2"/>
        </w:numPr>
        <w:spacing w:after="100" w:line="276" w:lineRule="auto"/>
      </w:pPr>
      <w:r>
        <w:t xml:space="preserve">Establishes that </w:t>
      </w:r>
      <w:proofErr w:type="spellStart"/>
      <w:r>
        <w:t>carcerally</w:t>
      </w:r>
      <w:proofErr w:type="spellEnd"/>
      <w:r>
        <w:t xml:space="preserve">-impacted populations hold </w:t>
      </w:r>
      <w:r>
        <w:rPr>
          <w:b/>
          <w:bCs/>
        </w:rPr>
        <w:t>organized, coherent political orientations</w:t>
      </w:r>
      <w:r>
        <w:t xml:space="preserve"> — bundles of policy definitions and solutions that can be understood as reflecting </w:t>
      </w:r>
      <w:r>
        <w:rPr>
          <w:i/>
          <w:iCs/>
        </w:rPr>
        <w:t>dual knowledge</w:t>
      </w:r>
      <w:r>
        <w:t xml:space="preserve"> (Weaver, Piston, Prowse).</w:t>
      </w:r>
    </w:p>
    <w:p w14:paraId="22A35D69" w14:textId="77777777" w:rsidR="00B96E99" w:rsidRDefault="00000000">
      <w:pPr>
        <w:pStyle w:val="ListParagraph"/>
        <w:numPr>
          <w:ilvl w:val="0"/>
          <w:numId w:val="2"/>
        </w:numPr>
        <w:spacing w:after="100" w:line="276" w:lineRule="auto"/>
      </w:pPr>
      <w:r>
        <w:t xml:space="preserve">If coherent orientations exist, this raises three layered follow-on questions: (a) under what conditions are they </w:t>
      </w:r>
      <w:r>
        <w:rPr>
          <w:i/>
          <w:iCs/>
        </w:rPr>
        <w:t>substantively</w:t>
      </w:r>
      <w:r>
        <w:t xml:space="preserve"> represented; (b) under what conditions are they </w:t>
      </w:r>
      <w:proofErr w:type="gramStart"/>
      <w:r>
        <w:rPr>
          <w:i/>
          <w:iCs/>
        </w:rPr>
        <w:t>symbolically</w:t>
      </w:r>
      <w:r>
        <w:t xml:space="preserve"> represented</w:t>
      </w:r>
      <w:proofErr w:type="gramEnd"/>
      <w:r>
        <w:t xml:space="preserve">; and (c) under what conditions are </w:t>
      </w:r>
      <w:proofErr w:type="spellStart"/>
      <w:proofErr w:type="gramStart"/>
      <w:r>
        <w:t>carcerally</w:t>
      </w:r>
      <w:proofErr w:type="spellEnd"/>
      <w:r>
        <w:t>-impacted</w:t>
      </w:r>
      <w:proofErr w:type="gramEnd"/>
      <w:r>
        <w:t xml:space="preserve"> people </w:t>
      </w:r>
      <w:r>
        <w:rPr>
          <w:i/>
          <w:iCs/>
        </w:rPr>
        <w:t>recognized as a constituency</w:t>
      </w:r>
      <w:r>
        <w:t xml:space="preserve"> at all?</w:t>
      </w:r>
    </w:p>
    <w:p w14:paraId="704357B6" w14:textId="77777777" w:rsidR="00B96E99" w:rsidRDefault="00000000">
      <w:pPr>
        <w:pStyle w:val="ListParagraph"/>
        <w:numPr>
          <w:ilvl w:val="0"/>
          <w:numId w:val="2"/>
        </w:numPr>
        <w:spacing w:after="100" w:line="276" w:lineRule="auto"/>
      </w:pPr>
      <w:r>
        <w:t xml:space="preserve">Lays groundwork for the claim that exclusion of these orientations — due to identity prejudice and structural exclusion — can be mapped onto testimonial and hermeneutic injustice (Pottle; Fricker): this is part of </w:t>
      </w:r>
      <w:r>
        <w:rPr>
          <w:i/>
          <w:iCs/>
        </w:rPr>
        <w:t>why</w:t>
      </w:r>
      <w:r>
        <w:t xml:space="preserve"> being recognized as a constituent is a democratic stakes question, not just a procedural one.</w:t>
      </w:r>
    </w:p>
    <w:p w14:paraId="6288E7C3" w14:textId="77777777" w:rsidR="00B96E99" w:rsidRDefault="00B96E99">
      <w:pPr>
        <w:spacing w:after="80"/>
      </w:pPr>
    </w:p>
    <w:p w14:paraId="39300D6A" w14:textId="77777777" w:rsidR="00B96E99" w:rsidRDefault="00000000">
      <w:pPr>
        <w:pStyle w:val="Heading2"/>
      </w:pPr>
      <w:r>
        <w:rPr>
          <w:sz w:val="24"/>
          <w:szCs w:val="24"/>
        </w:rPr>
        <w:t>Chapter 2: Descriptive Representation and the Carceral State</w:t>
      </w:r>
    </w:p>
    <w:p w14:paraId="037F72BA" w14:textId="77777777" w:rsidR="00B96E99" w:rsidRDefault="00000000">
      <w:pPr>
        <w:pStyle w:val="ListParagraph"/>
        <w:numPr>
          <w:ilvl w:val="0"/>
          <w:numId w:val="2"/>
        </w:numPr>
        <w:spacing w:after="100" w:line="276" w:lineRule="auto"/>
      </w:pPr>
      <w:r>
        <w:t xml:space="preserve">Documents </w:t>
      </w:r>
      <w:r>
        <w:rPr>
          <w:b/>
          <w:bCs/>
        </w:rPr>
        <w:t>state policy variation</w:t>
      </w:r>
      <w:r>
        <w:t xml:space="preserve"> in eligibility for formerly convicted or incarcerated individuals to run for and hold elected office — establishing the de jure and de facto landscape of direct descriptive representation.</w:t>
      </w:r>
    </w:p>
    <w:p w14:paraId="4B610D88" w14:textId="77777777" w:rsidR="00B96E99" w:rsidRDefault="00000000">
      <w:pPr>
        <w:pStyle w:val="ListParagraph"/>
        <w:numPr>
          <w:ilvl w:val="0"/>
          <w:numId w:val="2"/>
        </w:numPr>
        <w:spacing w:after="100" w:line="276" w:lineRule="auto"/>
      </w:pPr>
      <w:r>
        <w:t xml:space="preserve">Demonstrates that carceral citizens are </w:t>
      </w:r>
      <w:r>
        <w:rPr>
          <w:b/>
          <w:bCs/>
        </w:rPr>
        <w:t>descriptively underrepresented</w:t>
      </w:r>
      <w:r>
        <w:t>: a records database of state legislators reveals very few with direct carceral contact.</w:t>
      </w:r>
    </w:p>
    <w:p w14:paraId="6550EA94" w14:textId="77777777" w:rsidR="00B96E99" w:rsidRDefault="00000000">
      <w:pPr>
        <w:pStyle w:val="ListParagraph"/>
        <w:numPr>
          <w:ilvl w:val="0"/>
          <w:numId w:val="2"/>
        </w:numPr>
        <w:spacing w:after="100" w:line="276" w:lineRule="auto"/>
      </w:pPr>
      <w:r>
        <w:rPr>
          <w:b/>
          <w:bCs/>
        </w:rPr>
        <w:t>Possible finding:</w:t>
      </w:r>
      <w:r>
        <w:t xml:space="preserve"> legislatures may be disproportionately represented by individuals with corrections/public safety backgrounds — a </w:t>
      </w:r>
      <w:r>
        <w:rPr>
          <w:i/>
          <w:iCs/>
        </w:rPr>
        <w:t>counter-carceral</w:t>
      </w:r>
      <w:r>
        <w:t xml:space="preserve"> professional profile with different experiential priors.</w:t>
      </w:r>
    </w:p>
    <w:p w14:paraId="6C44173D" w14:textId="77777777" w:rsidR="00B96E99" w:rsidRDefault="00000000">
      <w:pPr>
        <w:pStyle w:val="ListParagraph"/>
        <w:numPr>
          <w:ilvl w:val="0"/>
          <w:numId w:val="2"/>
        </w:numPr>
        <w:spacing w:after="100" w:line="276" w:lineRule="auto"/>
      </w:pPr>
      <w:r>
        <w:lastRenderedPageBreak/>
        <w:t xml:space="preserve">Direct descriptive representatives who </w:t>
      </w:r>
      <w:r>
        <w:rPr>
          <w:i/>
          <w:iCs/>
        </w:rPr>
        <w:t>publicly</w:t>
      </w:r>
      <w:r>
        <w:t xml:space="preserve"> identify their formerly incarcerated/convicted status reveal: (a) publicity may be important for symbolic/recognition functions of descriptive representation (consistent with Mansbridge's definition); (b) there may be more directly impacted representatives than the database captures — pointing toward data-gathering gaps.</w:t>
      </w:r>
    </w:p>
    <w:p w14:paraId="0B3C7972" w14:textId="77777777" w:rsidR="00B96E99" w:rsidRDefault="00000000">
      <w:pPr>
        <w:pStyle w:val="ListParagraph"/>
        <w:numPr>
          <w:ilvl w:val="0"/>
          <w:numId w:val="2"/>
        </w:numPr>
        <w:spacing w:after="100" w:line="276" w:lineRule="auto"/>
      </w:pPr>
      <w:r>
        <w:t>Proximally impacted representatives often share the knowledge orientations and political commitments that: (</w:t>
      </w:r>
      <w:proofErr w:type="spellStart"/>
      <w:r>
        <w:t>i</w:t>
      </w:r>
      <w:proofErr w:type="spellEnd"/>
      <w:r>
        <w:t>) enable substantive representation; (ii) allow for centering of symbolic representation; (iii) support recognition of carceral constituencies as constituencies.</w:t>
      </w:r>
    </w:p>
    <w:p w14:paraId="2A0BCEAD" w14:textId="77777777" w:rsidR="00B96E99" w:rsidRDefault="00B96E99">
      <w:pPr>
        <w:spacing w:after="80"/>
      </w:pPr>
    </w:p>
    <w:p w14:paraId="22048888" w14:textId="77777777" w:rsidR="00B96E99" w:rsidRDefault="00B96E99">
      <w:pPr>
        <w:pBdr>
          <w:bottom w:val="single" w:sz="4" w:space="1" w:color="999999"/>
        </w:pBdr>
        <w:spacing w:before="200" w:after="200"/>
      </w:pPr>
    </w:p>
    <w:p w14:paraId="22F6A066" w14:textId="77777777" w:rsidR="00B96E99" w:rsidRDefault="00000000">
      <w:pPr>
        <w:pStyle w:val="Heading1"/>
      </w:pPr>
      <w:r>
        <w:t>II. Questions Chapter 3 Inherits</w:t>
      </w:r>
    </w:p>
    <w:p w14:paraId="6A743E78" w14:textId="77777777" w:rsidR="00B96E99" w:rsidRDefault="00000000">
      <w:pPr>
        <w:spacing w:after="160" w:line="276" w:lineRule="auto"/>
      </w:pPr>
      <w:r>
        <w:t xml:space="preserve">Two clusters of questions follow directly from what Chapters 1 and 2 establish. These are not independent — they are connected by the logic of the project's tiered framework. They are presented separately here because they have different </w:t>
      </w:r>
      <w:r>
        <w:rPr>
          <w:i/>
          <w:iCs/>
        </w:rPr>
        <w:t>methodological implications</w:t>
      </w:r>
      <w:r>
        <w:t>, and because one option (Option C) addresses both while Option A primarily addresses the second.</w:t>
      </w:r>
    </w:p>
    <w:p w14:paraId="088D847F" w14:textId="77777777" w:rsidR="00B96E99" w:rsidRDefault="00000000">
      <w:pPr>
        <w:pStyle w:val="Heading2"/>
      </w:pPr>
      <w:r>
        <w:rPr>
          <w:sz w:val="24"/>
          <w:szCs w:val="24"/>
        </w:rPr>
        <w:t>Cluster A: Constitutive/Database Questions</w:t>
      </w:r>
    </w:p>
    <w:p w14:paraId="3820BC20" w14:textId="77777777" w:rsidR="00B96E99" w:rsidRDefault="00000000">
      <w:pPr>
        <w:spacing w:after="160" w:line="276" w:lineRule="auto"/>
      </w:pPr>
      <w:r>
        <w:rPr>
          <w:i/>
          <w:iCs/>
        </w:rPr>
        <w:t xml:space="preserve">These ask who the subjects of the study are and how to find them. They are constitutive questions: before we can study </w:t>
      </w:r>
      <w:proofErr w:type="gramStart"/>
      <w:r>
        <w:rPr>
          <w:i/>
          <w:iCs/>
        </w:rPr>
        <w:t>what</w:t>
      </w:r>
      <w:proofErr w:type="gramEnd"/>
      <w:r>
        <w:rPr>
          <w:i/>
          <w:iCs/>
        </w:rPr>
        <w:t xml:space="preserve"> descriptive representatives do, we need to know who counts as one and where they are.</w:t>
      </w:r>
    </w:p>
    <w:p w14:paraId="5ADDF61C" w14:textId="77777777" w:rsidR="00B96E99" w:rsidRDefault="00000000">
      <w:pPr>
        <w:pStyle w:val="ListParagraph"/>
        <w:numPr>
          <w:ilvl w:val="0"/>
          <w:numId w:val="2"/>
        </w:numPr>
        <w:spacing w:after="100" w:line="276" w:lineRule="auto"/>
      </w:pPr>
      <w:r>
        <w:t>How else can I build out the direct descriptive representatives database beyond the records approach in Chapter 2?</w:t>
      </w:r>
    </w:p>
    <w:p w14:paraId="10376BE3" w14:textId="77777777" w:rsidR="00B96E99" w:rsidRDefault="00000000">
      <w:pPr>
        <w:pStyle w:val="ListParagraph"/>
        <w:numPr>
          <w:ilvl w:val="0"/>
          <w:numId w:val="2"/>
        </w:numPr>
        <w:spacing w:after="100" w:line="276" w:lineRule="auto"/>
      </w:pPr>
      <w:r>
        <w:t>How can the database also account for proximally impacted representatives — and should proximal impact be operationalized differently than direct impact for the purposes of Chapter 3?</w:t>
      </w:r>
    </w:p>
    <w:p w14:paraId="3932A387" w14:textId="77777777" w:rsidR="00B96E99" w:rsidRDefault="00000000">
      <w:pPr>
        <w:pStyle w:val="ListParagraph"/>
        <w:numPr>
          <w:ilvl w:val="0"/>
          <w:numId w:val="2"/>
        </w:numPr>
        <w:spacing w:after="100" w:line="276" w:lineRule="auto"/>
      </w:pPr>
      <w:r>
        <w:t xml:space="preserve">Does doing </w:t>
      </w:r>
      <w:r>
        <w:rPr>
          <w:i/>
          <w:iCs/>
        </w:rPr>
        <w:t>criminal justice policy work</w:t>
      </w:r>
      <w:r>
        <w:t xml:space="preserve"> matter for inclusion in the study sample? (I.e., should the comparison be among all legislators or only CJ-active ones?)</w:t>
      </w:r>
    </w:p>
    <w:p w14:paraId="66B8577E" w14:textId="77777777" w:rsidR="00B96E99" w:rsidRDefault="00B96E99">
      <w:pPr>
        <w:spacing w:after="80"/>
      </w:pPr>
    </w:p>
    <w:p w14:paraId="49017ABA" w14:textId="77777777" w:rsidR="00B96E99" w:rsidRDefault="00000000">
      <w:pPr>
        <w:pStyle w:val="Heading2"/>
      </w:pPr>
      <w:r>
        <w:rPr>
          <w:sz w:val="24"/>
          <w:szCs w:val="24"/>
        </w:rPr>
        <w:t>Cluster B: Substantive/Behavioral Questions</w:t>
      </w:r>
    </w:p>
    <w:p w14:paraId="58CE185F" w14:textId="77777777" w:rsidR="00B96E99" w:rsidRDefault="00000000">
      <w:pPr>
        <w:spacing w:after="160" w:line="276" w:lineRule="auto"/>
      </w:pPr>
      <w:r>
        <w:rPr>
          <w:i/>
          <w:iCs/>
        </w:rPr>
        <w:t xml:space="preserve">These ask what descriptive representatives </w:t>
      </w:r>
      <w:proofErr w:type="gramStart"/>
      <w:r>
        <w:rPr>
          <w:i/>
          <w:iCs/>
        </w:rPr>
        <w:t>actually do</w:t>
      </w:r>
      <w:proofErr w:type="gramEnd"/>
      <w:r>
        <w:rPr>
          <w:i/>
          <w:iCs/>
        </w:rPr>
        <w:t xml:space="preserve"> differently — across the three tiers of representation the project has established.</w:t>
      </w:r>
    </w:p>
    <w:p w14:paraId="7589D671" w14:textId="77777777" w:rsidR="00B96E99" w:rsidRDefault="00000000">
      <w:pPr>
        <w:pStyle w:val="ListParagraph"/>
        <w:numPr>
          <w:ilvl w:val="0"/>
          <w:numId w:val="2"/>
        </w:numPr>
        <w:spacing w:after="100" w:line="276" w:lineRule="auto"/>
      </w:pPr>
      <w:r>
        <w:rPr>
          <w:b/>
          <w:bCs/>
        </w:rPr>
        <w:t>Substantive representation / policy responsiveness:</w:t>
      </w:r>
      <w:r>
        <w:t xml:space="preserve"> Does being a direct or proximal descriptive representative change criminal justice policy work? Relevant dimensions: </w:t>
      </w:r>
      <w:r>
        <w:lastRenderedPageBreak/>
        <w:t>qualitative location of policy substance on a spectrum (punitive → carceral-constituency-aligned); political capital expended.</w:t>
      </w:r>
    </w:p>
    <w:p w14:paraId="43F49666" w14:textId="77777777" w:rsidR="00B96E99" w:rsidRDefault="00000000">
      <w:pPr>
        <w:pStyle w:val="ListParagraph"/>
        <w:numPr>
          <w:ilvl w:val="0"/>
          <w:numId w:val="2"/>
        </w:numPr>
        <w:spacing w:after="100" w:line="276" w:lineRule="auto"/>
      </w:pPr>
      <w:r>
        <w:rPr>
          <w:b/>
          <w:bCs/>
        </w:rPr>
        <w:t>Symbolic representation:</w:t>
      </w:r>
      <w:r>
        <w:t xml:space="preserve"> Does being a descriptive representative change </w:t>
      </w:r>
      <w:r>
        <w:rPr>
          <w:i/>
          <w:iCs/>
        </w:rPr>
        <w:t>how</w:t>
      </w:r>
      <w:r>
        <w:t xml:space="preserve"> or </w:t>
      </w:r>
      <w:r>
        <w:rPr>
          <w:i/>
          <w:iCs/>
        </w:rPr>
        <w:t>whether</w:t>
      </w:r>
      <w:r>
        <w:t xml:space="preserve"> legislators invoke carceral citizens? How are problems and policies discussed? Does description change the register of symbolic recognition (absent → distancing → hollow → centering)?</w:t>
      </w:r>
    </w:p>
    <w:p w14:paraId="193AAFBB" w14:textId="77777777" w:rsidR="00B96E99" w:rsidRDefault="00000000">
      <w:pPr>
        <w:pStyle w:val="ListParagraph"/>
        <w:numPr>
          <w:ilvl w:val="0"/>
          <w:numId w:val="2"/>
        </w:numPr>
        <w:spacing w:after="100" w:line="276" w:lineRule="auto"/>
      </w:pPr>
      <w:r>
        <w:rPr>
          <w:b/>
          <w:bCs/>
        </w:rPr>
        <w:t>Recognition:</w:t>
      </w:r>
      <w:r>
        <w:t xml:space="preserve"> Does being a descriptive representative help explain when and where carceral citizens are treated as a constituency — as </w:t>
      </w:r>
      <w:r>
        <w:rPr>
          <w:i/>
          <w:iCs/>
        </w:rPr>
        <w:t>knowers</w:t>
      </w:r>
      <w:r>
        <w:t xml:space="preserve"> with legitimate political orientations? Related indicators: responsiveness to carceral constituencies (prison visits, subpoenaing BOP or state DOC, reading constituent letters into the record).</w:t>
      </w:r>
    </w:p>
    <w:p w14:paraId="7B746941" w14:textId="77777777" w:rsidR="00B96E99" w:rsidRDefault="00B96E99">
      <w:pPr>
        <w:spacing w:after="80"/>
      </w:pPr>
    </w:p>
    <w:p w14:paraId="3BF6D807" w14:textId="77777777" w:rsidR="00B96E99" w:rsidRDefault="00B96E99">
      <w:pPr>
        <w:pBdr>
          <w:bottom w:val="single" w:sz="4" w:space="1" w:color="999999"/>
        </w:pBdr>
        <w:spacing w:before="200" w:after="200"/>
      </w:pPr>
    </w:p>
    <w:p w14:paraId="07CA504D" w14:textId="77777777" w:rsidR="00B96E99" w:rsidRDefault="00000000">
      <w:pPr>
        <w:pStyle w:val="Heading1"/>
      </w:pPr>
      <w:r>
        <w:t>III. Matching Questions to Options: A vs. C</w:t>
      </w:r>
    </w:p>
    <w:p w14:paraId="77773F95" w14:textId="77777777" w:rsidR="00B96E99" w:rsidRDefault="00000000">
      <w:pPr>
        <w:spacing w:after="160" w:line="276" w:lineRule="auto"/>
      </w:pPr>
      <w:r>
        <w:t xml:space="preserve">The two clusters of questions map onto the qualitative options </w:t>
      </w:r>
      <w:r>
        <w:rPr>
          <w:i/>
          <w:iCs/>
        </w:rPr>
        <w:t>differently</w:t>
      </w:r>
      <w:r>
        <w:t>. This section makes that mapping explicit as preparation for the advisor conversation — the aim is to clarify what each option can and cannot do, not to foreclose a decision.</w:t>
      </w:r>
    </w:p>
    <w:p w14:paraId="34CF3E60" w14:textId="77777777" w:rsidR="00B96E99" w:rsidRDefault="00000000">
      <w:pPr>
        <w:pStyle w:val="Heading2"/>
      </w:pPr>
      <w:r>
        <w:rPr>
          <w:sz w:val="24"/>
          <w:szCs w:val="24"/>
        </w:rPr>
        <w:t>Option A (Interviews Only): Best Fit</w:t>
      </w:r>
    </w:p>
    <w:p w14:paraId="0D98BD79" w14:textId="77777777" w:rsidR="00B96E99" w:rsidRDefault="00000000">
      <w:pPr>
        <w:spacing w:after="160" w:line="276" w:lineRule="auto"/>
      </w:pPr>
      <w:r>
        <w:rPr>
          <w:b/>
          <w:bCs/>
        </w:rPr>
        <w:t>Primary fit:</w:t>
      </w:r>
      <w:r>
        <w:t xml:space="preserve"> Option A is </w:t>
      </w:r>
      <w:r>
        <w:rPr>
          <w:i/>
          <w:iCs/>
        </w:rPr>
        <w:t>directly</w:t>
      </w:r>
      <w:r>
        <w:t xml:space="preserve"> suited to Cluster B. In-depth elite interviews with legislators are the natural method for understanding </w:t>
      </w:r>
      <w:r>
        <w:rPr>
          <w:i/>
          <w:iCs/>
        </w:rPr>
        <w:t>process</w:t>
      </w:r>
      <w:r>
        <w:t xml:space="preserve"> — how experience shapes representational practice, how legislators conceptualize their obligations, how they navigate institutional incentives, and why symbolic/epistemic/recognition patterns emerge or fail to.</w:t>
      </w:r>
    </w:p>
    <w:p w14:paraId="37A98135" w14:textId="77777777" w:rsidR="00B96E99" w:rsidRDefault="00000000">
      <w:pPr>
        <w:pStyle w:val="ListParagraph"/>
        <w:numPr>
          <w:ilvl w:val="0"/>
          <w:numId w:val="2"/>
        </w:numPr>
        <w:spacing w:after="100" w:line="276" w:lineRule="auto"/>
      </w:pPr>
      <w:r>
        <w:rPr>
          <w:b/>
          <w:bCs/>
        </w:rPr>
        <w:t>Cluster B, Substantive representation:</w:t>
      </w:r>
      <w:r>
        <w:t xml:space="preserve"> Interviews can recover what CJ work </w:t>
      </w:r>
      <w:proofErr w:type="gramStart"/>
      <w:r>
        <w:t>actually looks</w:t>
      </w:r>
      <w:proofErr w:type="gramEnd"/>
      <w:r>
        <w:t xml:space="preserve"> like from the inside — how legislators prioritize, what trade-offs they face, how descriptive identity shapes their policy portfolio and framing.</w:t>
      </w:r>
    </w:p>
    <w:p w14:paraId="7CCE9535" w14:textId="77777777" w:rsidR="00B96E99" w:rsidRDefault="00000000">
      <w:pPr>
        <w:pStyle w:val="ListParagraph"/>
        <w:numPr>
          <w:ilvl w:val="0"/>
          <w:numId w:val="2"/>
        </w:numPr>
        <w:spacing w:after="100" w:line="276" w:lineRule="auto"/>
      </w:pPr>
      <w:r>
        <w:rPr>
          <w:b/>
          <w:bCs/>
        </w:rPr>
        <w:t>Cluster B, Symbolic:</w:t>
      </w:r>
      <w:r>
        <w:t xml:space="preserve"> Interviews capture </w:t>
      </w:r>
      <w:r>
        <w:rPr>
          <w:i/>
          <w:iCs/>
        </w:rPr>
        <w:t>why</w:t>
      </w:r>
      <w:r>
        <w:t xml:space="preserve"> legislators invoke carceral citizens in certain registers, and under what conditions they feel they can center or must distance — the mechanism behind the symbolic patterns.</w:t>
      </w:r>
    </w:p>
    <w:p w14:paraId="1C3F12FC" w14:textId="77777777" w:rsidR="00B96E99" w:rsidRDefault="00000000">
      <w:pPr>
        <w:pStyle w:val="ListParagraph"/>
        <w:numPr>
          <w:ilvl w:val="0"/>
          <w:numId w:val="2"/>
        </w:numPr>
        <w:spacing w:after="100" w:line="276" w:lineRule="auto"/>
      </w:pPr>
      <w:r>
        <w:rPr>
          <w:b/>
          <w:bCs/>
        </w:rPr>
        <w:t>Cluster B, Recognition/Epistemic:</w:t>
      </w:r>
      <w:r>
        <w:t xml:space="preserve"> Interviews are particularly well-suited to epistemic dimensions. The question of whether a legislator treats carceral citizens as </w:t>
      </w:r>
      <w:r>
        <w:rPr>
          <w:i/>
          <w:iCs/>
        </w:rPr>
        <w:t>knowers</w:t>
      </w:r>
      <w:r>
        <w:t xml:space="preserve"> is hard to capture through text analysis alone; it requires probing how they conceptualize constituent voice, legitimate political claims, and their own role as knowledge-brokers or bridges.</w:t>
      </w:r>
    </w:p>
    <w:p w14:paraId="3AC80345" w14:textId="77777777" w:rsidR="00B96E99" w:rsidRDefault="00B96E99">
      <w:pPr>
        <w:spacing w:after="80"/>
      </w:pPr>
    </w:p>
    <w:p w14:paraId="263250F9" w14:textId="77777777" w:rsidR="00B96E99" w:rsidRDefault="00000000">
      <w:pPr>
        <w:spacing w:after="160" w:line="276" w:lineRule="auto"/>
      </w:pPr>
      <w:r>
        <w:rPr>
          <w:b/>
          <w:bCs/>
        </w:rPr>
        <w:t>Indirect/incidental fit with Cluster A:</w:t>
      </w:r>
      <w:r>
        <w:t xml:space="preserve"> Snowball sampling inherently expands the database — participants name peers who are directly or proximally impacted. Recruitment through advocacy </w:t>
      </w:r>
      <w:r>
        <w:lastRenderedPageBreak/>
        <w:t>networks further surfaces who is out there. This grows the database, but as a byproduct, not a systematic mechanism.</w:t>
      </w:r>
    </w:p>
    <w:p w14:paraId="7359314D" w14:textId="77777777" w:rsidR="00B96E99" w:rsidRDefault="00B96E99">
      <w:pPr>
        <w:spacing w:after="80"/>
      </w:pPr>
    </w:p>
    <w:p w14:paraId="3FC556CD" w14:textId="77777777" w:rsidR="00B96E99" w:rsidRDefault="00000000">
      <w:pPr>
        <w:spacing w:after="160" w:line="276" w:lineRule="auto"/>
      </w:pPr>
      <w:r>
        <w:rPr>
          <w:b/>
          <w:bCs/>
        </w:rPr>
        <w:t>What Option A cannot do well:</w:t>
      </w:r>
      <w:r>
        <w:t xml:space="preserve"> Option A does not </w:t>
      </w:r>
      <w:r>
        <w:rPr>
          <w:i/>
          <w:iCs/>
        </w:rPr>
        <w:t>systematically</w:t>
      </w:r>
      <w:r>
        <w:t xml:space="preserve"> address the database gap from Cluster A. It cannot generate the breadth needed to assess whether descriptive representation </w:t>
      </w:r>
      <w:r>
        <w:rPr>
          <w:i/>
          <w:iCs/>
        </w:rPr>
        <w:t>causes</w:t>
      </w:r>
      <w:r>
        <w:t xml:space="preserve"> different outcomes at scale. It is strong on mechanism, weak on variance and generalizability.</w:t>
      </w:r>
    </w:p>
    <w:p w14:paraId="109FCBAB" w14:textId="77777777" w:rsidR="00B96E99" w:rsidRDefault="00B96E99">
      <w:pPr>
        <w:spacing w:after="80"/>
      </w:pPr>
    </w:p>
    <w:p w14:paraId="5D5526C0" w14:textId="77777777" w:rsidR="00B96E99" w:rsidRDefault="00000000">
      <w:pPr>
        <w:pStyle w:val="Heading2"/>
      </w:pPr>
      <w:r>
        <w:rPr>
          <w:sz w:val="24"/>
          <w:szCs w:val="24"/>
        </w:rPr>
        <w:t>Option C (Mix: Interviews + Conference Survey): Best Fit</w:t>
      </w:r>
    </w:p>
    <w:p w14:paraId="26BC8678" w14:textId="77777777" w:rsidR="00B96E99" w:rsidRDefault="00000000">
      <w:pPr>
        <w:spacing w:after="160" w:line="276" w:lineRule="auto"/>
      </w:pPr>
      <w:r>
        <w:rPr>
          <w:b/>
          <w:bCs/>
        </w:rPr>
        <w:t>Primary fit:</w:t>
      </w:r>
      <w:r>
        <w:t xml:space="preserve"> Option C addresses </w:t>
      </w:r>
      <w:r>
        <w:rPr>
          <w:i/>
          <w:iCs/>
        </w:rPr>
        <w:t>both</w:t>
      </w:r>
      <w:r>
        <w:t xml:space="preserve"> clusters. The conference survey component — particularly hand-administered at NCSL or a state legislative conference — is directly suited to Cluster A: it can identify who is directly and proximally impacted through self-report items, expanding the database across a broad legislator sample. The interview component handles Cluster B.</w:t>
      </w:r>
    </w:p>
    <w:p w14:paraId="297F6098" w14:textId="77777777" w:rsidR="00B96E99" w:rsidRDefault="00000000">
      <w:pPr>
        <w:pStyle w:val="ListParagraph"/>
        <w:numPr>
          <w:ilvl w:val="0"/>
          <w:numId w:val="2"/>
        </w:numPr>
        <w:spacing w:after="100" w:line="276" w:lineRule="auto"/>
      </w:pPr>
      <w:r>
        <w:rPr>
          <w:b/>
          <w:bCs/>
        </w:rPr>
        <w:t>Cluster A, Database expansion:</w:t>
      </w:r>
      <w:r>
        <w:t xml:space="preserve"> A brief self-report module in the conference survey (family CJ contact, personal CJ contact, professional CJ background) generates a systematic cross-state list of directly and proximally impacted legislators. This is the most direct method for addressing the database gap.</w:t>
      </w:r>
    </w:p>
    <w:p w14:paraId="16A96723" w14:textId="77777777" w:rsidR="00B96E99" w:rsidRDefault="00000000">
      <w:pPr>
        <w:pStyle w:val="ListParagraph"/>
        <w:numPr>
          <w:ilvl w:val="0"/>
          <w:numId w:val="2"/>
        </w:numPr>
        <w:spacing w:after="100" w:line="276" w:lineRule="auto"/>
      </w:pPr>
      <w:r>
        <w:rPr>
          <w:b/>
          <w:bCs/>
        </w:rPr>
        <w:t>Cluster A, Proximal impact operationalization:</w:t>
      </w:r>
      <w:r>
        <w:t xml:space="preserve"> The survey can test multiple operationalizations of proximal contact (incarcerated family member, formerly incarcerated family member, childhood community exposure, professional advocacy background) and examine which map onto shared orientation.</w:t>
      </w:r>
    </w:p>
    <w:p w14:paraId="7BE65ADD" w14:textId="77777777" w:rsidR="00B96E99" w:rsidRDefault="00000000">
      <w:pPr>
        <w:pStyle w:val="ListParagraph"/>
        <w:numPr>
          <w:ilvl w:val="0"/>
          <w:numId w:val="2"/>
        </w:numPr>
        <w:spacing w:after="100" w:line="276" w:lineRule="auto"/>
      </w:pPr>
      <w:r>
        <w:rPr>
          <w:b/>
          <w:bCs/>
        </w:rPr>
        <w:t>Cluster B, Breadth:</w:t>
      </w:r>
      <w:r>
        <w:t xml:space="preserve"> Survey items can operationalize some symbolic and epistemic dimensions as self-reported orientations — how legislators think about their representational obligations, whether they have visited a prison or jail, their policy priorities and framings. This gives a larger-N foundation that interviews can then explain.</w:t>
      </w:r>
    </w:p>
    <w:p w14:paraId="4F38D67B" w14:textId="77777777" w:rsidR="00B96E99" w:rsidRDefault="00000000">
      <w:pPr>
        <w:pStyle w:val="ListParagraph"/>
        <w:numPr>
          <w:ilvl w:val="0"/>
          <w:numId w:val="2"/>
        </w:numPr>
        <w:spacing w:after="100" w:line="276" w:lineRule="auto"/>
      </w:pPr>
      <w:r>
        <w:rPr>
          <w:b/>
          <w:bCs/>
        </w:rPr>
        <w:t>Cluster B, Depth:</w:t>
      </w:r>
      <w:r>
        <w:t xml:space="preserve"> The interview component performs the same function as Option A for Cluster B — process-tracing, mechanism, epistemic dimensions — but with the advantage of having the survey data to contextualize the interview sample.</w:t>
      </w:r>
    </w:p>
    <w:p w14:paraId="528912CF" w14:textId="77777777" w:rsidR="00B96E99" w:rsidRDefault="00B96E99">
      <w:pPr>
        <w:spacing w:after="80"/>
      </w:pPr>
    </w:p>
    <w:p w14:paraId="6FA37F24" w14:textId="77777777" w:rsidR="00B96E99" w:rsidRDefault="00000000">
      <w:pPr>
        <w:spacing w:after="160" w:line="276" w:lineRule="auto"/>
      </w:pPr>
      <w:r>
        <w:rPr>
          <w:b/>
          <w:bCs/>
        </w:rPr>
        <w:t>What Option C cannot do without costs:</w:t>
      </w:r>
      <w:r>
        <w:t xml:space="preserve"> Option C is more logistically complex. Conference access requires planning and relationship-building (NCSL, NCSL Criminal Justice Committee, or a targeted state). Survey design requires IRB, a clear sampling frame, and decisions about response format. The risk of the mixed design is that neither component is as developed as it would be if it were the primary method. This is a feasibility and scope question for the advisor conversation.</w:t>
      </w:r>
    </w:p>
    <w:p w14:paraId="6E517027" w14:textId="77777777" w:rsidR="00B96E99" w:rsidRDefault="00B96E99">
      <w:pPr>
        <w:spacing w:after="80"/>
      </w:pPr>
    </w:p>
    <w:p w14:paraId="45486D8C" w14:textId="77777777" w:rsidR="00B96E99" w:rsidRDefault="00B96E99">
      <w:pPr>
        <w:pBdr>
          <w:bottom w:val="single" w:sz="4" w:space="1" w:color="999999"/>
        </w:pBdr>
        <w:spacing w:before="200" w:after="200"/>
      </w:pPr>
    </w:p>
    <w:p w14:paraId="069F6490" w14:textId="77777777" w:rsidR="00B96E99" w:rsidRDefault="00000000">
      <w:pPr>
        <w:pStyle w:val="Heading1"/>
      </w:pPr>
      <w:r>
        <w:t>IV. Option A: Legislator Interviews — Developed Sketch</w:t>
      </w:r>
    </w:p>
    <w:p w14:paraId="2BE18D7A" w14:textId="77777777" w:rsidR="00B96E99" w:rsidRDefault="00000000">
      <w:pPr>
        <w:pStyle w:val="Heading2"/>
      </w:pPr>
      <w:r>
        <w:rPr>
          <w:sz w:val="24"/>
          <w:szCs w:val="24"/>
        </w:rPr>
        <w:t>Research Question</w:t>
      </w:r>
    </w:p>
    <w:p w14:paraId="06FD5EC2" w14:textId="77777777" w:rsidR="00B96E99" w:rsidRDefault="00000000">
      <w:pPr>
        <w:spacing w:after="160" w:line="276" w:lineRule="auto"/>
      </w:pPr>
      <w:r>
        <w:t xml:space="preserve">How does experiential proximity to the criminal legal system — through direct incarceration, family member incarceration, or proximal contact — shape how state legislators conceptualize carceral constituencies, enact or withhold symbolic recognition, and understand their representational obligations toward </w:t>
      </w:r>
      <w:proofErr w:type="spellStart"/>
      <w:r>
        <w:t>carcerally</w:t>
      </w:r>
      <w:proofErr w:type="spellEnd"/>
      <w:r>
        <w:t>-impacted people?</w:t>
      </w:r>
    </w:p>
    <w:p w14:paraId="4128FF5C" w14:textId="77777777" w:rsidR="00B96E99" w:rsidRDefault="00000000">
      <w:pPr>
        <w:spacing w:after="160" w:line="276" w:lineRule="auto"/>
      </w:pPr>
      <w:r>
        <w:rPr>
          <w:i/>
          <w:iCs/>
        </w:rPr>
        <w:t>Motivating logic:</w:t>
      </w:r>
      <w:r>
        <w:t xml:space="preserve"> Chapters 1 and 2 establish that carceral constituencies hold coherent political orientations and that descriptively representative legislators are rare. But they cannot tell us </w:t>
      </w:r>
      <w:r>
        <w:rPr>
          <w:i/>
          <w:iCs/>
        </w:rPr>
        <w:t>why</w:t>
      </w:r>
      <w:r>
        <w:t xml:space="preserve"> descriptive representatives do (or do not) do things differently — whether the mechanism is identity, shared knowledge, constituency pressure, institutional norms, or something else. Interviews address mechanism directly.</w:t>
      </w:r>
    </w:p>
    <w:p w14:paraId="5CD93FD1" w14:textId="77777777" w:rsidR="00B96E99" w:rsidRDefault="00000000">
      <w:pPr>
        <w:pStyle w:val="Heading2"/>
      </w:pPr>
      <w:r>
        <w:rPr>
          <w:sz w:val="24"/>
          <w:szCs w:val="24"/>
        </w:rPr>
        <w:t>Theoretical Stakes</w:t>
      </w:r>
    </w:p>
    <w:p w14:paraId="15721523" w14:textId="587D7859" w:rsidR="00B96E99" w:rsidRDefault="00000000">
      <w:pPr>
        <w:spacing w:after="160" w:line="276" w:lineRule="auto"/>
      </w:pPr>
      <w:r>
        <w:t xml:space="preserve">This design is a case study in a literature on </w:t>
      </w:r>
      <w:r>
        <w:rPr>
          <w:i/>
          <w:iCs/>
        </w:rPr>
        <w:t>what descriptive representatives do differently</w:t>
      </w:r>
      <w:r>
        <w:t xml:space="preserve">. The existing literature (Mansbridge 1999; Reingold 2000; Ban &amp; </w:t>
      </w:r>
      <w:proofErr w:type="spellStart"/>
      <w:r>
        <w:t>Kaslovsky</w:t>
      </w:r>
      <w:proofErr w:type="spellEnd"/>
      <w:r>
        <w:t xml:space="preserve"> 2025; Carnes &amp; Lupu 2023) establishes that descriptive representation shapes legislative attention and behavior for other groups</w:t>
      </w:r>
      <w:r w:rsidR="00B551A1">
        <w:t xml:space="preserve"> (who you are matters more than where you sit)</w:t>
      </w:r>
      <w:r>
        <w:t xml:space="preserve">. The question is whether a parallel dynamic holds for </w:t>
      </w:r>
      <w:proofErr w:type="spellStart"/>
      <w:r>
        <w:t>carcerally</w:t>
      </w:r>
      <w:proofErr w:type="spellEnd"/>
      <w:r>
        <w:t>-impacted legislators — and whether the mechanism is the shared experiential knowledge (</w:t>
      </w:r>
      <w:r>
        <w:rPr>
          <w:i/>
          <w:iCs/>
        </w:rPr>
        <w:t>dual knowledge</w:t>
      </w:r>
      <w:r>
        <w:t>; Weaver et al.) that Chapters 1 and 2 establish carceral constituencies carry.</w:t>
      </w:r>
    </w:p>
    <w:p w14:paraId="54A19BE2" w14:textId="77777777" w:rsidR="00B96E99" w:rsidRDefault="00000000">
      <w:pPr>
        <w:spacing w:after="160" w:line="276" w:lineRule="auto"/>
      </w:pPr>
      <w:r>
        <w:t xml:space="preserve">Secondarily, this is an inquiry into when legislators recognize carceral citizens as an </w:t>
      </w:r>
      <w:r>
        <w:rPr>
          <w:i/>
          <w:iCs/>
        </w:rPr>
        <w:t>epistemic</w:t>
      </w:r>
      <w:r>
        <w:t xml:space="preserve"> constituency — as knowers with legitimate political claims — versus treating them as objects of policy or objects of competing symbolic appeals. This maps directly onto the testimonial/hermeneutic injustice framework from Pottle.</w:t>
      </w:r>
    </w:p>
    <w:p w14:paraId="56E60178" w14:textId="77777777" w:rsidR="00B96E99" w:rsidRDefault="00000000">
      <w:pPr>
        <w:pStyle w:val="Heading2"/>
      </w:pPr>
      <w:r>
        <w:rPr>
          <w:sz w:val="24"/>
          <w:szCs w:val="24"/>
        </w:rPr>
        <w:t>Sample Design</w:t>
      </w:r>
    </w:p>
    <w:p w14:paraId="50D346AA" w14:textId="77777777" w:rsidR="00B96E99" w:rsidRDefault="00000000">
      <w:pPr>
        <w:spacing w:after="160" w:line="276" w:lineRule="auto"/>
      </w:pPr>
      <w:r>
        <w:t>The interview sample should be structured to enable meaningful comparison across levels of experiential proximity. The following comparison groups are proposed:</w:t>
      </w:r>
    </w:p>
    <w:p w14:paraId="544ABB14" w14:textId="77777777" w:rsidR="00B96E99" w:rsidRDefault="00000000">
      <w:pPr>
        <w:pStyle w:val="ListParagraph"/>
        <w:numPr>
          <w:ilvl w:val="0"/>
          <w:numId w:val="2"/>
        </w:numPr>
        <w:spacing w:after="100" w:line="276" w:lineRule="auto"/>
      </w:pPr>
      <w:r>
        <w:rPr>
          <w:b/>
          <w:bCs/>
        </w:rPr>
        <w:t>Directly impacted legislators</w:t>
      </w:r>
      <w:r>
        <w:t>: legislators with personal incarceration or conviction history. Drawn from the Chapter 2 database plus snowball. Primary theory-building group.</w:t>
      </w:r>
    </w:p>
    <w:p w14:paraId="51F7C781" w14:textId="77777777" w:rsidR="00B96E99" w:rsidRDefault="00000000">
      <w:pPr>
        <w:pStyle w:val="ListParagraph"/>
        <w:numPr>
          <w:ilvl w:val="0"/>
          <w:numId w:val="2"/>
        </w:numPr>
        <w:spacing w:after="100" w:line="276" w:lineRule="auto"/>
      </w:pPr>
      <w:r>
        <w:rPr>
          <w:b/>
          <w:bCs/>
        </w:rPr>
        <w:t>Proximally impacted legislators</w:t>
      </w:r>
      <w:r>
        <w:t>: legislators with incarcerated or formerly incarcerated family members; possibly those with community-level exposure (high-incarceration district + acknowledgment of community ties). Drawn from snowball + conference contacts + advocacy network referrals.</w:t>
      </w:r>
    </w:p>
    <w:p w14:paraId="29AD8684" w14:textId="77777777" w:rsidR="00B96E99" w:rsidRDefault="00000000">
      <w:pPr>
        <w:pStyle w:val="ListParagraph"/>
        <w:numPr>
          <w:ilvl w:val="0"/>
          <w:numId w:val="2"/>
        </w:numPr>
        <w:spacing w:after="100" w:line="276" w:lineRule="auto"/>
      </w:pPr>
      <w:r>
        <w:rPr>
          <w:b/>
          <w:bCs/>
        </w:rPr>
        <w:lastRenderedPageBreak/>
        <w:t>Unimpacted CJ-active legislators</w:t>
      </w:r>
      <w:r>
        <w:t>: legislators without carceral contact who actively work on criminal justice policy. Serve as a comparison group for substantive representation claims — do they do things differently? Are there other pathways to centering recognition (e.g., advocacy relationships, district characteristics)?</w:t>
      </w:r>
    </w:p>
    <w:p w14:paraId="010E49F4" w14:textId="77777777" w:rsidR="00B96E99" w:rsidRDefault="00000000">
      <w:pPr>
        <w:pStyle w:val="ListParagraph"/>
        <w:numPr>
          <w:ilvl w:val="0"/>
          <w:numId w:val="2"/>
        </w:numPr>
        <w:spacing w:after="100" w:line="276" w:lineRule="auto"/>
      </w:pPr>
      <w:r>
        <w:rPr>
          <w:b/>
          <w:bCs/>
        </w:rPr>
        <w:t>Corrections/public safety background legislators</w:t>
      </w:r>
      <w:r>
        <w:t xml:space="preserve">: legislators with professional backgrounds in law enforcement, prosecution, or corrections. This group surfaces the </w:t>
      </w:r>
      <w:r>
        <w:rPr>
          <w:i/>
          <w:iCs/>
        </w:rPr>
        <w:t>counter-carceral</w:t>
      </w:r>
      <w:r>
        <w:t xml:space="preserve"> professional experiential profile suggested by the possible Chapter 2 finding. Small N, but analytically important for </w:t>
      </w:r>
      <w:proofErr w:type="gramStart"/>
      <w:r>
        <w:t xml:space="preserve">the </w:t>
      </w:r>
      <w:r>
        <w:rPr>
          <w:i/>
          <w:iCs/>
        </w:rPr>
        <w:t>whose</w:t>
      </w:r>
      <w:proofErr w:type="gramEnd"/>
      <w:r>
        <w:rPr>
          <w:i/>
          <w:iCs/>
        </w:rPr>
        <w:t xml:space="preserve"> knowledge</w:t>
      </w:r>
      <w:r>
        <w:t xml:space="preserve"> question.</w:t>
      </w:r>
    </w:p>
    <w:p w14:paraId="1C37BA82" w14:textId="77777777" w:rsidR="00B96E99" w:rsidRDefault="00B96E99">
      <w:pPr>
        <w:spacing w:after="80"/>
      </w:pPr>
    </w:p>
    <w:p w14:paraId="20FACECB" w14:textId="77777777" w:rsidR="00B96E99" w:rsidRDefault="00000000">
      <w:pPr>
        <w:spacing w:after="160" w:line="276" w:lineRule="auto"/>
      </w:pPr>
      <w:r>
        <w:rPr>
          <w:b/>
          <w:bCs/>
        </w:rPr>
        <w:t>Sample size:</w:t>
      </w:r>
      <w:r>
        <w:t xml:space="preserve"> Exploratory, ~15–25 interviews total. Not designed for saturation in the traditional sense but for comparative-interpretive analysis across groups. Snowball from known contacts + advocacy network introductions + conference contacts.</w:t>
      </w:r>
    </w:p>
    <w:p w14:paraId="50DBFE40" w14:textId="77777777" w:rsidR="00B96E99" w:rsidRDefault="00000000">
      <w:pPr>
        <w:spacing w:after="160" w:line="276" w:lineRule="auto"/>
      </w:pPr>
      <w:r>
        <w:rPr>
          <w:b/>
          <w:bCs/>
        </w:rPr>
        <w:t>On the 'CJ policy work' question:</w:t>
      </w:r>
      <w:r>
        <w:t xml:space="preserve"> Whether to restrict the sample to CJ-active legislators depends on what the chapter's primary claim is. If the claim is about </w:t>
      </w:r>
      <w:r>
        <w:rPr>
          <w:i/>
          <w:iCs/>
        </w:rPr>
        <w:t>representation</w:t>
      </w:r>
      <w:r>
        <w:t xml:space="preserve"> (what descriptive representatives do in the CJ space), restricting to CJ-active makes sense. If the claim is about </w:t>
      </w:r>
      <w:r>
        <w:rPr>
          <w:i/>
          <w:iCs/>
        </w:rPr>
        <w:t>recognition</w:t>
      </w:r>
      <w:r>
        <w:t xml:space="preserve"> (whether carceral citizens are in the representational imaginary at all), a broader sample including non-CJ-active legislators could be informative — legislators who might symbolically recognize carceral citizens without formal CJ committee work.</w:t>
      </w:r>
    </w:p>
    <w:p w14:paraId="22B5BDCC" w14:textId="77777777" w:rsidR="00B96E99" w:rsidRDefault="00000000">
      <w:pPr>
        <w:pStyle w:val="Heading2"/>
      </w:pPr>
      <w:r>
        <w:rPr>
          <w:sz w:val="24"/>
          <w:szCs w:val="24"/>
        </w:rPr>
        <w:t>Interview Objectives and Protocol Sketch</w:t>
      </w:r>
    </w:p>
    <w:p w14:paraId="313F037E" w14:textId="77777777" w:rsidR="00B96E99" w:rsidRDefault="00000000">
      <w:pPr>
        <w:spacing w:after="160" w:line="276" w:lineRule="auto"/>
      </w:pPr>
      <w:r>
        <w:t>Interviews will be semi-structured, ~45–60 minutes. Core domains:</w:t>
      </w:r>
    </w:p>
    <w:p w14:paraId="5975BE15" w14:textId="77777777" w:rsidR="00B96E99" w:rsidRDefault="00000000">
      <w:pPr>
        <w:pStyle w:val="ListParagraph"/>
        <w:numPr>
          <w:ilvl w:val="0"/>
          <w:numId w:val="2"/>
        </w:numPr>
        <w:spacing w:after="100" w:line="276" w:lineRule="auto"/>
      </w:pPr>
      <w:r>
        <w:rPr>
          <w:b/>
          <w:bCs/>
        </w:rPr>
        <w:t>Constituency conceptualization:</w:t>
      </w:r>
      <w:r>
        <w:t xml:space="preserve"> Who does the legislator understand their constituents to be? How do carceral citizens fit within or outside that frame? Does the legislator distinguish between incarcerated, formerly incarcerated, and family members?</w:t>
      </w:r>
    </w:p>
    <w:p w14:paraId="150A0625" w14:textId="77777777" w:rsidR="00B96E99" w:rsidRDefault="00000000">
      <w:pPr>
        <w:pStyle w:val="ListParagraph"/>
        <w:numPr>
          <w:ilvl w:val="0"/>
          <w:numId w:val="2"/>
        </w:numPr>
        <w:spacing w:after="100" w:line="276" w:lineRule="auto"/>
      </w:pPr>
      <w:r>
        <w:rPr>
          <w:b/>
          <w:bCs/>
        </w:rPr>
        <w:t>Experience and political formation:</w:t>
      </w:r>
      <w:r>
        <w:t xml:space="preserve"> How did personal or family experience with the criminal legal system — if applicable — shape how the legislator came to see CJ policy? When did this become part of their political identity (if ever)?</w:t>
      </w:r>
    </w:p>
    <w:p w14:paraId="3C9A7D1A" w14:textId="77777777" w:rsidR="00B96E99" w:rsidRDefault="00000000">
      <w:pPr>
        <w:pStyle w:val="ListParagraph"/>
        <w:numPr>
          <w:ilvl w:val="0"/>
          <w:numId w:val="2"/>
        </w:numPr>
        <w:spacing w:after="100" w:line="276" w:lineRule="auto"/>
      </w:pPr>
      <w:r>
        <w:rPr>
          <w:b/>
          <w:bCs/>
        </w:rPr>
        <w:t>Representational obligation:</w:t>
      </w:r>
      <w:r>
        <w:t xml:space="preserve"> Does the legislator feel an obligation to represent carceral constituencies? On what basis? Descriptive? District? Moral? How do they navigate competing constituency pressures (corrections officers, victims' advocates, law enforcement)?</w:t>
      </w:r>
    </w:p>
    <w:p w14:paraId="0DBE291D" w14:textId="77777777" w:rsidR="00B96E99" w:rsidRDefault="00000000">
      <w:pPr>
        <w:pStyle w:val="ListParagraph"/>
        <w:numPr>
          <w:ilvl w:val="0"/>
          <w:numId w:val="2"/>
        </w:numPr>
        <w:spacing w:after="100" w:line="276" w:lineRule="auto"/>
      </w:pPr>
      <w:r>
        <w:rPr>
          <w:b/>
          <w:bCs/>
        </w:rPr>
        <w:t>Symbolic and epistemic practices:</w:t>
      </w:r>
      <w:r>
        <w:t xml:space="preserve"> How does the legislator talk </w:t>
      </w:r>
      <w:r>
        <w:rPr>
          <w:i/>
          <w:iCs/>
        </w:rPr>
        <w:t>about</w:t>
      </w:r>
      <w:r>
        <w:t xml:space="preserve"> </w:t>
      </w:r>
      <w:proofErr w:type="spellStart"/>
      <w:r>
        <w:t>carcerally</w:t>
      </w:r>
      <w:proofErr w:type="spellEnd"/>
      <w:r>
        <w:t>-impacted people — publicly, in committee, in communications? Have they visited a prison, read constituent letters into the record, met with incarcerated individuals? What motivated or prevented this?</w:t>
      </w:r>
    </w:p>
    <w:p w14:paraId="533BE8C5" w14:textId="77777777" w:rsidR="00B96E99" w:rsidRDefault="00000000">
      <w:pPr>
        <w:pStyle w:val="ListParagraph"/>
        <w:numPr>
          <w:ilvl w:val="0"/>
          <w:numId w:val="2"/>
        </w:numPr>
        <w:spacing w:after="100" w:line="276" w:lineRule="auto"/>
      </w:pPr>
      <w:r>
        <w:rPr>
          <w:b/>
          <w:bCs/>
        </w:rPr>
        <w:lastRenderedPageBreak/>
        <w:t>Knowledge and framing:</w:t>
      </w:r>
      <w:r>
        <w:t xml:space="preserve"> When legislating on CJ, where does the legislator get their information and framing? Does lived experience factor in? Do they actively seek out carceral constituency perspectives — and if so, how?</w:t>
      </w:r>
    </w:p>
    <w:p w14:paraId="3C5D9FFD" w14:textId="77777777" w:rsidR="00B96E99" w:rsidRDefault="00000000">
      <w:pPr>
        <w:pStyle w:val="ListParagraph"/>
        <w:numPr>
          <w:ilvl w:val="0"/>
          <w:numId w:val="2"/>
        </w:numPr>
        <w:spacing w:after="100" w:line="276" w:lineRule="auto"/>
      </w:pPr>
      <w:r>
        <w:rPr>
          <w:b/>
          <w:bCs/>
        </w:rPr>
        <w:t>Peers and norms:</w:t>
      </w:r>
      <w:r>
        <w:t xml:space="preserve"> How do they understand their peers' orientations toward carceral citizens? What are the institutional norms and incentives around CJ work in their chamber?</w:t>
      </w:r>
    </w:p>
    <w:p w14:paraId="6ECF7F41" w14:textId="77777777" w:rsidR="00B96E99" w:rsidRDefault="00000000">
      <w:pPr>
        <w:pStyle w:val="Heading2"/>
      </w:pPr>
      <w:r>
        <w:rPr>
          <w:sz w:val="24"/>
          <w:szCs w:val="24"/>
        </w:rPr>
        <w:t>What Option A Can Demonstrate</w:t>
      </w:r>
    </w:p>
    <w:p w14:paraId="2951D25B" w14:textId="77777777" w:rsidR="00B96E99" w:rsidRDefault="00000000">
      <w:pPr>
        <w:spacing w:after="160" w:line="276" w:lineRule="auto"/>
      </w:pPr>
      <w:r>
        <w:t xml:space="preserve">At its best, Option A produces a </w:t>
      </w:r>
      <w:r>
        <w:rPr>
          <w:i/>
          <w:iCs/>
        </w:rPr>
        <w:t>theory-building</w:t>
      </w:r>
      <w:r>
        <w:t xml:space="preserve"> study: it can generate or refine the mechanisms through which experiential proximity shapes symbolic recognition, epistemic inclusion, and responsiveness. It is most powerful as an explanation of </w:t>
      </w:r>
      <w:r>
        <w:rPr>
          <w:i/>
          <w:iCs/>
        </w:rPr>
        <w:t>why</w:t>
      </w:r>
      <w:r>
        <w:t xml:space="preserve"> patterns observed in Chapters 1 and 2 emerge — and as an account of the conditions under which carceral constituencies get recognized as legitimate political actors.</w:t>
      </w:r>
    </w:p>
    <w:p w14:paraId="42FFBC8F" w14:textId="77777777" w:rsidR="00B96E99" w:rsidRDefault="00000000">
      <w:pPr>
        <w:spacing w:after="160" w:line="276" w:lineRule="auto"/>
      </w:pPr>
      <w:r>
        <w:t xml:space="preserve">A key value-add for the dissertation: interviews with directly and proximally impacted legislators provide first-person accounts of </w:t>
      </w:r>
      <w:r>
        <w:rPr>
          <w:i/>
          <w:iCs/>
        </w:rPr>
        <w:t>dual knowledge</w:t>
      </w:r>
      <w:r>
        <w:t xml:space="preserve"> in legislative practice. This operationalizes the concept in a new venue and extends the project's claims from the constituency side (Ch. 1) to the representative side.</w:t>
      </w:r>
    </w:p>
    <w:p w14:paraId="67F18912" w14:textId="77777777" w:rsidR="00B96E99" w:rsidRDefault="00B96E99">
      <w:pPr>
        <w:spacing w:after="80"/>
      </w:pPr>
    </w:p>
    <w:p w14:paraId="3824708D" w14:textId="77777777" w:rsidR="00B96E99" w:rsidRDefault="00B96E99">
      <w:pPr>
        <w:pBdr>
          <w:bottom w:val="single" w:sz="4" w:space="1" w:color="999999"/>
        </w:pBdr>
        <w:spacing w:before="200" w:after="200"/>
      </w:pPr>
    </w:p>
    <w:p w14:paraId="68FE921C" w14:textId="77777777" w:rsidR="00B96E99" w:rsidRDefault="00000000">
      <w:pPr>
        <w:pStyle w:val="Heading1"/>
      </w:pPr>
      <w:r>
        <w:t>V. Option C: Mixed — Interviews + Conference Survey</w:t>
      </w:r>
    </w:p>
    <w:p w14:paraId="0938218E" w14:textId="77777777" w:rsidR="00B96E99" w:rsidRDefault="00000000">
      <w:pPr>
        <w:pStyle w:val="Heading2"/>
      </w:pPr>
      <w:r>
        <w:rPr>
          <w:sz w:val="24"/>
          <w:szCs w:val="24"/>
        </w:rPr>
        <w:t>Research Questions</w:t>
      </w:r>
    </w:p>
    <w:p w14:paraId="496BEED8" w14:textId="77777777" w:rsidR="00B96E99" w:rsidRDefault="00000000">
      <w:pPr>
        <w:spacing w:after="160" w:line="276" w:lineRule="auto"/>
      </w:pPr>
      <w:r>
        <w:t xml:space="preserve">Two related </w:t>
      </w:r>
      <w:proofErr w:type="gramStart"/>
      <w:r>
        <w:t>questions</w:t>
      </w:r>
      <w:proofErr w:type="gramEnd"/>
      <w:r>
        <w:t xml:space="preserve"> structure Option C. The first is constitutive: who are the directly and proximally descriptive representatives across state legislatures? The second is behavioral: how does experiential proximity shape representational practice?</w:t>
      </w:r>
    </w:p>
    <w:p w14:paraId="4CB6BF64" w14:textId="77777777" w:rsidR="00B96E99" w:rsidRDefault="00000000">
      <w:pPr>
        <w:spacing w:after="160" w:line="276" w:lineRule="auto"/>
      </w:pPr>
      <w:r>
        <w:rPr>
          <w:i/>
          <w:iCs/>
        </w:rPr>
        <w:t>Motivating logic for the mixed approach:</w:t>
      </w:r>
      <w:r>
        <w:t xml:space="preserve"> Option C takes seriously the Chapter 2 finding that the database is incomplete. Rather than treating this as a limitation, it builds database expansion into the research design. The conference survey efficiently collects self-reported contact across a wide legislator sample, generating both a broader database and a medium-N dataset that supports limited analysis of the Cluster B questions.</w:t>
      </w:r>
    </w:p>
    <w:p w14:paraId="19D940E3" w14:textId="77777777" w:rsidR="00B96E99" w:rsidRDefault="00000000">
      <w:pPr>
        <w:pStyle w:val="Heading2"/>
      </w:pPr>
      <w:r>
        <w:rPr>
          <w:sz w:val="24"/>
          <w:szCs w:val="24"/>
        </w:rPr>
        <w:t>Component 1: Conference Survey</w:t>
      </w:r>
    </w:p>
    <w:p w14:paraId="3E9B0AF9" w14:textId="77777777" w:rsidR="00B96E99" w:rsidRDefault="00000000">
      <w:pPr>
        <w:pStyle w:val="Heading3"/>
        <w:spacing w:before="200" w:after="100"/>
      </w:pPr>
      <w:r>
        <w:t>Design and Setting</w:t>
      </w:r>
    </w:p>
    <w:p w14:paraId="5D00C95F" w14:textId="77777777" w:rsidR="00B96E99" w:rsidRDefault="00000000">
      <w:pPr>
        <w:spacing w:after="160" w:line="276" w:lineRule="auto"/>
      </w:pPr>
      <w:r>
        <w:t>A brief (10–12 item), hand-administered survey at one or more legislative conferences — ideally NCSL's annual summit or the NCSL Criminal Justice Committee meeting. Conference settings are feasible and have precedent in elite survey research (see notes in project outlining document).</w:t>
      </w:r>
    </w:p>
    <w:p w14:paraId="023A3654" w14:textId="77777777" w:rsidR="00B96E99" w:rsidRDefault="00000000">
      <w:pPr>
        <w:spacing w:after="160" w:line="276" w:lineRule="auto"/>
      </w:pPr>
      <w:r>
        <w:lastRenderedPageBreak/>
        <w:t>A key strength of the conference setting: legislators who attend NCSL are disproportionately policy-active (committee chairs, senior members), and the criminal justice committee meeting specifically draws CJ-engaged legislators. This addresses the sample selection question — it reaches the legislator subpopulation most relevant to Chapter 3's claims.</w:t>
      </w:r>
    </w:p>
    <w:p w14:paraId="0E42EED0" w14:textId="77777777" w:rsidR="00B96E99" w:rsidRDefault="00000000">
      <w:pPr>
        <w:pStyle w:val="Heading3"/>
        <w:spacing w:before="200" w:after="100"/>
      </w:pPr>
      <w:r>
        <w:t>Core Survey Modules</w:t>
      </w:r>
    </w:p>
    <w:p w14:paraId="38D0612E" w14:textId="77777777" w:rsidR="00B96E99" w:rsidRDefault="00000000">
      <w:pPr>
        <w:pStyle w:val="ListParagraph"/>
        <w:numPr>
          <w:ilvl w:val="0"/>
          <w:numId w:val="2"/>
        </w:numPr>
        <w:spacing w:after="100" w:line="276" w:lineRule="auto"/>
      </w:pPr>
      <w:r>
        <w:rPr>
          <w:b/>
          <w:bCs/>
        </w:rPr>
        <w:t>Experiential proximity module (database expansion):</w:t>
      </w:r>
      <w:r>
        <w:t xml:space="preserve"> Items on personal CJ contact (ever arrested, charged, incarcerated), family member CJ contact (currently or formerly incarcerated family member), and community-level exposure (grew up in a high-incarceration neighborhood, worked in advocacy or public defense). This module directly addresses Cluster A — it identifies who is directly and proximally impacted in a systematic cross-state sample.</w:t>
      </w:r>
    </w:p>
    <w:p w14:paraId="2D2CF45C" w14:textId="77777777" w:rsidR="00B96E99" w:rsidRDefault="00000000">
      <w:pPr>
        <w:pStyle w:val="ListParagraph"/>
        <w:numPr>
          <w:ilvl w:val="0"/>
          <w:numId w:val="2"/>
        </w:numPr>
        <w:spacing w:after="100" w:line="276" w:lineRule="auto"/>
      </w:pPr>
      <w:r>
        <w:rPr>
          <w:b/>
          <w:bCs/>
        </w:rPr>
        <w:t>Constituency conceptualization module:</w:t>
      </w:r>
      <w:r>
        <w:t xml:space="preserve"> Items asking legislators to rate the importance of various constituency groups, whether they consider incarcerated or formerly incarcerated </w:t>
      </w:r>
      <w:proofErr w:type="gramStart"/>
      <w:r>
        <w:t>individuals</w:t>
      </w:r>
      <w:proofErr w:type="gramEnd"/>
      <w:r>
        <w:t xml:space="preserve"> constituents, and how much weight they give carceral constituency input in CJ policymaking. These map onto the </w:t>
      </w:r>
      <w:r>
        <w:rPr>
          <w:i/>
          <w:iCs/>
        </w:rPr>
        <w:t>recognition</w:t>
      </w:r>
      <w:r>
        <w:t xml:space="preserve"> tier of the project's framework.</w:t>
      </w:r>
    </w:p>
    <w:p w14:paraId="30A72E50" w14:textId="77777777" w:rsidR="00B96E99" w:rsidRDefault="00000000">
      <w:pPr>
        <w:pStyle w:val="ListParagraph"/>
        <w:numPr>
          <w:ilvl w:val="0"/>
          <w:numId w:val="2"/>
        </w:numPr>
        <w:spacing w:after="100" w:line="276" w:lineRule="auto"/>
      </w:pPr>
      <w:r>
        <w:rPr>
          <w:b/>
          <w:bCs/>
        </w:rPr>
        <w:t>Symbolic/epistemic practices module:</w:t>
      </w:r>
      <w:r>
        <w:t xml:space="preserve"> Items on legislator behavior: Have you visited a state prison or county jail in the last two years? Have you read constituent letters from incarcerated individuals? Have you hosted directly impacted people as witnesses in committee? Have you quoted or referenced the perspectives of incarcerated people in floor or committee speech? These operationalize the </w:t>
      </w:r>
      <w:r>
        <w:rPr>
          <w:i/>
          <w:iCs/>
        </w:rPr>
        <w:t>responsiveness</w:t>
      </w:r>
      <w:r>
        <w:t xml:space="preserve"> and epistemic dimensions from Table 1.</w:t>
      </w:r>
    </w:p>
    <w:p w14:paraId="18A87214" w14:textId="77777777" w:rsidR="00B96E99" w:rsidRDefault="00000000">
      <w:pPr>
        <w:pStyle w:val="ListParagraph"/>
        <w:numPr>
          <w:ilvl w:val="0"/>
          <w:numId w:val="2"/>
        </w:numPr>
        <w:spacing w:after="100" w:line="276" w:lineRule="auto"/>
      </w:pPr>
      <w:r>
        <w:rPr>
          <w:b/>
          <w:bCs/>
        </w:rPr>
        <w:t>Policy orientation module (brief):</w:t>
      </w:r>
      <w:r>
        <w:t xml:space="preserve"> A small set of items on CJ policy stance — support for or opposition to key carceral constituency priorities — to triangulate the Cluster B substantive representation question.</w:t>
      </w:r>
    </w:p>
    <w:p w14:paraId="112D39E4" w14:textId="77777777" w:rsidR="00B96E99" w:rsidRDefault="00000000">
      <w:pPr>
        <w:pStyle w:val="Heading3"/>
        <w:spacing w:before="200" w:after="100"/>
      </w:pPr>
      <w:r>
        <w:t>Analytic Value</w:t>
      </w:r>
    </w:p>
    <w:p w14:paraId="0F12A464" w14:textId="77777777" w:rsidR="00B96E99" w:rsidRDefault="00000000">
      <w:pPr>
        <w:spacing w:after="160" w:line="276" w:lineRule="auto"/>
      </w:pPr>
      <w:r>
        <w:t>The survey generates three things: (1) a broader list of directly and proximally impacted legislators (database expansion); (2) a medium-N dataset enabling preliminary analysis of whether experiential proximity predicts constituency recognition, symbolic practices, and policy orientation; (3) a sampling frame for the interview component.</w:t>
      </w:r>
    </w:p>
    <w:p w14:paraId="59394B85" w14:textId="77777777" w:rsidR="00B96E99" w:rsidRDefault="00B96E99">
      <w:pPr>
        <w:spacing w:after="80"/>
      </w:pPr>
    </w:p>
    <w:p w14:paraId="06131A31" w14:textId="77777777" w:rsidR="00B96E99" w:rsidRDefault="00000000">
      <w:pPr>
        <w:pStyle w:val="Heading2"/>
      </w:pPr>
      <w:r>
        <w:rPr>
          <w:sz w:val="24"/>
          <w:szCs w:val="24"/>
        </w:rPr>
        <w:t>Component 2: Interviews</w:t>
      </w:r>
    </w:p>
    <w:p w14:paraId="25E07A5B" w14:textId="77777777" w:rsidR="00B96E99" w:rsidRDefault="00000000">
      <w:pPr>
        <w:spacing w:after="160" w:line="276" w:lineRule="auto"/>
      </w:pPr>
      <w:r>
        <w:t xml:space="preserve">The interview component in Option C largely mirrors Option A in objectives and protocol — with one difference. In Option C, the interview sample can be </w:t>
      </w:r>
      <w:r>
        <w:rPr>
          <w:i/>
          <w:iCs/>
        </w:rPr>
        <w:t>purposively selected</w:t>
      </w:r>
      <w:r>
        <w:t xml:space="preserve"> from the conference survey respondents, enabling structured comparison between survey-identified impacted and non-impacted legislators. This strengthens the comparative design relative to snowball sampling alone.</w:t>
      </w:r>
    </w:p>
    <w:p w14:paraId="2FC2C383" w14:textId="77777777" w:rsidR="00B96E99" w:rsidRDefault="00000000">
      <w:pPr>
        <w:spacing w:after="160" w:line="276" w:lineRule="auto"/>
      </w:pPr>
      <w:r>
        <w:lastRenderedPageBreak/>
        <w:t xml:space="preserve">Specifically, interviews can follow up on: (a) survey respondents who report high experiential proximity but do </w:t>
      </w:r>
      <w:r>
        <w:rPr>
          <w:i/>
          <w:iCs/>
        </w:rPr>
        <w:t>not</w:t>
      </w:r>
      <w:r>
        <w:t xml:space="preserve"> show the expected patterns of symbolic/epistemic recognition — these are theoretically important cases; (b) survey respondents who show epistemic inclusion practices without personal experiential proximity — what are the alternative pathways?</w:t>
      </w:r>
    </w:p>
    <w:p w14:paraId="5DD332E2" w14:textId="77777777" w:rsidR="00B96E99" w:rsidRDefault="00000000">
      <w:pPr>
        <w:pStyle w:val="Heading2"/>
      </w:pPr>
      <w:r>
        <w:rPr>
          <w:sz w:val="24"/>
          <w:szCs w:val="24"/>
        </w:rPr>
        <w:t>What Option C Can Demonstrate</w:t>
      </w:r>
    </w:p>
    <w:p w14:paraId="0A53EE15" w14:textId="77777777" w:rsidR="00B96E99" w:rsidRDefault="00000000">
      <w:pPr>
        <w:spacing w:after="160" w:line="276" w:lineRule="auto"/>
      </w:pPr>
      <w:r>
        <w:t xml:space="preserve">Option C is more empirically ambitious than Option A. It can make both </w:t>
      </w:r>
      <w:r>
        <w:rPr>
          <w:i/>
          <w:iCs/>
        </w:rPr>
        <w:t>descriptive</w:t>
      </w:r>
      <w:r>
        <w:t xml:space="preserve"> contributions (who are the impacted legislators; how prevalent is each form of recognition) and </w:t>
      </w:r>
      <w:r>
        <w:rPr>
          <w:i/>
          <w:iCs/>
        </w:rPr>
        <w:t>explanatory</w:t>
      </w:r>
      <w:r>
        <w:t xml:space="preserve"> contributions (what is the mechanism connecting proximity to representation). The breadth/depth combination is the design logic of much of the best elite political research.</w:t>
      </w:r>
    </w:p>
    <w:p w14:paraId="50E15745" w14:textId="77777777" w:rsidR="00B96E99" w:rsidRDefault="00000000">
      <w:pPr>
        <w:spacing w:after="160" w:line="276" w:lineRule="auto"/>
      </w:pPr>
      <w:r>
        <w:t>The risk: Option C is harder to execute and requires more dissertation scope. The advisor conversation should clarify whether the dissertation needs to do both Cluster A and Cluster B work in Chapter 3, or whether Cluster A can be partially addressed in Chapter 2 (database) and Chapter 3 can go deeper on Cluster B via Option A.</w:t>
      </w:r>
    </w:p>
    <w:p w14:paraId="6FDDE262" w14:textId="77777777" w:rsidR="00B96E99" w:rsidRDefault="00B96E99">
      <w:pPr>
        <w:spacing w:after="80"/>
      </w:pPr>
    </w:p>
    <w:p w14:paraId="2E42AE28" w14:textId="77777777" w:rsidR="00B96E99" w:rsidRDefault="00B96E99">
      <w:pPr>
        <w:pBdr>
          <w:bottom w:val="single" w:sz="4" w:space="1" w:color="999999"/>
        </w:pBdr>
        <w:spacing w:before="200" w:after="200"/>
      </w:pPr>
    </w:p>
    <w:p w14:paraId="4F20053A" w14:textId="77777777" w:rsidR="00B96E99" w:rsidRDefault="00000000">
      <w:pPr>
        <w:pStyle w:val="Heading1"/>
      </w:pPr>
      <w:r>
        <w:t>VI. Decision Framework for Advisor Conversation</w:t>
      </w:r>
    </w:p>
    <w:p w14:paraId="1A7573F7" w14:textId="77777777" w:rsidR="00B96E99" w:rsidRDefault="00000000">
      <w:pPr>
        <w:spacing w:after="160" w:line="276" w:lineRule="auto"/>
      </w:pPr>
      <w:r>
        <w:t>The following questions are the most important to resolve with the advisor. They are framed as decision nodes rather than as settled choices.</w:t>
      </w:r>
    </w:p>
    <w:p w14:paraId="26EE81CE" w14:textId="77777777" w:rsidR="00B96E99" w:rsidRDefault="00000000">
      <w:pPr>
        <w:pStyle w:val="Heading2"/>
      </w:pPr>
      <w:r>
        <w:rPr>
          <w:sz w:val="24"/>
          <w:szCs w:val="24"/>
        </w:rPr>
        <w:t>Decision 1: Scope — Does Ch. 3 Need to Address Both Clusters?</w:t>
      </w:r>
    </w:p>
    <w:p w14:paraId="26F682B8" w14:textId="77777777" w:rsidR="00B96E99" w:rsidRDefault="00000000">
      <w:pPr>
        <w:spacing w:after="160" w:line="276" w:lineRule="auto"/>
      </w:pPr>
      <w:r>
        <w:t>If Chapter 2 can carry more of the database/constitutive work (e.g., through conference observations as part of fieldwork, or through an expanded records search), Chapter 3 can focus on Cluster B and go deeper with Option A. If the database gap is treated as a core empirical contribution of Chapter 3, Option C is the better design.</w:t>
      </w:r>
    </w:p>
    <w:p w14:paraId="5A01A03D" w14:textId="77777777" w:rsidR="00B96E99" w:rsidRDefault="00000000">
      <w:pPr>
        <w:spacing w:after="160" w:line="276" w:lineRule="auto"/>
      </w:pPr>
      <w:r>
        <w:rPr>
          <w:b/>
          <w:bCs/>
        </w:rPr>
        <w:t>Advisor question:</w:t>
      </w:r>
      <w:r>
        <w:t xml:space="preserve"> Is the database expansion a Chapter 3 contribution, or a Chapter 2 extension?</w:t>
      </w:r>
    </w:p>
    <w:p w14:paraId="0B6D245F" w14:textId="77777777" w:rsidR="00B96E99" w:rsidRDefault="00000000">
      <w:pPr>
        <w:pStyle w:val="Heading2"/>
      </w:pPr>
      <w:r>
        <w:rPr>
          <w:sz w:val="24"/>
          <w:szCs w:val="24"/>
        </w:rPr>
        <w:t>Decision 2: Primary Method — Theory-Building or Descriptive-Explanatory?</w:t>
      </w:r>
    </w:p>
    <w:p w14:paraId="75190CAD" w14:textId="77777777" w:rsidR="00B96E99" w:rsidRDefault="00000000">
      <w:pPr>
        <w:spacing w:after="160" w:line="276" w:lineRule="auto"/>
      </w:pPr>
      <w:r>
        <w:t xml:space="preserve">Option A is primarily theory-building: it explains mechanisms, builds interpretive categories, and enriches the coding scheme that might be used in a later text-analysis component. Option C is more </w:t>
      </w:r>
      <w:proofErr w:type="gramStart"/>
      <w:r>
        <w:t>descriptive-explanatory</w:t>
      </w:r>
      <w:proofErr w:type="gramEnd"/>
      <w:r>
        <w:t xml:space="preserve">: it produces both baseline descriptive findings </w:t>
      </w:r>
      <w:r>
        <w:rPr>
          <w:i/>
          <w:iCs/>
        </w:rPr>
        <w:t>and</w:t>
      </w:r>
      <w:r>
        <w:t xml:space="preserve"> mechanistic explanation. Which orientation fits better with the overall dissertation's contributions?</w:t>
      </w:r>
    </w:p>
    <w:p w14:paraId="5D084394" w14:textId="77777777" w:rsidR="00B96E99" w:rsidRDefault="00000000">
      <w:pPr>
        <w:spacing w:after="160" w:line="276" w:lineRule="auto"/>
      </w:pPr>
      <w:r>
        <w:rPr>
          <w:b/>
          <w:bCs/>
        </w:rPr>
        <w:t>Advisor question:</w:t>
      </w:r>
      <w:r>
        <w:t xml:space="preserve"> Should Chapter 3 produce primarily a mechanism/process story, or should it also contribute new descriptive findings about the landscape of </w:t>
      </w:r>
      <w:proofErr w:type="spellStart"/>
      <w:r>
        <w:t>carcerally</w:t>
      </w:r>
      <w:proofErr w:type="spellEnd"/>
      <w:r>
        <w:t>-impacted representation?</w:t>
      </w:r>
    </w:p>
    <w:p w14:paraId="211572D6" w14:textId="77777777" w:rsidR="00B96E99" w:rsidRDefault="00000000">
      <w:pPr>
        <w:pStyle w:val="Heading2"/>
      </w:pPr>
      <w:r>
        <w:rPr>
          <w:sz w:val="24"/>
          <w:szCs w:val="24"/>
        </w:rPr>
        <w:t>Decision 3: Feasibility — Conference Access and IRB Timeline</w:t>
      </w:r>
    </w:p>
    <w:p w14:paraId="4EE34F10" w14:textId="77777777" w:rsidR="00B96E99" w:rsidRDefault="00000000">
      <w:pPr>
        <w:spacing w:after="160" w:line="276" w:lineRule="auto"/>
      </w:pPr>
      <w:r>
        <w:lastRenderedPageBreak/>
        <w:t>Option C's conference survey component depends on conference access — likely NCSL, which holds its annual meeting in the summer. Timing relative to IRB approval and the prospectus defense is a real constraint. If Option C is the direction, the timeline needs to be mapped now.</w:t>
      </w:r>
    </w:p>
    <w:p w14:paraId="015CF20E" w14:textId="77777777" w:rsidR="00B96E99" w:rsidRDefault="00000000">
      <w:pPr>
        <w:spacing w:after="160" w:line="276" w:lineRule="auto"/>
      </w:pPr>
      <w:r>
        <w:t>Option A's interview component is more flexible — it can begin through existing contacts (advocacy networks, legislators Kristina already has relationships with) and expand through snowball. IRB for interviews is typically faster than survey instruments.</w:t>
      </w:r>
    </w:p>
    <w:p w14:paraId="65BEC35F" w14:textId="77777777" w:rsidR="00B96E99" w:rsidRDefault="00000000">
      <w:pPr>
        <w:spacing w:after="160" w:line="276" w:lineRule="auto"/>
      </w:pPr>
      <w:r>
        <w:rPr>
          <w:b/>
          <w:bCs/>
        </w:rPr>
        <w:t>Advisor question:</w:t>
      </w:r>
      <w:r>
        <w:t xml:space="preserve"> What is a realistic timeline for each option given the prospectus defense date and IRB requirements?</w:t>
      </w:r>
    </w:p>
    <w:p w14:paraId="625A0DDE" w14:textId="77777777" w:rsidR="00B96E99" w:rsidRDefault="00000000">
      <w:pPr>
        <w:pStyle w:val="Heading2"/>
      </w:pPr>
      <w:r>
        <w:rPr>
          <w:sz w:val="24"/>
          <w:szCs w:val="24"/>
        </w:rPr>
        <w:t>Decision 4: Comparison Groups — Does 'Doing CJ Work' Matter?</w:t>
      </w:r>
    </w:p>
    <w:p w14:paraId="33D2FAB4" w14:textId="77777777" w:rsidR="00B96E99" w:rsidRDefault="00000000">
      <w:pPr>
        <w:spacing w:after="160" w:line="276" w:lineRule="auto"/>
      </w:pPr>
      <w:r>
        <w:t xml:space="preserve">Both options require a decision about whether the sample is restricted to CJ-active legislators or draws more broadly. The argument for restriction: the study is about CJ representation, so including legislators who do no CJ work muddies the comparison. The argument </w:t>
      </w:r>
      <w:proofErr w:type="gramStart"/>
      <w:r>
        <w:t>against:</w:t>
      </w:r>
      <w:proofErr w:type="gramEnd"/>
      <w:r>
        <w:t xml:space="preserve"> restricting may pre-select on the outcome — legislators who do CJ work are more likely to recognize carceral constituencies, which is a sample selection problem for causal claims about descriptive representation.</w:t>
      </w:r>
    </w:p>
    <w:p w14:paraId="3FE8AB4D" w14:textId="77777777" w:rsidR="00B96E99" w:rsidRDefault="00000000">
      <w:pPr>
        <w:spacing w:after="160" w:line="276" w:lineRule="auto"/>
      </w:pPr>
      <w:r>
        <w:rPr>
          <w:b/>
          <w:bCs/>
        </w:rPr>
        <w:t>Advisor question:</w:t>
      </w:r>
      <w:r>
        <w:t xml:space="preserve"> Should the study compare across CJ-active legislators (a more focused comparison) or compare CJ-active and non-CJ-active impacted legislators (a broader test of whether descriptive representation translates into CJ attention at all)?</w:t>
      </w:r>
    </w:p>
    <w:p w14:paraId="5C006FA1" w14:textId="77777777" w:rsidR="00B96E99" w:rsidRDefault="00000000">
      <w:pPr>
        <w:pStyle w:val="Heading2"/>
      </w:pPr>
      <w:r>
        <w:rPr>
          <w:sz w:val="24"/>
          <w:szCs w:val="24"/>
        </w:rPr>
        <w:t>Decision 5: Relationship to the REM Pitch Design</w:t>
      </w:r>
    </w:p>
    <w:p w14:paraId="17C75858" w14:textId="77777777" w:rsidR="00B96E99" w:rsidRDefault="00000000">
      <w:pPr>
        <w:spacing w:after="160" w:line="276" w:lineRule="auto"/>
      </w:pPr>
      <w:r>
        <w:t xml:space="preserve">The overlong REM pitch frames interviews as </w:t>
      </w:r>
      <w:r>
        <w:rPr>
          <w:i/>
          <w:iCs/>
        </w:rPr>
        <w:t>supplementary</w:t>
      </w:r>
      <w:r>
        <w:t xml:space="preserve"> to a text-analysis component — exploratory and modest in scope (~7–10 participants). Chapter 3 of the dissertation could either: (a) expand the interview component to be </w:t>
      </w:r>
      <w:r>
        <w:rPr>
          <w:i/>
          <w:iCs/>
        </w:rPr>
        <w:t>primary</w:t>
      </w:r>
      <w:r>
        <w:t>, making it a standalone qualitative chapter; or (b) present interviews as developed alongside a text-analysis or survey component (Option C logic). The relationship between the REM pitch design and the dissertation chapter design is worth clarifying — the chapter can go deeper than what the fellowship year can accomplish.</w:t>
      </w:r>
    </w:p>
    <w:p w14:paraId="5594EE2D" w14:textId="77777777" w:rsidR="00B96E99" w:rsidRDefault="00000000">
      <w:pPr>
        <w:spacing w:after="160" w:line="276" w:lineRule="auto"/>
      </w:pPr>
      <w:r>
        <w:rPr>
          <w:b/>
          <w:bCs/>
        </w:rPr>
        <w:t>Advisor question:</w:t>
      </w:r>
      <w:r>
        <w:t xml:space="preserve"> How does the fellowship-year feasibility framing of the REM pitch relate to what Chapter 3 needs to demonstrate for the dissertation? Should the chapter's design be the </w:t>
      </w:r>
      <w:r>
        <w:rPr>
          <w:i/>
          <w:iCs/>
        </w:rPr>
        <w:t>full</w:t>
      </w:r>
      <w:r>
        <w:t xml:space="preserve"> vision, with the REM pitch representing a first-year installment?</w:t>
      </w:r>
    </w:p>
    <w:p w14:paraId="4D8215C1" w14:textId="77777777" w:rsidR="00B96E99" w:rsidRDefault="00B96E99">
      <w:pPr>
        <w:spacing w:after="80"/>
      </w:pPr>
    </w:p>
    <w:p w14:paraId="12896C0D" w14:textId="77777777" w:rsidR="00B96E99" w:rsidRDefault="00B96E99">
      <w:pPr>
        <w:pBdr>
          <w:bottom w:val="single" w:sz="4" w:space="1" w:color="999999"/>
        </w:pBdr>
        <w:spacing w:before="200" w:after="200"/>
      </w:pPr>
    </w:p>
    <w:p w14:paraId="3D02E785" w14:textId="77777777" w:rsidR="00B96E99" w:rsidRDefault="00000000">
      <w:pPr>
        <w:pStyle w:val="Heading1"/>
      </w:pPr>
      <w:r>
        <w:t>VII. Preliminary Comparison: Option A vs. Option C</w:t>
      </w:r>
    </w:p>
    <w:p w14:paraId="3378A705" w14:textId="77777777" w:rsidR="00B96E99" w:rsidRDefault="00000000">
      <w:pPr>
        <w:spacing w:after="160" w:line="276" w:lineRule="auto"/>
      </w:pPr>
      <w:r>
        <w:t>The following summary is a working reference for the advisor meeting.</w:t>
      </w:r>
    </w:p>
    <w:p w14:paraId="36AC2C28" w14:textId="77777777" w:rsidR="00B96E99" w:rsidRDefault="00B96E99">
      <w:pPr>
        <w:spacing w:after="80"/>
      </w:pPr>
    </w:p>
    <w:p w14:paraId="0626BCFF" w14:textId="77777777" w:rsidR="00B96E99" w:rsidRDefault="00000000">
      <w:pPr>
        <w:pBdr>
          <w:bottom w:val="single" w:sz="2" w:space="0" w:color="AAAAAA"/>
        </w:pBdr>
        <w:spacing w:after="80"/>
      </w:pPr>
      <w:r>
        <w:rPr>
          <w:b/>
          <w:bCs/>
        </w:rPr>
        <w:lastRenderedPageBreak/>
        <w:t>Criterion | Option A: Interviews Only | Option C: Interviews + Conference Survey</w:t>
      </w:r>
    </w:p>
    <w:p w14:paraId="172D3A89" w14:textId="77777777" w:rsidR="00B96E99" w:rsidRDefault="00000000">
      <w:pPr>
        <w:spacing w:after="100"/>
        <w:ind w:left="360"/>
      </w:pPr>
      <w:r>
        <w:rPr>
          <w:b/>
          <w:bCs/>
        </w:rPr>
        <w:t xml:space="preserve">Addresses Cluster A (database): </w:t>
      </w:r>
      <w:r>
        <w:rPr>
          <w:i/>
          <w:iCs/>
        </w:rPr>
        <w:t xml:space="preserve">A: </w:t>
      </w:r>
      <w:r>
        <w:t xml:space="preserve">Indirectly (snowball) | </w:t>
      </w:r>
      <w:r>
        <w:rPr>
          <w:i/>
          <w:iCs/>
        </w:rPr>
        <w:t xml:space="preserve">C: </w:t>
      </w:r>
      <w:r>
        <w:t>Directly (self-report survey module)</w:t>
      </w:r>
    </w:p>
    <w:p w14:paraId="3D2B6094" w14:textId="77777777" w:rsidR="00B96E99" w:rsidRDefault="00000000">
      <w:pPr>
        <w:spacing w:after="100"/>
        <w:ind w:left="360"/>
      </w:pPr>
      <w:r>
        <w:rPr>
          <w:b/>
          <w:bCs/>
        </w:rPr>
        <w:t xml:space="preserve">Addresses Cluster B (what they do differently): </w:t>
      </w:r>
      <w:r>
        <w:rPr>
          <w:i/>
          <w:iCs/>
        </w:rPr>
        <w:t xml:space="preserve">A: </w:t>
      </w:r>
      <w:r>
        <w:t xml:space="preserve">Primary strength | </w:t>
      </w:r>
      <w:r>
        <w:rPr>
          <w:i/>
          <w:iCs/>
        </w:rPr>
        <w:t xml:space="preserve">C: </w:t>
      </w:r>
      <w:r>
        <w:t>Primary strength</w:t>
      </w:r>
    </w:p>
    <w:p w14:paraId="4424DA31" w14:textId="77777777" w:rsidR="00B96E99" w:rsidRDefault="00000000">
      <w:pPr>
        <w:spacing w:after="100"/>
        <w:ind w:left="360"/>
      </w:pPr>
      <w:r>
        <w:rPr>
          <w:b/>
          <w:bCs/>
        </w:rPr>
        <w:t xml:space="preserve">Epistemic/mechanism depth: </w:t>
      </w:r>
      <w:r>
        <w:rPr>
          <w:i/>
          <w:iCs/>
        </w:rPr>
        <w:t xml:space="preserve">A: </w:t>
      </w:r>
      <w:r>
        <w:t xml:space="preserve">High | </w:t>
      </w:r>
      <w:r>
        <w:rPr>
          <w:i/>
          <w:iCs/>
        </w:rPr>
        <w:t xml:space="preserve">C: </w:t>
      </w:r>
      <w:r>
        <w:t>Moderate (supplemented by interviews)</w:t>
      </w:r>
    </w:p>
    <w:p w14:paraId="54D36E21" w14:textId="77777777" w:rsidR="00B96E99" w:rsidRDefault="00000000">
      <w:pPr>
        <w:spacing w:after="100"/>
        <w:ind w:left="360"/>
      </w:pPr>
      <w:r>
        <w:rPr>
          <w:b/>
          <w:bCs/>
        </w:rPr>
        <w:t xml:space="preserve">Breadth / N: </w:t>
      </w:r>
      <w:r>
        <w:rPr>
          <w:i/>
          <w:iCs/>
        </w:rPr>
        <w:t xml:space="preserve">A: </w:t>
      </w:r>
      <w:r>
        <w:t xml:space="preserve">Low (~15–25) | </w:t>
      </w:r>
      <w:r>
        <w:rPr>
          <w:i/>
          <w:iCs/>
        </w:rPr>
        <w:t xml:space="preserve">C: </w:t>
      </w:r>
      <w:r>
        <w:t>Moderate (survey) + Low (interviews)</w:t>
      </w:r>
    </w:p>
    <w:p w14:paraId="4E34CA25" w14:textId="77777777" w:rsidR="00B96E99" w:rsidRDefault="00000000">
      <w:pPr>
        <w:spacing w:after="100"/>
        <w:ind w:left="360"/>
      </w:pPr>
      <w:r>
        <w:rPr>
          <w:b/>
          <w:bCs/>
        </w:rPr>
        <w:t xml:space="preserve">Feasibility: </w:t>
      </w:r>
      <w:r>
        <w:rPr>
          <w:i/>
          <w:iCs/>
        </w:rPr>
        <w:t xml:space="preserve">A: </w:t>
      </w:r>
      <w:r>
        <w:t xml:space="preserve">Higher — start with existing contacts | </w:t>
      </w:r>
      <w:r>
        <w:rPr>
          <w:i/>
          <w:iCs/>
        </w:rPr>
        <w:t xml:space="preserve">C: </w:t>
      </w:r>
      <w:r>
        <w:t>Moderate — depends on conference access + IRB timeline</w:t>
      </w:r>
    </w:p>
    <w:p w14:paraId="5A3BC555" w14:textId="77777777" w:rsidR="00B96E99" w:rsidRDefault="00000000">
      <w:pPr>
        <w:spacing w:after="100"/>
        <w:ind w:left="360"/>
      </w:pPr>
      <w:r>
        <w:rPr>
          <w:b/>
          <w:bCs/>
        </w:rPr>
        <w:t xml:space="preserve">Dissertation scope: </w:t>
      </w:r>
      <w:r>
        <w:rPr>
          <w:i/>
          <w:iCs/>
        </w:rPr>
        <w:t xml:space="preserve">A: </w:t>
      </w:r>
      <w:r>
        <w:t xml:space="preserve">One method, deep | </w:t>
      </w:r>
      <w:r>
        <w:rPr>
          <w:i/>
          <w:iCs/>
        </w:rPr>
        <w:t xml:space="preserve">C: </w:t>
      </w:r>
      <w:r>
        <w:t>Two methods, integrated</w:t>
      </w:r>
    </w:p>
    <w:p w14:paraId="420E2A31" w14:textId="77777777" w:rsidR="00B96E99" w:rsidRDefault="00000000">
      <w:pPr>
        <w:spacing w:after="100"/>
        <w:ind w:left="360"/>
      </w:pPr>
      <w:r>
        <w:rPr>
          <w:b/>
          <w:bCs/>
        </w:rPr>
        <w:t xml:space="preserve">Best scholarly contribution: </w:t>
      </w:r>
      <w:r>
        <w:rPr>
          <w:i/>
          <w:iCs/>
        </w:rPr>
        <w:t xml:space="preserve">A: </w:t>
      </w:r>
      <w:r>
        <w:t xml:space="preserve">Theory-building, mechanism, process | </w:t>
      </w:r>
      <w:r>
        <w:rPr>
          <w:i/>
          <w:iCs/>
        </w:rPr>
        <w:t xml:space="preserve">C: </w:t>
      </w:r>
      <w:r>
        <w:t>Descriptive + explanatory; broader generalizability</w:t>
      </w:r>
    </w:p>
    <w:p w14:paraId="34756B40" w14:textId="77777777" w:rsidR="00B96E99" w:rsidRDefault="00B96E99">
      <w:pPr>
        <w:spacing w:after="80"/>
      </w:pPr>
    </w:p>
    <w:p w14:paraId="17A03ABD" w14:textId="77777777" w:rsidR="00B96E99" w:rsidRDefault="00B96E99">
      <w:pPr>
        <w:pBdr>
          <w:bottom w:val="single" w:sz="4" w:space="1" w:color="999999"/>
        </w:pBdr>
        <w:spacing w:before="200" w:after="200"/>
      </w:pPr>
    </w:p>
    <w:p w14:paraId="78FA18E2" w14:textId="77777777" w:rsidR="00B96E99" w:rsidRDefault="00000000">
      <w:pPr>
        <w:pStyle w:val="Heading1"/>
      </w:pPr>
      <w:r>
        <w:t>VIII. Remaining Open Questions</w:t>
      </w:r>
    </w:p>
    <w:p w14:paraId="2D998718" w14:textId="77777777" w:rsidR="00B96E99" w:rsidRDefault="00000000">
      <w:pPr>
        <w:spacing w:after="160" w:line="276" w:lineRule="auto"/>
      </w:pPr>
      <w:r>
        <w:t>These are questions that are not resolved by the current design sketch and will benefit from advisor input or further literature review.</w:t>
      </w:r>
    </w:p>
    <w:p w14:paraId="75E07A42" w14:textId="77777777" w:rsidR="00B96E99" w:rsidRDefault="00000000">
      <w:pPr>
        <w:pStyle w:val="ListParagraph"/>
        <w:numPr>
          <w:ilvl w:val="0"/>
          <w:numId w:val="2"/>
        </w:numPr>
        <w:spacing w:after="100" w:line="276" w:lineRule="auto"/>
      </w:pPr>
      <w:r>
        <w:t>Should the chapter include any quantitative/systematic component, or is it fully qualitative?</w:t>
      </w:r>
    </w:p>
    <w:p w14:paraId="3FBF2E50" w14:textId="77777777" w:rsidR="00B96E99" w:rsidRDefault="00000000">
      <w:pPr>
        <w:pStyle w:val="ListParagraph"/>
        <w:numPr>
          <w:ilvl w:val="0"/>
          <w:numId w:val="2"/>
        </w:numPr>
        <w:spacing w:after="100" w:line="276" w:lineRule="auto"/>
      </w:pPr>
      <w:r>
        <w:t xml:space="preserve">How do the </w:t>
      </w:r>
      <w:r>
        <w:rPr>
          <w:i/>
          <w:iCs/>
        </w:rPr>
        <w:t>corrections/public safety</w:t>
      </w:r>
      <w:r>
        <w:t xml:space="preserve"> background legislators function theoretically? Are they a control group, a counter-case, or a substantive finding in their own right?</w:t>
      </w:r>
    </w:p>
    <w:p w14:paraId="246081F7" w14:textId="77777777" w:rsidR="00B96E99" w:rsidRDefault="00000000">
      <w:pPr>
        <w:pStyle w:val="ListParagraph"/>
        <w:numPr>
          <w:ilvl w:val="0"/>
          <w:numId w:val="2"/>
        </w:numPr>
        <w:spacing w:after="100" w:line="276" w:lineRule="auto"/>
      </w:pPr>
      <w:r>
        <w:t xml:space="preserve">What is the best way to operationalize </w:t>
      </w:r>
      <w:r>
        <w:rPr>
          <w:i/>
          <w:iCs/>
        </w:rPr>
        <w:t>proximal impact</w:t>
      </w:r>
      <w:r>
        <w:t xml:space="preserve"> given that family member incarceration is a sensitive and often private matter? Self-report in a survey context raises response validity questions.</w:t>
      </w:r>
    </w:p>
    <w:p w14:paraId="25669E79" w14:textId="77777777" w:rsidR="00B96E99" w:rsidRDefault="00000000">
      <w:pPr>
        <w:pStyle w:val="ListParagraph"/>
        <w:numPr>
          <w:ilvl w:val="0"/>
          <w:numId w:val="2"/>
        </w:numPr>
        <w:spacing w:after="100" w:line="276" w:lineRule="auto"/>
      </w:pPr>
      <w:r>
        <w:t xml:space="preserve">Does the chapter need to test whether descriptive representation </w:t>
      </w:r>
      <w:r>
        <w:rPr>
          <w:i/>
          <w:iCs/>
        </w:rPr>
        <w:t>causes</w:t>
      </w:r>
      <w:r>
        <w:t xml:space="preserve"> different practices, or is it sufficient to document and explain the </w:t>
      </w:r>
      <w:r>
        <w:rPr>
          <w:i/>
          <w:iCs/>
        </w:rPr>
        <w:t>association</w:t>
      </w:r>
      <w:r>
        <w:t>? This has implications for design.</w:t>
      </w:r>
    </w:p>
    <w:p w14:paraId="6CDA5535" w14:textId="77777777" w:rsidR="00B96E99" w:rsidRDefault="00000000">
      <w:pPr>
        <w:pStyle w:val="ListParagraph"/>
        <w:numPr>
          <w:ilvl w:val="0"/>
          <w:numId w:val="2"/>
        </w:numPr>
        <w:spacing w:after="100" w:line="276" w:lineRule="auto"/>
      </w:pPr>
      <w:r>
        <w:t xml:space="preserve">What literature anchors the elite interview method here? (e.g., </w:t>
      </w:r>
      <w:proofErr w:type="spellStart"/>
      <w:r>
        <w:t>Fenno's</w:t>
      </w:r>
      <w:proofErr w:type="spellEnd"/>
      <w:r>
        <w:t xml:space="preserve"> home style methodology; Soss's interviewed welfare recipients as a model for impacted populations; Mansbridge on representatives as trustees)</w:t>
      </w:r>
    </w:p>
    <w:p w14:paraId="0F03B683" w14:textId="77777777" w:rsidR="00B96E99" w:rsidRDefault="00000000">
      <w:pPr>
        <w:pStyle w:val="ListParagraph"/>
        <w:numPr>
          <w:ilvl w:val="0"/>
          <w:numId w:val="2"/>
        </w:numPr>
        <w:spacing w:after="100" w:line="276" w:lineRule="auto"/>
      </w:pPr>
      <w:r>
        <w:t>Is there precedent in political science for the conference survey method that can help justify the sampling strategy?</w:t>
      </w:r>
    </w:p>
    <w:p w14:paraId="1C7D746B" w14:textId="77777777" w:rsidR="00B96E99" w:rsidRDefault="00000000">
      <w:pPr>
        <w:pStyle w:val="ListParagraph"/>
        <w:numPr>
          <w:ilvl w:val="0"/>
          <w:numId w:val="2"/>
        </w:numPr>
        <w:spacing w:after="100" w:line="276" w:lineRule="auto"/>
      </w:pPr>
      <w:r>
        <w:t xml:space="preserve">How does this chapter position itself relative to the REM pitch's text-analysis design — as a standalone chapter, or as the qualitative component that will </w:t>
      </w:r>
      <w:r>
        <w:rPr>
          <w:i/>
          <w:iCs/>
        </w:rPr>
        <w:t>eventually</w:t>
      </w:r>
      <w:r>
        <w:t xml:space="preserve"> be paired with text analysis in a later chapter or paper?</w:t>
      </w:r>
    </w:p>
    <w:p w14:paraId="13E7E286" w14:textId="77777777" w:rsidR="00B96E99" w:rsidRDefault="00B96E99">
      <w:pPr>
        <w:spacing w:after="80"/>
      </w:pPr>
    </w:p>
    <w:p w14:paraId="41E9E441" w14:textId="77777777" w:rsidR="00B96E99" w:rsidRDefault="00B96E99">
      <w:pPr>
        <w:pBdr>
          <w:bottom w:val="single" w:sz="4" w:space="1" w:color="999999"/>
        </w:pBdr>
        <w:spacing w:before="200" w:after="200"/>
      </w:pPr>
    </w:p>
    <w:p w14:paraId="44E66695" w14:textId="77777777" w:rsidR="00B96E99" w:rsidRDefault="00000000">
      <w:pPr>
        <w:spacing w:before="200"/>
        <w:jc w:val="center"/>
      </w:pPr>
      <w:r>
        <w:rPr>
          <w:i/>
          <w:iCs/>
        </w:rPr>
        <w:t>Working document — for advisor discussion only. Not for circulation.</w:t>
      </w:r>
    </w:p>
    <w:sectPr w:rsidR="00B96E9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B4943" w14:textId="77777777" w:rsidR="00B10EC5" w:rsidRDefault="00B10EC5">
      <w:r>
        <w:separator/>
      </w:r>
    </w:p>
  </w:endnote>
  <w:endnote w:type="continuationSeparator" w:id="0">
    <w:p w14:paraId="116B0C12" w14:textId="77777777" w:rsidR="00B10EC5" w:rsidRDefault="00B10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F073" w14:textId="77777777" w:rsidR="00B96E99" w:rsidRDefault="00000000">
    <w:pPr>
      <w:jc w:val="center"/>
    </w:pPr>
    <w:r>
      <w:rPr>
        <w:sz w:val="20"/>
        <w:szCs w:val="20"/>
      </w:rPr>
      <w:fldChar w:fldCharType="begin"/>
    </w:r>
    <w:r>
      <w:rPr>
        <w:sz w:val="20"/>
        <w:szCs w:val="20"/>
      </w:rPr>
      <w:instrText>PAGE</w:instrText>
    </w:r>
    <w:r>
      <w:rPr>
        <w:sz w:val="20"/>
        <w:szCs w:val="20"/>
      </w:rPr>
      <w:fldChar w:fldCharType="separate"/>
    </w:r>
    <w:r w:rsidR="00CE1FC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9E271" w14:textId="77777777" w:rsidR="00B10EC5" w:rsidRDefault="00B10EC5">
      <w:r>
        <w:separator/>
      </w:r>
    </w:p>
  </w:footnote>
  <w:footnote w:type="continuationSeparator" w:id="0">
    <w:p w14:paraId="5A94ACCD" w14:textId="77777777" w:rsidR="00B10EC5" w:rsidRDefault="00B10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D3CCE"/>
    <w:multiLevelType w:val="hybridMultilevel"/>
    <w:tmpl w:val="E4F8C4DE"/>
    <w:lvl w:ilvl="0" w:tplc="F54E7AAE">
      <w:start w:val="1"/>
      <w:numFmt w:val="bullet"/>
      <w:lvlText w:val="•"/>
      <w:lvlJc w:val="left"/>
      <w:pPr>
        <w:ind w:left="720" w:hanging="360"/>
      </w:pPr>
      <w:rPr>
        <w:rFonts w:ascii="Times New Roman" w:eastAsia="Times New Roman" w:hAnsi="Times New Roman" w:cs="Times New Roman"/>
      </w:rPr>
    </w:lvl>
    <w:lvl w:ilvl="1" w:tplc="DB8289F8">
      <w:start w:val="1"/>
      <w:numFmt w:val="bullet"/>
      <w:lvlText w:val="◦"/>
      <w:lvlJc w:val="left"/>
      <w:pPr>
        <w:ind w:left="1080" w:hanging="360"/>
      </w:pPr>
      <w:rPr>
        <w:rFonts w:ascii="Times New Roman" w:eastAsia="Times New Roman" w:hAnsi="Times New Roman" w:cs="Times New Roman"/>
      </w:rPr>
    </w:lvl>
    <w:lvl w:ilvl="2" w:tplc="8176F628">
      <w:numFmt w:val="decimal"/>
      <w:lvlText w:val=""/>
      <w:lvlJc w:val="left"/>
    </w:lvl>
    <w:lvl w:ilvl="3" w:tplc="2702E776">
      <w:numFmt w:val="decimal"/>
      <w:lvlText w:val=""/>
      <w:lvlJc w:val="left"/>
    </w:lvl>
    <w:lvl w:ilvl="4" w:tplc="403E1A5C">
      <w:numFmt w:val="decimal"/>
      <w:lvlText w:val=""/>
      <w:lvlJc w:val="left"/>
    </w:lvl>
    <w:lvl w:ilvl="5" w:tplc="A67EBD40">
      <w:numFmt w:val="decimal"/>
      <w:lvlText w:val=""/>
      <w:lvlJc w:val="left"/>
    </w:lvl>
    <w:lvl w:ilvl="6" w:tplc="EB42FB96">
      <w:numFmt w:val="decimal"/>
      <w:lvlText w:val=""/>
      <w:lvlJc w:val="left"/>
    </w:lvl>
    <w:lvl w:ilvl="7" w:tplc="66763272">
      <w:numFmt w:val="decimal"/>
      <w:lvlText w:val=""/>
      <w:lvlJc w:val="left"/>
    </w:lvl>
    <w:lvl w:ilvl="8" w:tplc="B5089AEE">
      <w:numFmt w:val="decimal"/>
      <w:lvlText w:val=""/>
      <w:lvlJc w:val="left"/>
    </w:lvl>
  </w:abstractNum>
  <w:abstractNum w:abstractNumId="1" w15:restartNumberingAfterBreak="0">
    <w:nsid w:val="54DA74AE"/>
    <w:multiLevelType w:val="hybridMultilevel"/>
    <w:tmpl w:val="FBE045EE"/>
    <w:lvl w:ilvl="0" w:tplc="15C816CC">
      <w:start w:val="1"/>
      <w:numFmt w:val="bullet"/>
      <w:lvlText w:val="●"/>
      <w:lvlJc w:val="left"/>
      <w:pPr>
        <w:ind w:left="720" w:hanging="360"/>
      </w:pPr>
    </w:lvl>
    <w:lvl w:ilvl="1" w:tplc="DD42C280">
      <w:start w:val="1"/>
      <w:numFmt w:val="bullet"/>
      <w:lvlText w:val="○"/>
      <w:lvlJc w:val="left"/>
      <w:pPr>
        <w:ind w:left="1440" w:hanging="360"/>
      </w:pPr>
    </w:lvl>
    <w:lvl w:ilvl="2" w:tplc="53FA23C0">
      <w:start w:val="1"/>
      <w:numFmt w:val="bullet"/>
      <w:lvlText w:val="■"/>
      <w:lvlJc w:val="left"/>
      <w:pPr>
        <w:ind w:left="2160" w:hanging="360"/>
      </w:pPr>
    </w:lvl>
    <w:lvl w:ilvl="3" w:tplc="FCC0162E">
      <w:start w:val="1"/>
      <w:numFmt w:val="bullet"/>
      <w:lvlText w:val="●"/>
      <w:lvlJc w:val="left"/>
      <w:pPr>
        <w:ind w:left="2880" w:hanging="360"/>
      </w:pPr>
    </w:lvl>
    <w:lvl w:ilvl="4" w:tplc="3CFA9EA2">
      <w:start w:val="1"/>
      <w:numFmt w:val="bullet"/>
      <w:lvlText w:val="○"/>
      <w:lvlJc w:val="left"/>
      <w:pPr>
        <w:ind w:left="3600" w:hanging="360"/>
      </w:pPr>
    </w:lvl>
    <w:lvl w:ilvl="5" w:tplc="39CE0F56">
      <w:start w:val="1"/>
      <w:numFmt w:val="bullet"/>
      <w:lvlText w:val="■"/>
      <w:lvlJc w:val="left"/>
      <w:pPr>
        <w:ind w:left="4320" w:hanging="360"/>
      </w:pPr>
    </w:lvl>
    <w:lvl w:ilvl="6" w:tplc="D248B582">
      <w:start w:val="1"/>
      <w:numFmt w:val="bullet"/>
      <w:lvlText w:val="●"/>
      <w:lvlJc w:val="left"/>
      <w:pPr>
        <w:ind w:left="5040" w:hanging="360"/>
      </w:pPr>
    </w:lvl>
    <w:lvl w:ilvl="7" w:tplc="EC4E17D4">
      <w:start w:val="1"/>
      <w:numFmt w:val="bullet"/>
      <w:lvlText w:val="●"/>
      <w:lvlJc w:val="left"/>
      <w:pPr>
        <w:ind w:left="5760" w:hanging="360"/>
      </w:pPr>
    </w:lvl>
    <w:lvl w:ilvl="8" w:tplc="69D81894">
      <w:start w:val="1"/>
      <w:numFmt w:val="bullet"/>
      <w:lvlText w:val="●"/>
      <w:lvlJc w:val="left"/>
      <w:pPr>
        <w:ind w:left="6480" w:hanging="360"/>
      </w:pPr>
    </w:lvl>
  </w:abstractNum>
  <w:num w:numId="1" w16cid:durableId="977764054">
    <w:abstractNumId w:val="1"/>
    <w:lvlOverride w:ilvl="0">
      <w:startOverride w:val="1"/>
    </w:lvlOverride>
  </w:num>
  <w:num w:numId="2" w16cid:durableId="10694950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E99"/>
    <w:rsid w:val="004078FF"/>
    <w:rsid w:val="0066058C"/>
    <w:rsid w:val="00780DF8"/>
    <w:rsid w:val="009646FE"/>
    <w:rsid w:val="00B10EC5"/>
    <w:rsid w:val="00B551A1"/>
    <w:rsid w:val="00B96E99"/>
    <w:rsid w:val="00CE1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014C7F"/>
  <w15:docId w15:val="{BF328500-BA23-064A-9E1D-EBDD99534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090"/>
      <w:sz w:val="26"/>
      <w:szCs w:val="26"/>
    </w:rPr>
  </w:style>
  <w:style w:type="paragraph" w:styleId="Heading3">
    <w:name w:val="heading 3"/>
    <w:uiPriority w:val="9"/>
    <w:unhideWhenUsed/>
    <w:qFormat/>
    <w:pPr>
      <w:spacing w:before="180" w:after="80"/>
      <w:outlineLvl w:val="2"/>
    </w:pPr>
    <w:rPr>
      <w:b/>
      <w:bCs/>
      <w:i/>
      <w:iCs/>
      <w:color w:val="2E509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3605</Words>
  <Characters>22442</Characters>
  <Application>Microsoft Office Word</Application>
  <DocSecurity>0</DocSecurity>
  <Lines>378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Kristina Mensik</cp:lastModifiedBy>
  <cp:revision>2</cp:revision>
  <dcterms:created xsi:type="dcterms:W3CDTF">2026-03-04T13:56:00Z</dcterms:created>
  <dcterms:modified xsi:type="dcterms:W3CDTF">2026-03-04T13:56:00Z</dcterms:modified>
</cp:coreProperties>
</file>