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CC4DB" w14:textId="77777777" w:rsidR="004E6DB9" w:rsidRDefault="004E6DB9" w:rsidP="004E6DB9">
      <w:pPr>
        <w:pStyle w:val="Heading1"/>
      </w:pPr>
      <w:bookmarkStart w:id="0" w:name="_Toc220591738"/>
      <w:r>
        <w:t xml:space="preserve">III. </w:t>
      </w:r>
      <w:r w:rsidRPr="001B48DC">
        <w:t>Test 1</w:t>
      </w:r>
      <w:r>
        <w:t>: Criminal Legal Policy Preferences</w:t>
      </w:r>
      <w:bookmarkEnd w:id="0"/>
    </w:p>
    <w:p w14:paraId="35F8D13D" w14:textId="77777777" w:rsidR="004E6DB9" w:rsidRPr="003356A4" w:rsidRDefault="004E6DB9" w:rsidP="004E6DB9">
      <w:pPr>
        <w:rPr>
          <w:b/>
          <w:bCs/>
        </w:rPr>
      </w:pPr>
      <w:r w:rsidRPr="003356A4">
        <w:rPr>
          <w:b/>
          <w:bCs/>
        </w:rPr>
        <w:t>Introduction</w:t>
      </w:r>
    </w:p>
    <w:p w14:paraId="257FD62C" w14:textId="77777777" w:rsidR="004E6DB9" w:rsidRDefault="004E6DB9" w:rsidP="004E6DB9">
      <w:pPr>
        <w:rPr>
          <w:sz w:val="23"/>
          <w:szCs w:val="23"/>
        </w:rPr>
      </w:pPr>
      <w:r>
        <w:rPr>
          <w:sz w:val="23"/>
          <w:szCs w:val="23"/>
        </w:rPr>
        <w:t>Direct contact with carceral policy in the United States is extensive.</w:t>
      </w:r>
      <w:r>
        <w:rPr>
          <w:rStyle w:val="EndnoteReference"/>
          <w:sz w:val="23"/>
          <w:szCs w:val="23"/>
        </w:rPr>
        <w:endnoteReference w:id="1"/>
      </w:r>
      <w:r>
        <w:rPr>
          <w:sz w:val="23"/>
          <w:szCs w:val="23"/>
        </w:rPr>
        <w:t xml:space="preserve"> </w:t>
      </w:r>
      <w:r w:rsidRPr="00DA2372">
        <w:rPr>
          <w:sz w:val="23"/>
          <w:szCs w:val="23"/>
        </w:rPr>
        <w:t>By year-end 2001, more than 5.6 million U.S. adults had served time in a state or federal prison (BOP 2003), and by 2010, an estimated 8 % had a felony conviction and 3 % had served or were serving prison time (Shannon et al 2017).</w:t>
      </w:r>
      <w:r>
        <w:rPr>
          <w:sz w:val="23"/>
          <w:szCs w:val="23"/>
        </w:rPr>
        <w:t xml:space="preserve"> </w:t>
      </w:r>
      <w:r w:rsidRPr="00DA2372">
        <w:rPr>
          <w:sz w:val="23"/>
          <w:szCs w:val="23"/>
        </w:rPr>
        <w:t>While systematized data on non-felony convictions remain, as Stenson and Mayson (2018) put it, "absurdly, embarrassingly" (p. 732) elusive, they estimate 13.2 million such cases are filed annually.</w:t>
      </w:r>
      <w:r>
        <w:rPr>
          <w:sz w:val="23"/>
          <w:szCs w:val="23"/>
        </w:rPr>
        <w:t xml:space="preserve"> </w:t>
      </w:r>
      <w:r w:rsidRPr="00DA2372">
        <w:rPr>
          <w:sz w:val="23"/>
          <w:szCs w:val="23"/>
        </w:rPr>
        <w:t xml:space="preserve">Many millions more experience </w:t>
      </w:r>
      <w:r>
        <w:rPr>
          <w:sz w:val="23"/>
          <w:szCs w:val="23"/>
        </w:rPr>
        <w:t>the carceral state</w:t>
      </w:r>
      <w:r w:rsidRPr="00DA2372">
        <w:rPr>
          <w:sz w:val="23"/>
          <w:szCs w:val="23"/>
        </w:rPr>
        <w:t xml:space="preserve"> indirectly – through proximal contact – as family, friends, or neighbors of those incarcerated – or through victimization, having been harmed by a crime prosecuted by the state. While </w:t>
      </w:r>
      <w:r>
        <w:rPr>
          <w:sz w:val="23"/>
          <w:szCs w:val="23"/>
        </w:rPr>
        <w:t>the legislators who make or maintain criminal legal policy governing these citizens often present the</w:t>
      </w:r>
      <w:r w:rsidRPr="00DA2372">
        <w:rPr>
          <w:sz w:val="23"/>
          <w:szCs w:val="23"/>
        </w:rPr>
        <w:t xml:space="preserve"> interests of these two groups as oppositional, we </w:t>
      </w:r>
      <w:proofErr w:type="gramStart"/>
      <w:r w:rsidRPr="00DA2372">
        <w:rPr>
          <w:sz w:val="23"/>
          <w:szCs w:val="23"/>
        </w:rPr>
        <w:t>actually know</w:t>
      </w:r>
      <w:proofErr w:type="gramEnd"/>
      <w:r w:rsidRPr="00DA2372">
        <w:rPr>
          <w:sz w:val="23"/>
          <w:szCs w:val="23"/>
        </w:rPr>
        <w:t xml:space="preserve"> very little about how such experiences shape how people think about criminal legal policy.</w:t>
      </w:r>
      <w:r>
        <w:rPr>
          <w:sz w:val="23"/>
          <w:szCs w:val="23"/>
        </w:rPr>
        <w:t xml:space="preserve"> Moreover, scholarship has pointed out that what we think we know about these communities’ political orientations more broadly is shaped by assumptions about political knowledge and competence that these scholars have begun to challenge (Weaver, Piston and Prowse 2019). (I’m still doing different things at once here)</w:t>
      </w:r>
    </w:p>
    <w:p w14:paraId="135AD9A8" w14:textId="7D1D225A" w:rsidR="009B3596" w:rsidRDefault="009B3596" w:rsidP="004E6DB9">
      <w:pPr>
        <w:rPr>
          <w:sz w:val="23"/>
          <w:szCs w:val="23"/>
        </w:rPr>
      </w:pPr>
      <w:r>
        <w:rPr>
          <w:sz w:val="23"/>
          <w:szCs w:val="23"/>
        </w:rPr>
        <w:t>[clear road map of what to expect in the document] [motivation theory] [hypothesis]</w:t>
      </w:r>
    </w:p>
    <w:p w14:paraId="344814A0" w14:textId="656FF6C5" w:rsidR="004E6DB9" w:rsidRPr="00DA2372" w:rsidRDefault="004E6DB9" w:rsidP="004E6DB9">
      <w:pPr>
        <w:rPr>
          <w:sz w:val="23"/>
          <w:szCs w:val="23"/>
        </w:rPr>
      </w:pPr>
      <w:r>
        <w:rPr>
          <w:sz w:val="23"/>
          <w:szCs w:val="23"/>
        </w:rPr>
        <w:t xml:space="preserve">This first chapter contains an analysis of original survey data of individuals impacted by the carceral state to examine whether and how different forms of carceral contact correspond with distinct criminal legal policy preferences and perceptions of incarcerated people. I argue that communities impacted by the carceral state – via direct contact or incarceration, proximal contact, and victimization – hold distinctive and coherent policy preferences that differ systematically from non-impacted populations. Moreover, these patterns suggest not only that the preferences of those who are not directly impacted by criminal legal policy diverge from the preferences those who shoulder its burdens, but that they point to distinct political orientations grounded in experiential knowledge of the system, raising questions about the epistemic foundations of representation, and with implications for how we understand the representational relationship between legislators and carceral constituents – questions that subsequent chapters will take up directly. </w:t>
      </w:r>
    </w:p>
    <w:p w14:paraId="4C4C1245" w14:textId="77777777" w:rsidR="004E6DB9" w:rsidRDefault="004E6DB9" w:rsidP="004E6DB9">
      <w:pPr>
        <w:rPr>
          <w:sz w:val="23"/>
          <w:szCs w:val="23"/>
        </w:rPr>
      </w:pPr>
      <w:r>
        <w:rPr>
          <w:b/>
          <w:bCs/>
          <w:sz w:val="23"/>
          <w:szCs w:val="23"/>
        </w:rPr>
        <w:t>Representation, Knowledge, &amp; the Carceral State</w:t>
      </w:r>
    </w:p>
    <w:p w14:paraId="1D65BA3C" w14:textId="77777777" w:rsidR="004E6DB9" w:rsidRDefault="004E6DB9" w:rsidP="004E6DB9">
      <w:pPr>
        <w:rPr>
          <w:i/>
          <w:iCs/>
          <w:sz w:val="23"/>
          <w:szCs w:val="23"/>
        </w:rPr>
      </w:pPr>
      <w:r w:rsidRPr="00DA2372">
        <w:rPr>
          <w:sz w:val="23"/>
          <w:szCs w:val="23"/>
        </w:rPr>
        <w:t xml:space="preserve"> </w:t>
      </w:r>
      <w:r w:rsidRPr="003356A4">
        <w:rPr>
          <w:i/>
          <w:iCs/>
          <w:sz w:val="23"/>
          <w:szCs w:val="23"/>
        </w:rPr>
        <w:t>The Epistemic Requirements of Responsiveness</w:t>
      </w:r>
    </w:p>
    <w:p w14:paraId="62A6491D" w14:textId="77777777" w:rsidR="004E6DB9" w:rsidRDefault="004E6DB9" w:rsidP="004E6DB9">
      <w:pPr>
        <w:rPr>
          <w:sz w:val="23"/>
          <w:szCs w:val="23"/>
        </w:rPr>
      </w:pPr>
      <w:r>
        <w:rPr>
          <w:sz w:val="23"/>
          <w:szCs w:val="23"/>
        </w:rPr>
        <w:t xml:space="preserve">For some normative and empirical scholars of representation, whether legislators organize around constituent </w:t>
      </w:r>
      <w:r>
        <w:rPr>
          <w:i/>
          <w:iCs/>
          <w:sz w:val="23"/>
          <w:szCs w:val="23"/>
        </w:rPr>
        <w:t>interests</w:t>
      </w:r>
      <w:r>
        <w:rPr>
          <w:sz w:val="23"/>
          <w:szCs w:val="23"/>
        </w:rPr>
        <w:t xml:space="preserve"> or constituent </w:t>
      </w:r>
      <w:r>
        <w:rPr>
          <w:i/>
          <w:iCs/>
          <w:sz w:val="23"/>
          <w:szCs w:val="23"/>
        </w:rPr>
        <w:t>preferences</w:t>
      </w:r>
      <w:r>
        <w:rPr>
          <w:sz w:val="23"/>
          <w:szCs w:val="23"/>
        </w:rPr>
        <w:t xml:space="preserve"> constitutes a necessary choice between two bases of political representation (Miler 2018). Many </w:t>
      </w:r>
      <w:proofErr w:type="gramStart"/>
      <w:r>
        <w:rPr>
          <w:sz w:val="23"/>
          <w:szCs w:val="23"/>
        </w:rPr>
        <w:t>take</w:t>
      </w:r>
      <w:proofErr w:type="gramEnd"/>
      <w:r>
        <w:rPr>
          <w:sz w:val="23"/>
          <w:szCs w:val="23"/>
        </w:rPr>
        <w:t xml:space="preserve"> after Pitkin (1967), who </w:t>
      </w:r>
      <w:r>
        <w:rPr>
          <w:sz w:val="23"/>
          <w:szCs w:val="23"/>
        </w:rPr>
        <w:lastRenderedPageBreak/>
        <w:t xml:space="preserve">grounds her interest-based approach on the view that voter preferences are too infrequent, inconsistent, and irrelevant for any given decision a representative takes up. Moreover, they cannot aggregate into a congealed and coherent </w:t>
      </w:r>
      <w:r w:rsidRPr="00156FCB">
        <w:rPr>
          <w:i/>
          <w:iCs/>
          <w:sz w:val="23"/>
          <w:szCs w:val="23"/>
        </w:rPr>
        <w:t>interest</w:t>
      </w:r>
      <w:r>
        <w:rPr>
          <w:sz w:val="23"/>
          <w:szCs w:val="23"/>
        </w:rPr>
        <w:t xml:space="preserve"> that a legislator can act on, and that </w:t>
      </w:r>
      <w:proofErr w:type="gramStart"/>
      <w:r>
        <w:rPr>
          <w:sz w:val="23"/>
          <w:szCs w:val="23"/>
        </w:rPr>
        <w:t>by definition must</w:t>
      </w:r>
      <w:proofErr w:type="gramEnd"/>
      <w:r>
        <w:rPr>
          <w:sz w:val="23"/>
          <w:szCs w:val="23"/>
        </w:rPr>
        <w:t xml:space="preserve"> come prior to an act of representation ().  Thus, according to Pitkin, representatives owe constituents “devotion to their interests” rather than “submission to their will” (). Even in Mansbridge’s anticipatory </w:t>
      </w:r>
      <w:proofErr w:type="gramStart"/>
      <w:r>
        <w:rPr>
          <w:sz w:val="23"/>
          <w:szCs w:val="23"/>
        </w:rPr>
        <w:t>model  -</w:t>
      </w:r>
      <w:proofErr w:type="gramEnd"/>
      <w:r>
        <w:rPr>
          <w:sz w:val="23"/>
          <w:szCs w:val="23"/>
        </w:rPr>
        <w:t xml:space="preserve"> in which legislators act on their expectation of voters’ interests and preferences once they do “take shape,” defines interests as “enlightened preferences” that can be cultivated when representatives </w:t>
      </w:r>
      <w:r w:rsidRPr="001F452E">
        <w:rPr>
          <w:i/>
          <w:iCs/>
          <w:sz w:val="23"/>
          <w:szCs w:val="23"/>
        </w:rPr>
        <w:t>educate</w:t>
      </w:r>
      <w:r>
        <w:rPr>
          <w:sz w:val="23"/>
          <w:szCs w:val="23"/>
        </w:rPr>
        <w:t xml:space="preserve"> their constituents. In her critique of this disjuncture (and theories of responsiveness), Disch (2018) shows that both expose a paradox wherein theories of representation treat constituency preferences as existing prior to the representational relationship, and that legislators instead actively construct the constituencies and preferences they claim to represent. </w:t>
      </w:r>
      <w:proofErr w:type="gramStart"/>
      <w:r>
        <w:rPr>
          <w:sz w:val="23"/>
          <w:szCs w:val="23"/>
        </w:rPr>
        <w:t>Yet,</w:t>
      </w:r>
      <w:proofErr w:type="gramEnd"/>
      <w:r>
        <w:rPr>
          <w:sz w:val="23"/>
          <w:szCs w:val="23"/>
        </w:rPr>
        <w:t xml:space="preserve"> even this framework may still maintain a marginalization of political preferences (?). Moreover, across these frameworks, a persistent requirement remains that a representative </w:t>
      </w:r>
      <w:proofErr w:type="gramStart"/>
      <w:r>
        <w:rPr>
          <w:sz w:val="23"/>
          <w:szCs w:val="23"/>
        </w:rPr>
        <w:t>is able to</w:t>
      </w:r>
      <w:proofErr w:type="gramEnd"/>
      <w:r>
        <w:rPr>
          <w:sz w:val="23"/>
          <w:szCs w:val="23"/>
        </w:rPr>
        <w:t xml:space="preserve"> accurately perceive or construct meaning of constituent orientations (maybe, to construct them into interests…although the point here is </w:t>
      </w:r>
      <w:proofErr w:type="gramStart"/>
      <w:r>
        <w:rPr>
          <w:sz w:val="23"/>
          <w:szCs w:val="23"/>
        </w:rPr>
        <w:t>view</w:t>
      </w:r>
      <w:proofErr w:type="gramEnd"/>
      <w:r>
        <w:rPr>
          <w:sz w:val="23"/>
          <w:szCs w:val="23"/>
        </w:rPr>
        <w:t xml:space="preserve"> their </w:t>
      </w:r>
      <w:r>
        <w:rPr>
          <w:i/>
          <w:iCs/>
          <w:sz w:val="23"/>
          <w:szCs w:val="23"/>
        </w:rPr>
        <w:t>interests</w:t>
      </w:r>
      <w:r>
        <w:rPr>
          <w:sz w:val="23"/>
          <w:szCs w:val="23"/>
        </w:rPr>
        <w:t xml:space="preserve"> if the distinction needs to be made as valid, legitimate, worthy of consideration, etc. For carceral constituencies, this system may break down not because of a lack of coherent orientations, but because the epistemic economy systematically discounts what they know. </w:t>
      </w:r>
    </w:p>
    <w:p w14:paraId="204FDC04" w14:textId="77777777" w:rsidR="004E6DB9" w:rsidRDefault="004E6DB9" w:rsidP="004E6DB9">
      <w:pPr>
        <w:rPr>
          <w:sz w:val="23"/>
          <w:szCs w:val="23"/>
        </w:rPr>
      </w:pPr>
      <w:r>
        <w:rPr>
          <w:sz w:val="23"/>
          <w:szCs w:val="23"/>
        </w:rPr>
        <w:t>Alt end points:</w:t>
      </w:r>
    </w:p>
    <w:p w14:paraId="32B8504F" w14:textId="77777777" w:rsidR="004E6DB9" w:rsidRDefault="004E6DB9" w:rsidP="004E6DB9">
      <w:pPr>
        <w:pStyle w:val="ListParagraph"/>
        <w:numPr>
          <w:ilvl w:val="0"/>
          <w:numId w:val="1"/>
        </w:numPr>
        <w:rPr>
          <w:sz w:val="23"/>
          <w:szCs w:val="23"/>
        </w:rPr>
      </w:pPr>
      <w:r>
        <w:rPr>
          <w:sz w:val="23"/>
          <w:szCs w:val="23"/>
        </w:rPr>
        <w:t xml:space="preserve">These moves continue to underestimate the role that interactions with the state and particularly its second face or coercive institutions (Soss and Weaver) </w:t>
      </w:r>
      <w:proofErr w:type="gramStart"/>
      <w:r>
        <w:rPr>
          <w:sz w:val="23"/>
          <w:szCs w:val="23"/>
        </w:rPr>
        <w:t>play  in</w:t>
      </w:r>
      <w:proofErr w:type="gramEnd"/>
      <w:r>
        <w:rPr>
          <w:sz w:val="23"/>
          <w:szCs w:val="23"/>
        </w:rPr>
        <w:t xml:space="preserve"> generating political knowledge and orientations. </w:t>
      </w:r>
    </w:p>
    <w:p w14:paraId="63EDABC8" w14:textId="77777777" w:rsidR="004E6DB9" w:rsidRPr="005F6815" w:rsidRDefault="004E6DB9" w:rsidP="004E6DB9">
      <w:pPr>
        <w:pStyle w:val="ListParagraph"/>
        <w:numPr>
          <w:ilvl w:val="0"/>
          <w:numId w:val="1"/>
        </w:numPr>
        <w:rPr>
          <w:sz w:val="23"/>
          <w:szCs w:val="23"/>
        </w:rPr>
      </w:pPr>
      <w:r w:rsidRPr="00DA2372">
        <w:rPr>
          <w:sz w:val="23"/>
          <w:szCs w:val="23"/>
        </w:rPr>
        <w:t>Disch, WPP, Fricker, and policy feedback show that interactions with the carceral state shape preferences beyond constructing constituencies through rhetoric. Rather, it produces knowledge through coercion and lived, involuntary encounters with state power – not persuasion, education, or manipulation (Mansbridge’s categories).</w:t>
      </w:r>
    </w:p>
    <w:p w14:paraId="2FE403A1" w14:textId="77777777" w:rsidR="004E6DB9" w:rsidRPr="00EB2EFB" w:rsidRDefault="004E6DB9" w:rsidP="004E6DB9">
      <w:pPr>
        <w:rPr>
          <w:i/>
          <w:iCs/>
          <w:sz w:val="23"/>
          <w:szCs w:val="23"/>
        </w:rPr>
      </w:pPr>
      <w:r w:rsidRPr="00EB2EFB">
        <w:rPr>
          <w:i/>
          <w:iCs/>
          <w:sz w:val="23"/>
          <w:szCs w:val="23"/>
        </w:rPr>
        <w:t>The Uninformed Citizenry and Its Carceral Inflection</w:t>
      </w:r>
    </w:p>
    <w:p w14:paraId="596C0783" w14:textId="77777777" w:rsidR="004E6DB9" w:rsidRDefault="004E6DB9" w:rsidP="004E6DB9">
      <w:pPr>
        <w:rPr>
          <w:sz w:val="23"/>
          <w:szCs w:val="23"/>
        </w:rPr>
      </w:pPr>
      <w:r>
        <w:rPr>
          <w:sz w:val="23"/>
          <w:szCs w:val="23"/>
        </w:rPr>
        <w:t xml:space="preserve">[Transition to here?] </w:t>
      </w:r>
      <w:r w:rsidRPr="00DA2372">
        <w:rPr>
          <w:sz w:val="23"/>
          <w:szCs w:val="23"/>
        </w:rPr>
        <w:t xml:space="preserve">Introduce the bedrock norm and the "tragedy and farce" assumption (Delli </w:t>
      </w:r>
      <w:proofErr w:type="spellStart"/>
      <w:r w:rsidRPr="00DA2372">
        <w:rPr>
          <w:sz w:val="23"/>
          <w:szCs w:val="23"/>
        </w:rPr>
        <w:t>Carpini</w:t>
      </w:r>
      <w:proofErr w:type="spellEnd"/>
      <w:r w:rsidRPr="00DA2372">
        <w:rPr>
          <w:sz w:val="23"/>
          <w:szCs w:val="23"/>
        </w:rPr>
        <w:t xml:space="preserve"> and Keeter): that most citizens, and marginalized citizens especially, lack coherent political knowledge. </w:t>
      </w:r>
    </w:p>
    <w:p w14:paraId="20690622" w14:textId="77777777" w:rsidR="004E6DB9" w:rsidRDefault="004E6DB9" w:rsidP="004E6DB9">
      <w:pPr>
        <w:rPr>
          <w:sz w:val="23"/>
          <w:szCs w:val="23"/>
        </w:rPr>
      </w:pPr>
      <w:r w:rsidRPr="00DA2372">
        <w:rPr>
          <w:sz w:val="23"/>
          <w:szCs w:val="23"/>
        </w:rPr>
        <w:t xml:space="preserve">Note that this assumption has been challenged on methodological grounds (Pérez on measurement choices that systematically undercount marginalized communities' political knowledge) and on substantive grounds. </w:t>
      </w:r>
    </w:p>
    <w:p w14:paraId="781CFC26" w14:textId="77777777" w:rsidR="004E6DB9" w:rsidRDefault="004E6DB9" w:rsidP="004E6DB9">
      <w:pPr>
        <w:rPr>
          <w:sz w:val="23"/>
          <w:szCs w:val="23"/>
        </w:rPr>
      </w:pPr>
      <w:r w:rsidRPr="00DA2372">
        <w:rPr>
          <w:sz w:val="23"/>
          <w:szCs w:val="23"/>
        </w:rPr>
        <w:t xml:space="preserve">Transition to Fricker: the assumption that marginalized communities lack coherent political knowledge functions as what Fricker would call a prejudicial stereotype — one that operates in </w:t>
      </w:r>
      <w:r w:rsidRPr="00DA2372">
        <w:rPr>
          <w:sz w:val="23"/>
          <w:szCs w:val="23"/>
        </w:rPr>
        <w:lastRenderedPageBreak/>
        <w:t xml:space="preserve">the "economy of credibility" to deflate the epistemic standing of these communities before their claims are even heard. </w:t>
      </w:r>
    </w:p>
    <w:p w14:paraId="0B0227AF" w14:textId="77777777" w:rsidR="004E6DB9" w:rsidRDefault="004E6DB9" w:rsidP="004E6DB9">
      <w:pPr>
        <w:rPr>
          <w:sz w:val="23"/>
          <w:szCs w:val="23"/>
        </w:rPr>
      </w:pPr>
      <w:r w:rsidRPr="00DA2372">
        <w:rPr>
          <w:sz w:val="23"/>
          <w:szCs w:val="23"/>
        </w:rPr>
        <w:t xml:space="preserve">Pottle extends this into electoral politics: electoral incentives shape not only policy choices but the production and circulation of political knowledge, and groups with low strategic value are systematically excluded from the interpretive frameworks legislators use to define problems and solutions. </w:t>
      </w:r>
    </w:p>
    <w:p w14:paraId="6CB90B03" w14:textId="77777777" w:rsidR="004E6DB9" w:rsidRPr="00DA2372" w:rsidRDefault="004E6DB9" w:rsidP="004E6DB9">
      <w:pPr>
        <w:rPr>
          <w:sz w:val="23"/>
          <w:szCs w:val="23"/>
        </w:rPr>
      </w:pPr>
      <w:r w:rsidRPr="00DA2372">
        <w:rPr>
          <w:sz w:val="23"/>
          <w:szCs w:val="23"/>
        </w:rPr>
        <w:t>This exclusion is path-dependent — excluded groups are constructed as uncredible knowers (testimonial injustice) and their knowledge is dismissed as outside the political mainstream (hermeneutical injustice).</w:t>
      </w:r>
    </w:p>
    <w:p w14:paraId="11E852E6" w14:textId="77777777" w:rsidR="004E6DB9" w:rsidRPr="00EB2EFB" w:rsidRDefault="004E6DB9" w:rsidP="004E6DB9">
      <w:pPr>
        <w:rPr>
          <w:i/>
          <w:iCs/>
          <w:sz w:val="23"/>
          <w:szCs w:val="23"/>
        </w:rPr>
      </w:pPr>
      <w:r w:rsidRPr="00EB2EFB">
        <w:rPr>
          <w:i/>
          <w:iCs/>
          <w:sz w:val="23"/>
          <w:szCs w:val="23"/>
        </w:rPr>
        <w:t xml:space="preserve">Dual Knowledge and the Political Orientations of Carceral </w:t>
      </w:r>
      <w:r>
        <w:rPr>
          <w:i/>
          <w:iCs/>
          <w:sz w:val="23"/>
          <w:szCs w:val="23"/>
        </w:rPr>
        <w:t xml:space="preserve">Constituencies </w:t>
      </w:r>
    </w:p>
    <w:p w14:paraId="18C10F1C" w14:textId="77777777" w:rsidR="004E6DB9" w:rsidRDefault="004E6DB9" w:rsidP="004E6DB9">
      <w:pPr>
        <w:rPr>
          <w:sz w:val="23"/>
          <w:szCs w:val="23"/>
        </w:rPr>
      </w:pPr>
      <w:r w:rsidRPr="008174A7">
        <w:rPr>
          <w:sz w:val="23"/>
          <w:szCs w:val="23"/>
        </w:rPr>
        <w:t xml:space="preserve">Pivot to what we </w:t>
      </w:r>
      <w:proofErr w:type="gramStart"/>
      <w:r w:rsidRPr="008174A7">
        <w:rPr>
          <w:sz w:val="23"/>
          <w:szCs w:val="23"/>
        </w:rPr>
        <w:t>actually know</w:t>
      </w:r>
      <w:proofErr w:type="gramEnd"/>
      <w:r w:rsidRPr="008174A7">
        <w:rPr>
          <w:sz w:val="23"/>
          <w:szCs w:val="23"/>
        </w:rPr>
        <w:t xml:space="preserve"> about what carceral-contact communities think. </w:t>
      </w:r>
    </w:p>
    <w:p w14:paraId="416D5893" w14:textId="77777777" w:rsidR="004E6DB9" w:rsidRDefault="004E6DB9" w:rsidP="004E6DB9">
      <w:pPr>
        <w:rPr>
          <w:sz w:val="23"/>
          <w:szCs w:val="23"/>
        </w:rPr>
      </w:pPr>
      <w:r w:rsidRPr="008174A7">
        <w:rPr>
          <w:sz w:val="23"/>
          <w:szCs w:val="23"/>
        </w:rPr>
        <w:t xml:space="preserve">WPP is the centerpiece: heavily policed communities possess "dual knowledge" — extensive, sophisticated understanding of both the formal operations of law and the "hidden curriculum" of policing-in-practice. This knowledge is not acquired voluntarily but imposed through state coercion, and its function is not to improve democratic outputs (because these communities accurately perceive that their preferences have little influence) but to preserve autonomy, dignity, and safety. </w:t>
      </w:r>
    </w:p>
    <w:p w14:paraId="1AEBCA1C" w14:textId="77777777" w:rsidR="004E6DB9" w:rsidRDefault="004E6DB9" w:rsidP="004E6DB9">
      <w:pPr>
        <w:rPr>
          <w:sz w:val="23"/>
          <w:szCs w:val="23"/>
        </w:rPr>
      </w:pPr>
      <w:r w:rsidRPr="008174A7">
        <w:rPr>
          <w:sz w:val="23"/>
          <w:szCs w:val="23"/>
        </w:rPr>
        <w:t xml:space="preserve">Connect to the broader tradition: standpoint theory, Foucault's "subjugated knowledge," Collins, hooks — scholars who have long recognized that experiential knowledge of oppression constitutes a distinctive epistemic resource, not a deficit. </w:t>
      </w:r>
    </w:p>
    <w:p w14:paraId="62B54B51" w14:textId="77777777" w:rsidR="004E6DB9" w:rsidRDefault="004E6DB9" w:rsidP="004E6DB9">
      <w:pPr>
        <w:rPr>
          <w:sz w:val="23"/>
          <w:szCs w:val="23"/>
        </w:rPr>
      </w:pPr>
      <w:r w:rsidRPr="008174A7">
        <w:rPr>
          <w:sz w:val="23"/>
          <w:szCs w:val="23"/>
        </w:rPr>
        <w:t>Note the policy feedback literature: interactions with the carceral state shape political orientations through both resource effects and interpretive effects (Soss, Weaver, Lerman). But most of this work examines how contact shapes views of the state or of oneself as a citizen — not how contact shapes preferences about specific criminal legal policies or perceptions of the deservingness of those targeted by those policies. That's the empirical gap this chapter addresses.</w:t>
      </w:r>
    </w:p>
    <w:p w14:paraId="601756A3" w14:textId="77777777" w:rsidR="004E6DB9" w:rsidRDefault="004E6DB9" w:rsidP="004E6DB9">
      <w:pPr>
        <w:rPr>
          <w:sz w:val="23"/>
          <w:szCs w:val="23"/>
        </w:rPr>
      </w:pPr>
    </w:p>
    <w:p w14:paraId="7A63A0D9" w14:textId="77777777" w:rsidR="004E6DB9" w:rsidRPr="008174A7" w:rsidRDefault="004E6DB9" w:rsidP="004E6DB9">
      <w:pPr>
        <w:ind w:left="720"/>
        <w:rPr>
          <w:i/>
          <w:iCs/>
          <w:sz w:val="23"/>
          <w:szCs w:val="23"/>
        </w:rPr>
      </w:pPr>
      <w:r w:rsidRPr="00F37EB4">
        <w:rPr>
          <w:i/>
          <w:iCs/>
          <w:sz w:val="23"/>
          <w:szCs w:val="23"/>
        </w:rPr>
        <w:t>*</w:t>
      </w:r>
      <w:r w:rsidRPr="00C554F0">
        <w:rPr>
          <w:i/>
          <w:iCs/>
          <w:sz w:val="23"/>
          <w:szCs w:val="23"/>
          <w:highlight w:val="lightGray"/>
        </w:rPr>
        <w:t>Expectation/Hypothesis 1 maybe goes here</w:t>
      </w:r>
    </w:p>
    <w:p w14:paraId="5B1EABC7" w14:textId="77777777" w:rsidR="004E6DB9" w:rsidRDefault="004E6DB9" w:rsidP="004E6DB9">
      <w:pPr>
        <w:rPr>
          <w:i/>
          <w:iCs/>
          <w:sz w:val="23"/>
          <w:szCs w:val="23"/>
        </w:rPr>
      </w:pPr>
      <w:r>
        <w:rPr>
          <w:i/>
          <w:iCs/>
          <w:sz w:val="23"/>
          <w:szCs w:val="23"/>
        </w:rPr>
        <w:t>[Proximally Impacted]</w:t>
      </w:r>
    </w:p>
    <w:p w14:paraId="42B0D061" w14:textId="77777777" w:rsidR="004E6DB9" w:rsidRPr="000437D7" w:rsidRDefault="004E6DB9" w:rsidP="004E6DB9">
      <w:pPr>
        <w:rPr>
          <w:b/>
          <w:bCs/>
          <w:i/>
          <w:iCs/>
          <w:sz w:val="23"/>
          <w:szCs w:val="23"/>
        </w:rPr>
      </w:pPr>
      <w:r w:rsidRPr="000437D7">
        <w:rPr>
          <w:b/>
          <w:bCs/>
          <w:i/>
          <w:iCs/>
          <w:sz w:val="23"/>
          <w:szCs w:val="23"/>
        </w:rPr>
        <w:t xml:space="preserve">[Victims] </w:t>
      </w:r>
    </w:p>
    <w:p w14:paraId="1436DFF9" w14:textId="77777777" w:rsidR="004E6DB9" w:rsidRDefault="004E6DB9" w:rsidP="004E6DB9">
      <w:pPr>
        <w:rPr>
          <w:sz w:val="23"/>
          <w:szCs w:val="23"/>
        </w:rPr>
      </w:pPr>
      <w:r>
        <w:rPr>
          <w:sz w:val="23"/>
          <w:szCs w:val="23"/>
        </w:rPr>
        <w:t xml:space="preserve">The interests of the carceral state’s targets are often framed as orthogonal to the interests of victims of crime who it seeks to protect. And while feedback scholars acknowledge endogeneity challenges inherent to identifying causal effects of carceral state contact in a context of “cumulative burdens,” or where the same individuals and communities routinely </w:t>
      </w:r>
      <w:r>
        <w:rPr>
          <w:sz w:val="23"/>
          <w:szCs w:val="23"/>
        </w:rPr>
        <w:lastRenderedPageBreak/>
        <w:t>experience both direct and proximal contact (Michener 2018; Weaver and Lerman 1010c; Lerman and Weaver 2014b), experiences of victimization are part of this accumulation, yet crime victimization is rarely conceptualized as a form of policy contact in its own right</w:t>
      </w:r>
      <w:r>
        <w:rPr>
          <w:rStyle w:val="EndnoteReference"/>
          <w:sz w:val="23"/>
          <w:szCs w:val="23"/>
        </w:rPr>
        <w:endnoteReference w:id="2"/>
      </w:r>
      <w:r>
        <w:rPr>
          <w:sz w:val="23"/>
          <w:szCs w:val="23"/>
        </w:rPr>
        <w:t xml:space="preserve">. </w:t>
      </w:r>
      <w:r w:rsidRPr="00947D93">
        <w:rPr>
          <w:sz w:val="23"/>
          <w:szCs w:val="23"/>
        </w:rPr>
        <w:t>An</w:t>
      </w:r>
      <w:r>
        <w:rPr>
          <w:sz w:val="23"/>
          <w:szCs w:val="23"/>
        </w:rPr>
        <w:t xml:space="preserve"> </w:t>
      </w:r>
      <w:r w:rsidRPr="00947D93">
        <w:rPr>
          <w:sz w:val="23"/>
          <w:szCs w:val="23"/>
        </w:rPr>
        <w:t>extensive literature shows that people who are incarcerated have disproportionately been victims of crime</w:t>
      </w:r>
      <w:r>
        <w:rPr>
          <w:sz w:val="23"/>
          <w:szCs w:val="23"/>
        </w:rPr>
        <w:t xml:space="preserve"> </w:t>
      </w:r>
      <w:r w:rsidRPr="00947D93">
        <w:rPr>
          <w:sz w:val="23"/>
          <w:szCs w:val="23"/>
        </w:rPr>
        <w:t xml:space="preserve">– one review article cited 31 of 37 papers support this overlap (Jennings et al 2012). </w:t>
      </w:r>
      <w:r>
        <w:rPr>
          <w:sz w:val="23"/>
          <w:szCs w:val="23"/>
        </w:rPr>
        <w:t>Moreover, w</w:t>
      </w:r>
      <w:r w:rsidRPr="00947D93">
        <w:rPr>
          <w:sz w:val="23"/>
          <w:szCs w:val="23"/>
        </w:rPr>
        <w:t>hile 2% of the general US</w:t>
      </w:r>
      <w:r>
        <w:rPr>
          <w:sz w:val="23"/>
          <w:szCs w:val="23"/>
        </w:rPr>
        <w:t xml:space="preserve"> </w:t>
      </w:r>
      <w:r w:rsidRPr="00947D93">
        <w:rPr>
          <w:sz w:val="23"/>
          <w:szCs w:val="23"/>
        </w:rPr>
        <w:t>population report being victims of violent crime, up to 45% of carceral citizens have experienced pre-incarceration</w:t>
      </w:r>
      <w:r>
        <w:rPr>
          <w:sz w:val="23"/>
          <w:szCs w:val="23"/>
        </w:rPr>
        <w:t xml:space="preserve"> </w:t>
      </w:r>
      <w:r w:rsidRPr="00947D93">
        <w:rPr>
          <w:sz w:val="23"/>
          <w:szCs w:val="23"/>
        </w:rPr>
        <w:t>physical abuse, and 8.5 to 39.2% of specifically sexual abuse (Azimi et al 2019, Carlson and Shafer 2010, Messina</w:t>
      </w:r>
      <w:r>
        <w:rPr>
          <w:sz w:val="23"/>
          <w:szCs w:val="23"/>
        </w:rPr>
        <w:t xml:space="preserve"> </w:t>
      </w:r>
      <w:r w:rsidRPr="00947D93">
        <w:rPr>
          <w:sz w:val="23"/>
          <w:szCs w:val="23"/>
        </w:rPr>
        <w:t>et al 2007, Wolff and Shi 2012, Yoder et al. 2017). Still more experience violence while incarcerated (Wolff et al</w:t>
      </w:r>
      <w:r>
        <w:rPr>
          <w:sz w:val="23"/>
          <w:szCs w:val="23"/>
        </w:rPr>
        <w:t xml:space="preserve"> </w:t>
      </w:r>
      <w:r w:rsidRPr="00947D93">
        <w:rPr>
          <w:sz w:val="23"/>
          <w:szCs w:val="23"/>
        </w:rPr>
        <w:t>2009).</w:t>
      </w:r>
      <w:r>
        <w:rPr>
          <w:sz w:val="23"/>
          <w:szCs w:val="23"/>
        </w:rPr>
        <w:t xml:space="preserve"> Thus, I anticipate that many of those who have been victims of crime may also report experiences of direct and proximal impact.  </w:t>
      </w:r>
    </w:p>
    <w:p w14:paraId="183B18EB" w14:textId="77777777" w:rsidR="004E6DB9" w:rsidRPr="00947D93" w:rsidRDefault="004E6DB9" w:rsidP="004E6DB9">
      <w:pPr>
        <w:spacing w:line="240" w:lineRule="auto"/>
        <w:rPr>
          <w:sz w:val="23"/>
          <w:szCs w:val="23"/>
        </w:rPr>
      </w:pPr>
      <w:r w:rsidRPr="00947D93">
        <w:rPr>
          <w:sz w:val="23"/>
          <w:szCs w:val="23"/>
        </w:rPr>
        <w:t>Although victims of crime are rarely theorized as policy feedback subjects, the concept of</w:t>
      </w:r>
      <w:r>
        <w:rPr>
          <w:sz w:val="23"/>
          <w:szCs w:val="23"/>
        </w:rPr>
        <w:t xml:space="preserve"> </w:t>
      </w:r>
      <w:r w:rsidRPr="00947D93">
        <w:rPr>
          <w:sz w:val="23"/>
          <w:szCs w:val="23"/>
        </w:rPr>
        <w:t>victimization is implicitly central to the literature. Policy feedback scholars emphasize how</w:t>
      </w:r>
      <w:r>
        <w:rPr>
          <w:sz w:val="23"/>
          <w:szCs w:val="23"/>
        </w:rPr>
        <w:t xml:space="preserve"> </w:t>
      </w:r>
      <w:r w:rsidRPr="00947D93">
        <w:rPr>
          <w:sz w:val="23"/>
          <w:szCs w:val="23"/>
        </w:rPr>
        <w:t>individuals interpret state actions—especially punitive or discriminatory ones—as signals of</w:t>
      </w:r>
      <w:r>
        <w:rPr>
          <w:sz w:val="23"/>
          <w:szCs w:val="23"/>
        </w:rPr>
        <w:t xml:space="preserve"> </w:t>
      </w:r>
      <w:r w:rsidRPr="00947D93">
        <w:rPr>
          <w:sz w:val="23"/>
          <w:szCs w:val="23"/>
        </w:rPr>
        <w:t>exclusion, abandonment, or devaluation (Soss 1999c; Lerman and Weaver 2014c). These “interpretive effects” can leave people feeling targeted, disrespected, or undeserving in the eyes</w:t>
      </w:r>
      <w:r>
        <w:rPr>
          <w:sz w:val="23"/>
          <w:szCs w:val="23"/>
        </w:rPr>
        <w:t xml:space="preserve"> </w:t>
      </w:r>
      <w:r w:rsidRPr="00947D93">
        <w:rPr>
          <w:sz w:val="23"/>
          <w:szCs w:val="23"/>
        </w:rPr>
        <w:t>of the state. In this context, experiences of secondary victimization—such as being disbelieved, ignored, or emotionally constrained by the criminal justice process (Lensa et al., n.d.)</w:t>
      </w:r>
      <w:r>
        <w:rPr>
          <w:sz w:val="23"/>
          <w:szCs w:val="23"/>
        </w:rPr>
        <w:t xml:space="preserve"> </w:t>
      </w:r>
      <w:r w:rsidRPr="00947D93">
        <w:rPr>
          <w:sz w:val="23"/>
          <w:szCs w:val="23"/>
        </w:rPr>
        <w:t>— can function much like the demobilizing interpretive effects faced by other negatively constructed policy targets. Yet unlike welfare recipients or formerly incarcerated people, crime</w:t>
      </w:r>
      <w:r>
        <w:rPr>
          <w:sz w:val="23"/>
          <w:szCs w:val="23"/>
        </w:rPr>
        <w:t xml:space="preserve"> </w:t>
      </w:r>
      <w:r w:rsidRPr="00947D93">
        <w:rPr>
          <w:sz w:val="23"/>
          <w:szCs w:val="23"/>
        </w:rPr>
        <w:t>victims are more often assumed to support the very policies and institutions that may reproduce their harm. Recognizing victimization as a form of state contact—and a potential</w:t>
      </w:r>
      <w:r>
        <w:rPr>
          <w:sz w:val="23"/>
          <w:szCs w:val="23"/>
        </w:rPr>
        <w:t xml:space="preserve"> </w:t>
      </w:r>
      <w:r w:rsidRPr="00947D93">
        <w:rPr>
          <w:sz w:val="23"/>
          <w:szCs w:val="23"/>
        </w:rPr>
        <w:t>10site of interpretive rupture—opens new terrain for understanding how criminal legal experience shapes not only institutional trust and political participation, but also deservingness</w:t>
      </w:r>
      <w:r>
        <w:rPr>
          <w:sz w:val="23"/>
          <w:szCs w:val="23"/>
        </w:rPr>
        <w:t xml:space="preserve"> </w:t>
      </w:r>
      <w:r w:rsidRPr="00947D93">
        <w:rPr>
          <w:sz w:val="23"/>
          <w:szCs w:val="23"/>
        </w:rPr>
        <w:t>perceptions and carceral policy attitudes. This paper takes up that challenge by analyzing</w:t>
      </w:r>
      <w:r>
        <w:rPr>
          <w:sz w:val="23"/>
          <w:szCs w:val="23"/>
        </w:rPr>
        <w:t xml:space="preserve"> </w:t>
      </w:r>
      <w:r w:rsidRPr="00947D93">
        <w:rPr>
          <w:sz w:val="23"/>
          <w:szCs w:val="23"/>
        </w:rPr>
        <w:t>victimization alongside other forms of contact to assess how they each influence perceptions</w:t>
      </w:r>
      <w:r>
        <w:rPr>
          <w:sz w:val="23"/>
          <w:szCs w:val="23"/>
        </w:rPr>
        <w:t xml:space="preserve"> </w:t>
      </w:r>
      <w:r w:rsidRPr="00947D93">
        <w:rPr>
          <w:sz w:val="23"/>
          <w:szCs w:val="23"/>
        </w:rPr>
        <w:t>of who deserves help or harm—and what role the state should play.</w:t>
      </w:r>
    </w:p>
    <w:p w14:paraId="2E37B176" w14:textId="77777777" w:rsidR="004E6DB9" w:rsidRPr="00C554F0" w:rsidRDefault="004E6DB9" w:rsidP="004E6DB9">
      <w:pPr>
        <w:rPr>
          <w:sz w:val="23"/>
          <w:szCs w:val="23"/>
        </w:rPr>
      </w:pPr>
    </w:p>
    <w:p w14:paraId="299FB749" w14:textId="77777777" w:rsidR="004E6DB9" w:rsidRDefault="004E6DB9" w:rsidP="004E6DB9">
      <w:pPr>
        <w:rPr>
          <w:sz w:val="23"/>
          <w:szCs w:val="23"/>
        </w:rPr>
      </w:pPr>
      <w:r>
        <w:rPr>
          <w:sz w:val="23"/>
          <w:szCs w:val="23"/>
        </w:rPr>
        <w:t xml:space="preserve">Clearly, the policy orientations of communities most impacted by the carceral state are not a black box. </w:t>
      </w:r>
    </w:p>
    <w:p w14:paraId="6F4746EE" w14:textId="77777777" w:rsidR="004E6DB9" w:rsidRDefault="004E6DB9" w:rsidP="004E6DB9">
      <w:pPr>
        <w:rPr>
          <w:sz w:val="23"/>
          <w:szCs w:val="23"/>
        </w:rPr>
      </w:pPr>
      <w:r>
        <w:rPr>
          <w:sz w:val="23"/>
          <w:szCs w:val="23"/>
        </w:rPr>
        <w:t>[very brief in general social constructions here]</w:t>
      </w:r>
    </w:p>
    <w:p w14:paraId="1C790961" w14:textId="77777777" w:rsidR="004E6DB9" w:rsidRDefault="004E6DB9" w:rsidP="004E6DB9">
      <w:pPr>
        <w:pStyle w:val="ListParagraph"/>
        <w:numPr>
          <w:ilvl w:val="0"/>
          <w:numId w:val="2"/>
        </w:numPr>
        <w:rPr>
          <w:sz w:val="23"/>
          <w:szCs w:val="23"/>
        </w:rPr>
      </w:pPr>
      <w:r w:rsidRPr="009B658D">
        <w:rPr>
          <w:sz w:val="23"/>
          <w:szCs w:val="23"/>
        </w:rPr>
        <w:t>PPW</w:t>
      </w:r>
      <w:r>
        <w:rPr>
          <w:sz w:val="23"/>
          <w:szCs w:val="23"/>
        </w:rPr>
        <w:t xml:space="preserve"> - </w:t>
      </w:r>
    </w:p>
    <w:p w14:paraId="6A699DE3" w14:textId="77777777" w:rsidR="004E6DB9" w:rsidRDefault="004E6DB9" w:rsidP="004E6DB9">
      <w:pPr>
        <w:pStyle w:val="ListParagraph"/>
        <w:numPr>
          <w:ilvl w:val="0"/>
          <w:numId w:val="2"/>
        </w:numPr>
        <w:rPr>
          <w:sz w:val="23"/>
          <w:szCs w:val="23"/>
        </w:rPr>
      </w:pPr>
      <w:r>
        <w:rPr>
          <w:sz w:val="23"/>
          <w:szCs w:val="23"/>
        </w:rPr>
        <w:t>Other policy feedback</w:t>
      </w:r>
    </w:p>
    <w:p w14:paraId="70DAEA86" w14:textId="77777777" w:rsidR="004E6DB9" w:rsidRPr="00F37EB4" w:rsidRDefault="004E6DB9" w:rsidP="004E6DB9">
      <w:pPr>
        <w:pStyle w:val="ListParagraph"/>
        <w:numPr>
          <w:ilvl w:val="1"/>
          <w:numId w:val="2"/>
        </w:numPr>
        <w:rPr>
          <w:sz w:val="23"/>
          <w:szCs w:val="23"/>
        </w:rPr>
      </w:pPr>
      <w:r>
        <w:rPr>
          <w:sz w:val="23"/>
          <w:szCs w:val="23"/>
        </w:rPr>
        <w:t xml:space="preserve">With PPW, underscores that </w:t>
      </w:r>
      <w:proofErr w:type="spellStart"/>
      <w:r w:rsidRPr="00F37EB4">
        <w:rPr>
          <w:sz w:val="23"/>
          <w:szCs w:val="23"/>
        </w:rPr>
        <w:t>olicy</w:t>
      </w:r>
      <w:proofErr w:type="spellEnd"/>
      <w:r w:rsidRPr="00F37EB4">
        <w:rPr>
          <w:sz w:val="23"/>
          <w:szCs w:val="23"/>
        </w:rPr>
        <w:t xml:space="preserve"> targets as active</w:t>
      </w:r>
    </w:p>
    <w:p w14:paraId="19640773" w14:textId="77777777" w:rsidR="004E6DB9" w:rsidRPr="00F37EB4" w:rsidRDefault="004E6DB9" w:rsidP="004E6DB9">
      <w:pPr>
        <w:pStyle w:val="ListParagraph"/>
        <w:numPr>
          <w:ilvl w:val="1"/>
          <w:numId w:val="2"/>
        </w:numPr>
        <w:rPr>
          <w:sz w:val="23"/>
          <w:szCs w:val="23"/>
        </w:rPr>
      </w:pPr>
      <w:r w:rsidRPr="00F37EB4">
        <w:rPr>
          <w:sz w:val="23"/>
          <w:szCs w:val="23"/>
        </w:rPr>
        <w:t>agents in meaning-making processes and empirical findings in the criminal legal domain </w:t>
      </w:r>
    </w:p>
    <w:p w14:paraId="2D7E887E" w14:textId="77777777" w:rsidR="004E6DB9" w:rsidRDefault="004E6DB9" w:rsidP="004E6DB9">
      <w:pPr>
        <w:pStyle w:val="ListParagraph"/>
        <w:numPr>
          <w:ilvl w:val="0"/>
          <w:numId w:val="2"/>
        </w:numPr>
        <w:rPr>
          <w:sz w:val="23"/>
          <w:szCs w:val="23"/>
        </w:rPr>
      </w:pPr>
      <w:r>
        <w:rPr>
          <w:sz w:val="23"/>
          <w:szCs w:val="23"/>
        </w:rPr>
        <w:t>Without really doing deservingness, contact stuff</w:t>
      </w:r>
    </w:p>
    <w:p w14:paraId="6A4708B6" w14:textId="77777777" w:rsidR="004E6DB9" w:rsidRDefault="004E6DB9" w:rsidP="004E6DB9">
      <w:pPr>
        <w:pStyle w:val="ListParagraph"/>
        <w:numPr>
          <w:ilvl w:val="1"/>
          <w:numId w:val="2"/>
        </w:numPr>
        <w:rPr>
          <w:sz w:val="23"/>
          <w:szCs w:val="23"/>
        </w:rPr>
      </w:pPr>
    </w:p>
    <w:p w14:paraId="42261E23" w14:textId="77777777" w:rsidR="004E6DB9" w:rsidRDefault="004E6DB9" w:rsidP="004E6DB9">
      <w:pPr>
        <w:pStyle w:val="ListParagraph"/>
        <w:numPr>
          <w:ilvl w:val="0"/>
          <w:numId w:val="2"/>
        </w:numPr>
        <w:rPr>
          <w:sz w:val="23"/>
          <w:szCs w:val="23"/>
        </w:rPr>
      </w:pPr>
      <w:r>
        <w:rPr>
          <w:sz w:val="23"/>
          <w:szCs w:val="23"/>
        </w:rPr>
        <w:t xml:space="preserve">Briefly, know that Black communities tend to </w:t>
      </w:r>
      <w:proofErr w:type="spellStart"/>
      <w:r>
        <w:rPr>
          <w:sz w:val="23"/>
          <w:szCs w:val="23"/>
        </w:rPr>
        <w:t>xyz</w:t>
      </w:r>
      <w:proofErr w:type="spellEnd"/>
      <w:r>
        <w:rPr>
          <w:sz w:val="23"/>
          <w:szCs w:val="23"/>
        </w:rPr>
        <w:t xml:space="preserve"> vis-à-vis punishment/CJ</w:t>
      </w:r>
    </w:p>
    <w:p w14:paraId="4B5EED65" w14:textId="77777777" w:rsidR="004E6DB9" w:rsidRDefault="004E6DB9" w:rsidP="004E6DB9">
      <w:pPr>
        <w:pStyle w:val="ListParagraph"/>
        <w:numPr>
          <w:ilvl w:val="1"/>
          <w:numId w:val="2"/>
        </w:numPr>
        <w:rPr>
          <w:sz w:val="23"/>
          <w:szCs w:val="23"/>
        </w:rPr>
      </w:pPr>
      <w:r>
        <w:rPr>
          <w:sz w:val="23"/>
          <w:szCs w:val="23"/>
        </w:rPr>
        <w:lastRenderedPageBreak/>
        <w:t>One very specific paper</w:t>
      </w:r>
    </w:p>
    <w:p w14:paraId="13C61CE0" w14:textId="77777777" w:rsidR="004E6DB9" w:rsidRPr="009B658D" w:rsidRDefault="004E6DB9" w:rsidP="004E6DB9">
      <w:pPr>
        <w:pStyle w:val="ListParagraph"/>
        <w:numPr>
          <w:ilvl w:val="1"/>
          <w:numId w:val="2"/>
        </w:numPr>
        <w:rPr>
          <w:sz w:val="23"/>
          <w:szCs w:val="23"/>
        </w:rPr>
      </w:pPr>
      <w:r>
        <w:rPr>
          <w:sz w:val="23"/>
          <w:szCs w:val="23"/>
        </w:rPr>
        <w:t>Eckhouse</w:t>
      </w:r>
    </w:p>
    <w:p w14:paraId="324E8768" w14:textId="77777777" w:rsidR="004E6DB9" w:rsidRDefault="004E6DB9" w:rsidP="004E6DB9">
      <w:pPr>
        <w:rPr>
          <w:sz w:val="23"/>
          <w:szCs w:val="23"/>
        </w:rPr>
      </w:pPr>
      <w:r>
        <w:rPr>
          <w:sz w:val="23"/>
          <w:szCs w:val="23"/>
        </w:rPr>
        <w:t xml:space="preserve">In general, perceptions of what groups who are targets of </w:t>
      </w:r>
      <w:proofErr w:type="gramStart"/>
      <w:r>
        <w:rPr>
          <w:sz w:val="23"/>
          <w:szCs w:val="23"/>
        </w:rPr>
        <w:t>particular policies</w:t>
      </w:r>
      <w:proofErr w:type="gramEnd"/>
      <w:r>
        <w:rPr>
          <w:sz w:val="23"/>
          <w:szCs w:val="23"/>
        </w:rPr>
        <w:t xml:space="preserve"> deserve are shaped by social constructions about these groups (Schneider and Ingram 1993). Circularly, and like stereotypes, these constructions are themselves formed by existing policy and by discourse – political, cultural, and popular. Thus, predominant racialized constructions of </w:t>
      </w:r>
      <w:proofErr w:type="gramStart"/>
      <w:r>
        <w:rPr>
          <w:sz w:val="23"/>
          <w:szCs w:val="23"/>
        </w:rPr>
        <w:t>incarcerated  . . .</w:t>
      </w:r>
      <w:proofErr w:type="gramEnd"/>
    </w:p>
    <w:p w14:paraId="09AD65F2" w14:textId="77777777" w:rsidR="004E6DB9" w:rsidRPr="00DA2372" w:rsidRDefault="004E6DB9" w:rsidP="004E6DB9">
      <w:pPr>
        <w:rPr>
          <w:sz w:val="23"/>
          <w:szCs w:val="23"/>
        </w:rPr>
      </w:pPr>
      <w:r w:rsidRPr="00DA2372">
        <w:rPr>
          <w:sz w:val="23"/>
          <w:szCs w:val="23"/>
        </w:rPr>
        <w:t xml:space="preserve">This is where you move from "here's why </w:t>
      </w:r>
      <w:proofErr w:type="gramStart"/>
      <w:r w:rsidRPr="00DA2372">
        <w:rPr>
          <w:sz w:val="23"/>
          <w:szCs w:val="23"/>
        </w:rPr>
        <w:t>this matters</w:t>
      </w:r>
      <w:proofErr w:type="gramEnd"/>
      <w:r w:rsidRPr="00DA2372">
        <w:rPr>
          <w:sz w:val="23"/>
          <w:szCs w:val="23"/>
        </w:rPr>
        <w:t xml:space="preserve"> and what we should expect" into the formal hypotheses. The theoretical framing above should have generated clear expectations: impacted groups will hold more supportive/less punitive preferences; they will be more consistent across policy types; different forms of contact may produce different patterns; victims will complicate the assumed punitive orientation. Then you're into the data/design section your advisor sketched.</w:t>
      </w:r>
    </w:p>
    <w:p w14:paraId="5C2C9B20" w14:textId="77777777" w:rsidR="004E6DB9" w:rsidRPr="00DA2372" w:rsidRDefault="004E6DB9" w:rsidP="004E6DB9">
      <w:pPr>
        <w:rPr>
          <w:sz w:val="23"/>
          <w:szCs w:val="23"/>
        </w:rPr>
      </w:pPr>
    </w:p>
    <w:p w14:paraId="29566424" w14:textId="77777777" w:rsidR="001554D9" w:rsidRDefault="001554D9"/>
    <w:sectPr w:rsidR="001554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70D0A" w14:textId="77777777" w:rsidR="00C570A0" w:rsidRDefault="00C570A0" w:rsidP="004E6DB9">
      <w:pPr>
        <w:spacing w:after="0" w:line="240" w:lineRule="auto"/>
      </w:pPr>
      <w:r>
        <w:separator/>
      </w:r>
    </w:p>
  </w:endnote>
  <w:endnote w:type="continuationSeparator" w:id="0">
    <w:p w14:paraId="22DAF4C8" w14:textId="77777777" w:rsidR="00C570A0" w:rsidRDefault="00C570A0" w:rsidP="004E6DB9">
      <w:pPr>
        <w:spacing w:after="0" w:line="240" w:lineRule="auto"/>
      </w:pPr>
      <w:r>
        <w:continuationSeparator/>
      </w:r>
    </w:p>
  </w:endnote>
  <w:endnote w:id="1">
    <w:p w14:paraId="36480CE4" w14:textId="77777777" w:rsidR="004E6DB9" w:rsidRDefault="004E6DB9" w:rsidP="004E6DB9">
      <w:pPr>
        <w:pStyle w:val="EndnoteText"/>
      </w:pPr>
      <w:r>
        <w:rPr>
          <w:rStyle w:val="EndnoteReference"/>
        </w:rPr>
        <w:endnoteRef/>
      </w:r>
      <w:r>
        <w:t xml:space="preserve"> </w:t>
      </w:r>
    </w:p>
  </w:endnote>
  <w:endnote w:id="2">
    <w:p w14:paraId="052360BF" w14:textId="77777777" w:rsidR="004E6DB9" w:rsidRDefault="004E6DB9" w:rsidP="004E6DB9">
      <w:pPr>
        <w:pStyle w:val="p1"/>
      </w:pPr>
      <w:r>
        <w:rPr>
          <w:rStyle w:val="EndnoteReference"/>
        </w:rPr>
        <w:endnoteRef/>
      </w:r>
      <w:r>
        <w:t xml:space="preserve"> One notable exception is Levine and Russell (2023), who show how the design and financing of victim com-</w:t>
      </w:r>
    </w:p>
    <w:p w14:paraId="394331AA" w14:textId="77777777" w:rsidR="004E6DB9" w:rsidRDefault="004E6DB9" w:rsidP="004E6DB9">
      <w:pPr>
        <w:pStyle w:val="p1"/>
      </w:pPr>
      <w:proofErr w:type="spellStart"/>
      <w:r>
        <w:t>pensation</w:t>
      </w:r>
      <w:proofErr w:type="spellEnd"/>
      <w:r>
        <w:t xml:space="preserve"> law constructs victims as morally deserving and politically worthy, helping expand state responsibility.</w:t>
      </w:r>
    </w:p>
    <w:p w14:paraId="61D51C06" w14:textId="77777777" w:rsidR="004E6DB9" w:rsidRDefault="004E6DB9" w:rsidP="004E6DB9">
      <w:pPr>
        <w:pStyle w:val="p1"/>
      </w:pPr>
      <w:r>
        <w:t>Yet even here, the analysis centers on state building and symbolic policy meaning—rather than how victimization</w:t>
      </w:r>
    </w:p>
    <w:p w14:paraId="47A10725" w14:textId="77777777" w:rsidR="004E6DB9" w:rsidRDefault="004E6DB9" w:rsidP="004E6DB9">
      <w:pPr>
        <w:pStyle w:val="p1"/>
      </w:pPr>
      <w:r>
        <w:t>itself may function as a form of lived experience that may alter how individuals perceive the state, its targets, and</w:t>
      </w:r>
    </w:p>
    <w:p w14:paraId="079BDEAD" w14:textId="77777777" w:rsidR="004E6DB9" w:rsidRDefault="004E6DB9" w:rsidP="004E6DB9">
      <w:pPr>
        <w:pStyle w:val="p1"/>
      </w:pPr>
      <w:r>
        <w:t>what policies they deserve.</w:t>
      </w:r>
    </w:p>
    <w:p w14:paraId="01BA4A39" w14:textId="77777777" w:rsidR="004E6DB9" w:rsidRDefault="004E6DB9" w:rsidP="004E6DB9">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9DEB9" w14:textId="77777777" w:rsidR="00C570A0" w:rsidRDefault="00C570A0" w:rsidP="004E6DB9">
      <w:pPr>
        <w:spacing w:after="0" w:line="240" w:lineRule="auto"/>
      </w:pPr>
      <w:r>
        <w:separator/>
      </w:r>
    </w:p>
  </w:footnote>
  <w:footnote w:type="continuationSeparator" w:id="0">
    <w:p w14:paraId="6DFA17D5" w14:textId="77777777" w:rsidR="00C570A0" w:rsidRDefault="00C570A0" w:rsidP="004E6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B7E52"/>
    <w:multiLevelType w:val="hybridMultilevel"/>
    <w:tmpl w:val="EC6467B8"/>
    <w:lvl w:ilvl="0" w:tplc="972AC16C">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9840BA"/>
    <w:multiLevelType w:val="hybridMultilevel"/>
    <w:tmpl w:val="DF985146"/>
    <w:lvl w:ilvl="0" w:tplc="972AC16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408752">
    <w:abstractNumId w:val="1"/>
  </w:num>
  <w:num w:numId="2" w16cid:durableId="14158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DB9"/>
    <w:rsid w:val="001554D9"/>
    <w:rsid w:val="003A5267"/>
    <w:rsid w:val="004E6DB9"/>
    <w:rsid w:val="008C2728"/>
    <w:rsid w:val="009B3596"/>
    <w:rsid w:val="00B4476B"/>
    <w:rsid w:val="00C57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D51373"/>
  <w15:chartTrackingRefBased/>
  <w15:docId w15:val="{41D610E1-01A8-FF4E-95B2-A1B1474B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DB9"/>
  </w:style>
  <w:style w:type="paragraph" w:styleId="Heading1">
    <w:name w:val="heading 1"/>
    <w:basedOn w:val="Normal"/>
    <w:next w:val="Normal"/>
    <w:link w:val="Heading1Char"/>
    <w:uiPriority w:val="9"/>
    <w:qFormat/>
    <w:rsid w:val="004E6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DB9"/>
    <w:rPr>
      <w:rFonts w:eastAsiaTheme="majorEastAsia" w:cstheme="majorBidi"/>
      <w:color w:val="272727" w:themeColor="text1" w:themeTint="D8"/>
    </w:rPr>
  </w:style>
  <w:style w:type="paragraph" w:styleId="Title">
    <w:name w:val="Title"/>
    <w:basedOn w:val="Normal"/>
    <w:next w:val="Normal"/>
    <w:link w:val="TitleChar"/>
    <w:uiPriority w:val="10"/>
    <w:qFormat/>
    <w:rsid w:val="004E6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DB9"/>
    <w:pPr>
      <w:spacing w:before="160"/>
      <w:jc w:val="center"/>
    </w:pPr>
    <w:rPr>
      <w:i/>
      <w:iCs/>
      <w:color w:val="404040" w:themeColor="text1" w:themeTint="BF"/>
    </w:rPr>
  </w:style>
  <w:style w:type="character" w:customStyle="1" w:styleId="QuoteChar">
    <w:name w:val="Quote Char"/>
    <w:basedOn w:val="DefaultParagraphFont"/>
    <w:link w:val="Quote"/>
    <w:uiPriority w:val="29"/>
    <w:rsid w:val="004E6DB9"/>
    <w:rPr>
      <w:i/>
      <w:iCs/>
      <w:color w:val="404040" w:themeColor="text1" w:themeTint="BF"/>
    </w:rPr>
  </w:style>
  <w:style w:type="paragraph" w:styleId="ListParagraph">
    <w:name w:val="List Paragraph"/>
    <w:basedOn w:val="Normal"/>
    <w:uiPriority w:val="34"/>
    <w:qFormat/>
    <w:rsid w:val="004E6DB9"/>
    <w:pPr>
      <w:ind w:left="720"/>
      <w:contextualSpacing/>
    </w:pPr>
  </w:style>
  <w:style w:type="character" w:styleId="IntenseEmphasis">
    <w:name w:val="Intense Emphasis"/>
    <w:basedOn w:val="DefaultParagraphFont"/>
    <w:uiPriority w:val="21"/>
    <w:qFormat/>
    <w:rsid w:val="004E6DB9"/>
    <w:rPr>
      <w:i/>
      <w:iCs/>
      <w:color w:val="0F4761" w:themeColor="accent1" w:themeShade="BF"/>
    </w:rPr>
  </w:style>
  <w:style w:type="paragraph" w:styleId="IntenseQuote">
    <w:name w:val="Intense Quote"/>
    <w:basedOn w:val="Normal"/>
    <w:next w:val="Normal"/>
    <w:link w:val="IntenseQuoteChar"/>
    <w:uiPriority w:val="30"/>
    <w:qFormat/>
    <w:rsid w:val="004E6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DB9"/>
    <w:rPr>
      <w:i/>
      <w:iCs/>
      <w:color w:val="0F4761" w:themeColor="accent1" w:themeShade="BF"/>
    </w:rPr>
  </w:style>
  <w:style w:type="character" w:styleId="IntenseReference">
    <w:name w:val="Intense Reference"/>
    <w:basedOn w:val="DefaultParagraphFont"/>
    <w:uiPriority w:val="32"/>
    <w:qFormat/>
    <w:rsid w:val="004E6DB9"/>
    <w:rPr>
      <w:b/>
      <w:bCs/>
      <w:smallCaps/>
      <w:color w:val="0F4761" w:themeColor="accent1" w:themeShade="BF"/>
      <w:spacing w:val="5"/>
    </w:rPr>
  </w:style>
  <w:style w:type="paragraph" w:styleId="EndnoteText">
    <w:name w:val="endnote text"/>
    <w:basedOn w:val="Normal"/>
    <w:link w:val="EndnoteTextChar"/>
    <w:uiPriority w:val="99"/>
    <w:semiHidden/>
    <w:unhideWhenUsed/>
    <w:rsid w:val="004E6DB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E6DB9"/>
    <w:rPr>
      <w:sz w:val="20"/>
      <w:szCs w:val="20"/>
    </w:rPr>
  </w:style>
  <w:style w:type="character" w:styleId="EndnoteReference">
    <w:name w:val="endnote reference"/>
    <w:basedOn w:val="DefaultParagraphFont"/>
    <w:uiPriority w:val="99"/>
    <w:semiHidden/>
    <w:unhideWhenUsed/>
    <w:rsid w:val="004E6DB9"/>
    <w:rPr>
      <w:vertAlign w:val="superscript"/>
    </w:rPr>
  </w:style>
  <w:style w:type="paragraph" w:customStyle="1" w:styleId="p1">
    <w:name w:val="p1"/>
    <w:basedOn w:val="Normal"/>
    <w:rsid w:val="004E6DB9"/>
    <w:pPr>
      <w:spacing w:after="0" w:line="240" w:lineRule="auto"/>
    </w:pPr>
    <w:rPr>
      <w:rFonts w:ascii="Helvetica" w:eastAsia="Times New Roman" w:hAnsi="Helvetica" w:cs="Times New Roman"/>
      <w:color w:val="000000"/>
      <w:kern w:val="0"/>
      <w:sz w:val="14"/>
      <w:szCs w:val="1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1795</Words>
  <Characters>10214</Characters>
  <Application>Microsoft Office Word</Application>
  <DocSecurity>0</DocSecurity>
  <Lines>392</Lines>
  <Paragraphs>193</Paragraphs>
  <ScaleCrop>false</ScaleCrop>
  <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cp:lastPrinted>2026-02-27T17:56:00Z</cp:lastPrinted>
  <dcterms:created xsi:type="dcterms:W3CDTF">2026-02-26T17:48:00Z</dcterms:created>
  <dcterms:modified xsi:type="dcterms:W3CDTF">2026-02-27T20:15:00Z</dcterms:modified>
</cp:coreProperties>
</file>