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C6C6"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Claim</w:t>
      </w:r>
      <w:r w:rsidRPr="00D74488">
        <w:rPr>
          <w:rFonts w:ascii="Times New Roman" w:eastAsia="Times New Roman" w:hAnsi="Times New Roman" w:cs="Times New Roman"/>
          <w:kern w:val="0"/>
          <w14:ligatures w14:val="none"/>
        </w:rPr>
        <w:t xml:space="preserve"> – one sentence, starting with “This paragraph argues that…”</w:t>
      </w:r>
    </w:p>
    <w:p w14:paraId="06746B15"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Why it must exist</w:t>
      </w:r>
      <w:r w:rsidRPr="00D74488">
        <w:rPr>
          <w:rFonts w:ascii="Times New Roman" w:eastAsia="Times New Roman" w:hAnsi="Times New Roman" w:cs="Times New Roman"/>
          <w:kern w:val="0"/>
          <w14:ligatures w14:val="none"/>
        </w:rPr>
        <w:t xml:space="preserve"> – what breaks if this paragraph is missing?</w:t>
      </w:r>
    </w:p>
    <w:p w14:paraId="3B3CAD3E"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Where it points next</w:t>
      </w:r>
      <w:r w:rsidRPr="00D74488">
        <w:rPr>
          <w:rFonts w:ascii="Times New Roman" w:eastAsia="Times New Roman" w:hAnsi="Times New Roman" w:cs="Times New Roman"/>
          <w:kern w:val="0"/>
          <w14:ligatures w14:val="none"/>
        </w:rPr>
        <w:t xml:space="preserve"> – what question it leaves the reader with</w:t>
      </w:r>
    </w:p>
    <w:p w14:paraId="19B00EEE"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1</w:t>
      </w:r>
    </w:p>
    <w:p w14:paraId="7B5EFBCC" w14:textId="2CB71919" w:rsidR="0078023A" w:rsidRPr="00D74488" w:rsidRDefault="0078023A" w:rsidP="0078023A">
      <w:pPr>
        <w:pStyle w:val="NormalWeb"/>
        <w:numPr>
          <w:ilvl w:val="0"/>
          <w:numId w:val="2"/>
        </w:numPr>
      </w:pPr>
      <w:r w:rsidRPr="00D74488">
        <w:t>Claims</w:t>
      </w:r>
    </w:p>
    <w:p w14:paraId="5455C70E" w14:textId="4DD4B2EC" w:rsidR="0078023A" w:rsidRPr="00D74488" w:rsidRDefault="0078023A" w:rsidP="0078023A">
      <w:pPr>
        <w:pStyle w:val="NormalWeb"/>
        <w:numPr>
          <w:ilvl w:val="1"/>
          <w:numId w:val="2"/>
        </w:numPr>
      </w:pPr>
      <w:r w:rsidRPr="00D74488">
        <w:t>Good representation is central to the study of demcoracy</w:t>
      </w:r>
    </w:p>
    <w:p w14:paraId="05EEB2A1" w14:textId="11E93395" w:rsidR="0078023A" w:rsidRPr="00D74488" w:rsidRDefault="0078023A" w:rsidP="0078023A">
      <w:pPr>
        <w:pStyle w:val="NormalWeb"/>
        <w:numPr>
          <w:ilvl w:val="1"/>
          <w:numId w:val="2"/>
        </w:numPr>
      </w:pPr>
      <w:r w:rsidRPr="00D74488">
        <w:t>Widely shared normative commitment across political science and public policy</w:t>
      </w:r>
    </w:p>
    <w:p w14:paraId="31478529" w14:textId="606B76C1" w:rsidR="0078023A" w:rsidRPr="00D74488" w:rsidRDefault="0078023A" w:rsidP="0078023A">
      <w:pPr>
        <w:pStyle w:val="NormalWeb"/>
        <w:numPr>
          <w:ilvl w:val="1"/>
          <w:numId w:val="2"/>
        </w:numPr>
      </w:pPr>
      <w:r w:rsidRPr="00D74488">
        <w:t>Sets the stakes: democracy is evaluated through representation</w:t>
      </w:r>
    </w:p>
    <w:p w14:paraId="42BF7D3D" w14:textId="7707C719" w:rsidR="0078023A" w:rsidRPr="00D74488"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Why this para must exist: Establishes stakes and disciplinary relevance without committing to a single metric. Establishes the big tent and stakes: democracy is evaluated through representation, one way is through descriptive representation</w:t>
      </w:r>
    </w:p>
    <w:p w14:paraId="47345491" w14:textId="766F0BBE" w:rsidR="0078023A" w:rsidRPr="00D74488"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Points next: If representation is contested, what benchmarks do scholars use? What is descriptive Representation</w:t>
      </w:r>
    </w:p>
    <w:p w14:paraId="1F6680AD"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paragraph should:</w:t>
      </w:r>
    </w:p>
    <w:p w14:paraId="3A633B26"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Assert that representation is the core evaluative concept of democracy</w:t>
      </w:r>
    </w:p>
    <w:p w14:paraId="0BE0F387"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Signal disciplinary consensus on its importance</w:t>
      </w:r>
    </w:p>
    <w:p w14:paraId="4FEB49E6"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Surface the paradox: centrality without clarity</w:t>
      </w:r>
    </w:p>
    <w:p w14:paraId="107EDDD1"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End by positioning descriptive representation as one </w:t>
      </w:r>
      <w:r w:rsidRPr="00D74488">
        <w:rPr>
          <w:rFonts w:ascii="Times New Roman" w:eastAsia="Times New Roman" w:hAnsi="Times New Roman" w:cs="Times New Roman"/>
          <w:i/>
          <w:iCs/>
          <w:kern w:val="0"/>
          <w14:ligatures w14:val="none"/>
        </w:rPr>
        <w:t>response</w:t>
      </w:r>
      <w:r w:rsidRPr="00D74488">
        <w:rPr>
          <w:rFonts w:ascii="Times New Roman" w:eastAsia="Times New Roman" w:hAnsi="Times New Roman" w:cs="Times New Roman"/>
          <w:kern w:val="0"/>
          <w14:ligatures w14:val="none"/>
        </w:rPr>
        <w:t xml:space="preserve"> to that paradox (not the answer)</w:t>
      </w:r>
    </w:p>
    <w:p w14:paraId="6E10458F"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It should </w:t>
      </w:r>
      <w:r w:rsidRPr="00D74488">
        <w:rPr>
          <w:rFonts w:ascii="Times New Roman" w:eastAsia="Times New Roman" w:hAnsi="Times New Roman" w:cs="Times New Roman"/>
          <w:i/>
          <w:iCs/>
          <w:kern w:val="0"/>
          <w14:ligatures w14:val="none"/>
        </w:rPr>
        <w:t>not</w:t>
      </w:r>
      <w:r w:rsidRPr="00D74488">
        <w:rPr>
          <w:rFonts w:ascii="Times New Roman" w:eastAsia="Times New Roman" w:hAnsi="Times New Roman" w:cs="Times New Roman"/>
          <w:kern w:val="0"/>
          <w14:ligatures w14:val="none"/>
        </w:rPr>
        <w:t>:</w:t>
      </w:r>
    </w:p>
    <w:p w14:paraId="0149665B" w14:textId="77777777" w:rsidR="00662EFC" w:rsidRPr="00D74488"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Argue for descriptive representation yet</w:t>
      </w:r>
    </w:p>
    <w:p w14:paraId="77E857A5" w14:textId="77777777" w:rsidR="00662EFC" w:rsidRPr="00D74488"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incarceration</w:t>
      </w:r>
    </w:p>
    <w:p w14:paraId="7C961074" w14:textId="77777777" w:rsidR="00662EFC" w:rsidRPr="00D74488" w:rsidRDefault="00662EFC" w:rsidP="0078023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6CCB4B4" w14:textId="5487E62C"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2:</w:t>
      </w:r>
      <w:r w:rsidRPr="00D74488">
        <w:rPr>
          <w:rFonts w:ascii="Times New Roman" w:eastAsia="Times New Roman" w:hAnsi="Times New Roman" w:cs="Times New Roman"/>
          <w:kern w:val="0"/>
          <w14:ligatures w14:val="none"/>
        </w:rPr>
        <w:t xml:space="preserve"> Descriptive representation is one normative benchmark thought to …</w:t>
      </w:r>
    </w:p>
    <w:p w14:paraId="798BD27F" w14:textId="1E250D83" w:rsidR="0078023A"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Descriptive representation is  (not the only) one normative benchmark used to evaluate representation</w:t>
      </w:r>
    </w:p>
    <w:p w14:paraId="2D34804D" w14:textId="252966BA" w:rsidR="00BA0102" w:rsidRPr="00D74488" w:rsidRDefault="00803A77" w:rsidP="00BA010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Legislator </w:t>
      </w:r>
      <w:r w:rsidR="00BA0102" w:rsidRPr="00D74488">
        <w:rPr>
          <w:rFonts w:ascii="Times New Roman" w:eastAsia="Times New Roman" w:hAnsi="Times New Roman" w:cs="Times New Roman"/>
          <w:kern w:val="0"/>
          <w14:ligatures w14:val="none"/>
        </w:rPr>
        <w:t>Characteristics</w:t>
      </w:r>
    </w:p>
    <w:p w14:paraId="3D83D133" w14:textId="6B826878" w:rsidR="00BA0102" w:rsidRPr="00D74488" w:rsidRDefault="00BA0102" w:rsidP="00BA010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Occupation, education, wealth, income, familiy of origin (usually occupation or wealth of a persons primary caretaker during childhood)</w:t>
      </w:r>
    </w:p>
    <w:p w14:paraId="57169810" w14:textId="6962C29B"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Each measured in different ways</w:t>
      </w:r>
    </w:p>
    <w:p w14:paraId="39938656" w14:textId="66AE72CF"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Wealth varies for example from in one case land ownership (Rossi 2014) to net worth (Frumbach 2015) and financial assets (Stacy 2020)</w:t>
      </w:r>
    </w:p>
    <w:p w14:paraId="7969DA8E" w14:textId="5E41E62D"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Large debate about best way to measure of ceonceive of occupation (Carnes &amp; Lupu Review)</w:t>
      </w:r>
    </w:p>
    <w:p w14:paraId="3A00DB4E" w14:textId="215928E1" w:rsidR="00803A77" w:rsidRPr="00D74488"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Studied for </w:t>
      </w:r>
    </w:p>
    <w:p w14:paraId="2665DF7B" w14:textId="73A60528"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First, gaining snapshots – who politicians were (Matthews 1954) </w:t>
      </w:r>
    </w:p>
    <w:p w14:paraId="3825B91C" w14:textId="69777239"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or trends in changes across time </w:t>
      </w:r>
    </w:p>
    <w:p w14:paraId="3C8B4D92" w14:textId="775483A5"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Economic background</w:t>
      </w:r>
    </w:p>
    <w:p w14:paraId="6069F8BE" w14:textId="6EC8CCF7"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congruence</w:t>
      </w:r>
    </w:p>
    <w:p w14:paraId="5783EE7C" w14:textId="77777777" w:rsidR="00803A77" w:rsidRPr="00D74488" w:rsidRDefault="00803A77" w:rsidP="00803A77">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08FDCBE" w14:textId="6F1C2D59" w:rsidR="00803A77" w:rsidRPr="00D74488" w:rsidRDefault="0078023A" w:rsidP="00803A77">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Often invoked as a proxy or entry point to understand/study</w:t>
      </w:r>
    </w:p>
    <w:p w14:paraId="7ED7B440" w14:textId="6A2DDDD5" w:rsidR="00803A77" w:rsidRPr="00D74488"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frame as causes consequences of descriptive inequalities</w:t>
      </w:r>
    </w:p>
    <w:p w14:paraId="138C8306" w14:textId="5B16C8A2"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Snapshots</w:t>
      </w:r>
    </w:p>
    <w:p w14:paraId="0403532D" w14:textId="0C8FE7A7"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Upstream</w:t>
      </w:r>
    </w:p>
    <w:p w14:paraId="46498EA8" w14:textId="42A31103"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downstream</w:t>
      </w:r>
    </w:p>
    <w:p w14:paraId="6CE68357" w14:textId="523B4525" w:rsidR="00BD386E" w:rsidRPr="00D74488" w:rsidRDefault="00BD386E" w:rsidP="00BD386E">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Service responsiveness</w:t>
      </w:r>
      <w:r w:rsidR="00803A77" w:rsidRPr="00D74488">
        <w:rPr>
          <w:rFonts w:ascii="Times New Roman" w:eastAsia="Times New Roman" w:hAnsi="Times New Roman" w:cs="Times New Roman"/>
          <w:kern w:val="0"/>
          <w14:ligatures w14:val="none"/>
        </w:rPr>
        <w:t xml:space="preserve"> (legislator constituent relationships)</w:t>
      </w:r>
    </w:p>
    <w:p w14:paraId="7A246F7B" w14:textId="2AF2F2CF" w:rsidR="00803A77" w:rsidRPr="00D74488" w:rsidRDefault="00D25FD2"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Thought to facilitate trust via shared experience between legislator and constituent</w:t>
      </w:r>
    </w:p>
    <w:p w14:paraId="73594334" w14:textId="002A2BFF" w:rsidR="0078023A" w:rsidRPr="00D74488"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Policy responsiveness </w:t>
      </w:r>
      <w:r w:rsidR="00BD386E" w:rsidRPr="00D74488">
        <w:rPr>
          <w:rFonts w:ascii="Times New Roman" w:eastAsia="Times New Roman" w:hAnsi="Times New Roman" w:cs="Times New Roman"/>
          <w:kern w:val="0"/>
          <w14:ligatures w14:val="none"/>
        </w:rPr>
        <w:t>or substantive representation</w:t>
      </w:r>
    </w:p>
    <w:p w14:paraId="4CABF9E9" w14:textId="04BD5B55" w:rsidR="00BD386E" w:rsidRPr="00D74488"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Substantive representation as an </w:t>
      </w:r>
      <w:r w:rsidRPr="00D74488">
        <w:rPr>
          <w:rFonts w:ascii="Times New Roman" w:eastAsia="Times New Roman" w:hAnsi="Times New Roman" w:cs="Times New Roman"/>
          <w:b/>
          <w:bCs/>
          <w:kern w:val="0"/>
          <w14:ligatures w14:val="none"/>
        </w:rPr>
        <w:t>outcome</w:t>
      </w:r>
      <w:r w:rsidRPr="00D74488">
        <w:rPr>
          <w:rFonts w:ascii="Times New Roman" w:eastAsia="Times New Roman" w:hAnsi="Times New Roman" w:cs="Times New Roman"/>
          <w:kern w:val="0"/>
          <w14:ligatures w14:val="none"/>
        </w:rPr>
        <w:t xml:space="preserve"> </w:t>
      </w:r>
    </w:p>
    <w:p w14:paraId="55DB738A" w14:textId="36B3A558"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“consequences for values, preferences, behaviors of individual politicians/policy outcomes at the level of the political institutions (Carnes &amp; Lupu)</w:t>
      </w:r>
    </w:p>
    <w:p w14:paraId="6F0303CD" w14:textId="1233076C" w:rsidR="00BD386E" w:rsidRPr="00D74488"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Substantive representation as a </w:t>
      </w:r>
      <w:r w:rsidRPr="00D74488">
        <w:rPr>
          <w:rFonts w:ascii="Times New Roman" w:eastAsia="Times New Roman" w:hAnsi="Times New Roman" w:cs="Times New Roman"/>
          <w:b/>
          <w:bCs/>
          <w:kern w:val="0"/>
          <w14:ligatures w14:val="none"/>
        </w:rPr>
        <w:t>process</w:t>
      </w:r>
      <w:r w:rsidRPr="00D74488">
        <w:rPr>
          <w:rFonts w:ascii="Times New Roman" w:eastAsia="Times New Roman" w:hAnsi="Times New Roman" w:cs="Times New Roman"/>
          <w:kern w:val="0"/>
          <w14:ligatures w14:val="none"/>
        </w:rPr>
        <w:t xml:space="preserve"> – </w:t>
      </w:r>
    </w:p>
    <w:p w14:paraId="1F0BC6F3" w14:textId="59C48878" w:rsidR="00BD386E" w:rsidRPr="00D74488" w:rsidRDefault="00BD386E" w:rsidP="00BD386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Can involve symbolic inclusion recognition </w:t>
      </w:r>
    </w:p>
    <w:p w14:paraId="3CE4A0E4" w14:textId="206B1B8A" w:rsidR="0078023A" w:rsidRPr="00D74488"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Symbolic inclusion/recognition</w:t>
      </w:r>
    </w:p>
    <w:p w14:paraId="7DD9D44A" w14:textId="77C125F0"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paragraph must exist because it introduces the concept that is my project’s theoretical inroad: descriptive representation and what it should do in theory;</w:t>
      </w:r>
    </w:p>
    <w:p w14:paraId="7B94C9EA" w14:textId="65B9F16E"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Not talking about carceral citizens yet</w:t>
      </w:r>
    </w:p>
    <w:p w14:paraId="475941BE" w14:textId="20924FA8" w:rsidR="00F60858" w:rsidRPr="00D74488" w:rsidRDefault="00F60858" w:rsidP="00F60858">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Points to what we know about when/whether descriptive representation matters, status</w:t>
      </w:r>
    </w:p>
    <w:p w14:paraId="56037825" w14:textId="06CC1673"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74488">
        <w:rPr>
          <w:rFonts w:ascii="Times New Roman" w:eastAsia="Times New Roman" w:hAnsi="Times New Roman" w:cs="Times New Roman"/>
          <w:b/>
          <w:bCs/>
          <w:kern w:val="0"/>
          <w:sz w:val="28"/>
          <w:szCs w:val="28"/>
          <w14:ligatures w14:val="none"/>
        </w:rPr>
        <w:t>Paragraph 3</w:t>
      </w:r>
      <w:r w:rsidRPr="00D74488">
        <w:rPr>
          <w:rFonts w:ascii="Times New Roman" w:eastAsia="Times New Roman" w:hAnsi="Times New Roman" w:cs="Times New Roman"/>
          <w:kern w:val="0"/>
          <w:sz w:val="28"/>
          <w:szCs w:val="28"/>
          <w14:ligatures w14:val="none"/>
        </w:rPr>
        <w:t xml:space="preserve"> – Empirical paragraph on descriptive representation</w:t>
      </w:r>
    </w:p>
    <w:p w14:paraId="51817894" w14:textId="10AE3390"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We know descriptive rep is associated with increased</w:t>
      </w:r>
    </w:p>
    <w:p w14:paraId="78AFC2D3" w14:textId="53CA6BBE" w:rsidR="00BD386E" w:rsidRPr="00D74488"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Trust</w:t>
      </w:r>
      <w:r w:rsidRPr="00D74488">
        <w:rPr>
          <w:rFonts w:ascii="Times New Roman" w:eastAsia="Times New Roman" w:hAnsi="Times New Roman" w:cs="Times New Roman"/>
          <w:kern w:val="0"/>
          <w14:ligatures w14:val="none"/>
        </w:rPr>
        <w:t xml:space="preserve"> between constituents and legislators</w:t>
      </w:r>
    </w:p>
    <w:p w14:paraId="38527B7F" w14:textId="4F5899F7" w:rsidR="00A30F02" w:rsidRPr="00D74488" w:rsidRDefault="00A30F02"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hAnsi="Times New Roman" w:cs="Times New Roman"/>
        </w:rPr>
        <w:t>Black constituents consistently report feeling better represented – having a stronger say in government actions – when represented by Black legislators (Gleason and Stout 2014).</w:t>
      </w:r>
    </w:p>
    <w:p w14:paraId="01A5AF76" w14:textId="7E34529E"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Trust in political institutions (Clayton </w:t>
      </w:r>
      <w:r w:rsidR="007246DB" w:rsidRPr="00D74488">
        <w:rPr>
          <w:rFonts w:ascii="Times New Roman" w:eastAsia="Times New Roman" w:hAnsi="Times New Roman" w:cs="Times New Roman"/>
          <w:kern w:val="0"/>
          <w14:ligatures w14:val="none"/>
        </w:rPr>
        <w:t>– women)</w:t>
      </w:r>
    </w:p>
    <w:p w14:paraId="500C7268" w14:textId="11B60902" w:rsidR="007246DB" w:rsidRPr="00D74488" w:rsidRDefault="007246DB"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When more working class backgrounds in latin american countries, more trust in legislators </w:t>
      </w:r>
    </w:p>
    <w:p w14:paraId="4E060310" w14:textId="6AE86F7C" w:rsidR="00A30F02" w:rsidRPr="00D74488" w:rsidRDefault="00A30F02" w:rsidP="00A30F02">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Legislators discriminate based on constituent race (Butler &amp; Broockman)</w:t>
      </w:r>
    </w:p>
    <w:p w14:paraId="46E5CB29" w14:textId="6BC0783F" w:rsidR="00BD386E" w:rsidRPr="00D74488"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Political </w:t>
      </w:r>
      <w:r w:rsidRPr="00D74488">
        <w:rPr>
          <w:rFonts w:ascii="Times New Roman" w:eastAsia="Times New Roman" w:hAnsi="Times New Roman" w:cs="Times New Roman"/>
          <w:b/>
          <w:bCs/>
          <w:kern w:val="0"/>
          <w14:ligatures w14:val="none"/>
        </w:rPr>
        <w:t>participation</w:t>
      </w:r>
    </w:p>
    <w:p w14:paraId="18CB0BFF" w14:textId="4097E272" w:rsidR="00C43D8D" w:rsidRPr="00D74488" w:rsidRDefault="00C43D8D" w:rsidP="00C43D8D">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hAnsi="Times New Roman" w:cs="Times New Roman"/>
        </w:rPr>
        <w:t>Black descriptive representation generates political empowerment and participation (Bobo and Gilliam 1990, Clark 2019).</w:t>
      </w:r>
    </w:p>
    <w:p w14:paraId="50E8F249" w14:textId="00B767C9" w:rsidR="0078023A" w:rsidRPr="00D74488"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Substantive</w:t>
      </w:r>
      <w:r w:rsidRPr="00D74488">
        <w:rPr>
          <w:rFonts w:ascii="Times New Roman" w:eastAsia="Times New Roman" w:hAnsi="Times New Roman" w:cs="Times New Roman"/>
          <w:kern w:val="0"/>
          <w14:ligatures w14:val="none"/>
        </w:rPr>
        <w:t xml:space="preserve"> representation</w:t>
      </w:r>
      <w:r w:rsidR="00CE7C71" w:rsidRPr="00D74488">
        <w:rPr>
          <w:rFonts w:ascii="Times New Roman" w:eastAsia="Times New Roman" w:hAnsi="Times New Roman" w:cs="Times New Roman"/>
          <w:kern w:val="0"/>
          <w14:ligatures w14:val="none"/>
        </w:rPr>
        <w:t xml:space="preserve"> (preferences/interests, then policy action/behavior, then outcomes)</w:t>
      </w:r>
    </w:p>
    <w:p w14:paraId="7F38459B" w14:textId="3AAF5F2F"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outcome</w:t>
      </w:r>
    </w:p>
    <w:p w14:paraId="76AFD194" w14:textId="77777777" w:rsidR="00803A77" w:rsidRPr="00D74488"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w:t>
      </w:r>
      <w:r w:rsidR="00BA0102" w:rsidRPr="00D74488">
        <w:rPr>
          <w:rFonts w:ascii="Times New Roman" w:eastAsia="Times New Roman" w:hAnsi="Times New Roman" w:cs="Times New Roman"/>
          <w:kern w:val="0"/>
          <w14:ligatures w14:val="none"/>
        </w:rPr>
        <w:t xml:space="preserve">efined as in interests </w:t>
      </w:r>
    </w:p>
    <w:p w14:paraId="59E03C62" w14:textId="2040F2D0" w:rsidR="00803A77" w:rsidRPr="00D74488"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t>
      </w:r>
      <w:r w:rsidR="00803A77" w:rsidRPr="00D74488">
        <w:rPr>
          <w:rFonts w:ascii="Times New Roman" w:eastAsia="Times New Roman" w:hAnsi="Times New Roman" w:cs="Times New Roman"/>
          <w:kern w:val="0"/>
          <w14:ligatures w14:val="none"/>
        </w:rPr>
        <w:t xml:space="preserve">women - </w:t>
      </w:r>
      <w:r w:rsidRPr="00D74488">
        <w:rPr>
          <w:rFonts w:ascii="Times New Roman" w:eastAsia="Times New Roman" w:hAnsi="Times New Roman" w:cs="Times New Roman"/>
          <w:kern w:val="0"/>
          <w14:ligatures w14:val="none"/>
        </w:rPr>
        <w:t>Clayton)</w:t>
      </w:r>
    </w:p>
    <w:p w14:paraId="48D9F81F" w14:textId="77777777" w:rsidR="00803A77" w:rsidRPr="00D74488" w:rsidRDefault="00803A77"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p>
    <w:p w14:paraId="101A86BE" w14:textId="77777777" w:rsidR="00803A77" w:rsidRPr="00D74488"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Defined </w:t>
      </w:r>
      <w:r w:rsidR="00BA0102" w:rsidRPr="00D74488">
        <w:rPr>
          <w:rFonts w:ascii="Times New Roman" w:eastAsia="Times New Roman" w:hAnsi="Times New Roman" w:cs="Times New Roman"/>
          <w:kern w:val="0"/>
          <w14:ligatures w14:val="none"/>
        </w:rPr>
        <w:t xml:space="preserve">as preferences </w:t>
      </w:r>
    </w:p>
    <w:p w14:paraId="0F558482" w14:textId="0CA7D0A1" w:rsidR="00C43D8D" w:rsidRPr="00D74488" w:rsidRDefault="00C43D8D"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w:t>
      </w:r>
    </w:p>
    <w:p w14:paraId="7F93942E" w14:textId="7956BB1F" w:rsidR="00BA0102" w:rsidRPr="00D74488"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w:t>
      </w:r>
      <w:r w:rsidR="00803A77" w:rsidRPr="00D74488">
        <w:rPr>
          <w:rFonts w:ascii="Times New Roman" w:eastAsia="Times New Roman" w:hAnsi="Times New Roman" w:cs="Times New Roman"/>
          <w:kern w:val="0"/>
          <w14:ligatures w14:val="none"/>
        </w:rPr>
        <w:t xml:space="preserve">women - </w:t>
      </w:r>
      <w:r w:rsidRPr="00D74488">
        <w:rPr>
          <w:rFonts w:ascii="Times New Roman" w:eastAsia="Times New Roman" w:hAnsi="Times New Roman" w:cs="Times New Roman"/>
          <w:kern w:val="0"/>
          <w14:ligatures w14:val="none"/>
        </w:rPr>
        <w:t>Clayton)</w:t>
      </w:r>
    </w:p>
    <w:p w14:paraId="50F80CB8" w14:textId="170034A7" w:rsidR="00803A77" w:rsidRPr="00D74488" w:rsidRDefault="00CE7C71"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whether “because of differences in self-interests (Meltzer &amp; Richard 1981), general ideology (Piketty 1995) or social networks (Keely &amp; Tan 2008, Manza &amp; Brooks 2008)” . . . “people who are more economically advantaged in society tend to be more supportive of rightist economic policy” (259-258 C&amp; L R). . . “politicians who are more personally conservative on economic issues are those from professional or white-color jobs in Ireland, Latin America, and the United States” (259-258 C&amp; L R).. ..  or from business backgrounds, or earn higher incomes</w:t>
      </w:r>
    </w:p>
    <w:p w14:paraId="1296A720" w14:textId="145658FA" w:rsidR="00CE7C71" w:rsidRPr="00D74488" w:rsidRDefault="00CE7C71" w:rsidP="00CE7C71">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economically advantaged politicians tend to have views congruent with preferences of economically advantaged citizens, which cuts across education </w:t>
      </w:r>
    </w:p>
    <w:p w14:paraId="7BE82FA1" w14:textId="1B56FF82" w:rsidR="00BD386E" w:rsidRPr="00D74488" w:rsidRDefault="00BD386E"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Particularly in moments of policy innovation, or an issue is in early stages of policy redress (Bratton &amp; Ray 2002, from Clayton)</w:t>
      </w:r>
    </w:p>
    <w:p w14:paraId="48601447" w14:textId="77777777" w:rsidR="00A30F02" w:rsidRPr="00D74488" w:rsidRDefault="00A30F02" w:rsidP="00A30F02">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Economically advantaged legislators may be better able to get their legislation passed </w:t>
      </w:r>
    </w:p>
    <w:p w14:paraId="3F1FF753" w14:textId="77777777" w:rsidR="00A30F02" w:rsidRPr="00D74488" w:rsidRDefault="00A30F02"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53A33E58" w14:textId="5AE4DAD7"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process</w:t>
      </w:r>
    </w:p>
    <w:p w14:paraId="03416471" w14:textId="77777777" w:rsidR="00A30F02" w:rsidRPr="00D74488" w:rsidRDefault="00A30F02" w:rsidP="00A30F02">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w:t>
      </w:r>
    </w:p>
    <w:p w14:paraId="7EB701EA" w14:textId="00910DC8" w:rsidR="00A30F02" w:rsidRPr="00D74488"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Bills supported by civil rights groups more likely to receive committee markup when committees have more Black/Latino members (Minta)</w:t>
      </w:r>
    </w:p>
    <w:p w14:paraId="08AB1125" w14:textId="5A7B2CB9" w:rsidR="00A30F02" w:rsidRPr="00D74488"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p>
    <w:p w14:paraId="5B2A5D12" w14:textId="77777777" w:rsidR="00A30F02" w:rsidRPr="00D74488" w:rsidRDefault="00A30F02"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2A280C87" w14:textId="48CEB09B"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These associations motivate scholarly and institutional interest</w:t>
      </w:r>
    </w:p>
    <w:p w14:paraId="6743961C" w14:textId="087671B9"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Moreover, some countries even enshrine descriptive representation in law or constitutions</w:t>
      </w:r>
    </w:p>
    <w:p w14:paraId="609D0579" w14:textId="52C47479"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Literature to engage: Amanda </w:t>
      </w:r>
      <w:r w:rsidR="00F60858" w:rsidRPr="00D74488">
        <w:rPr>
          <w:rFonts w:ascii="Times New Roman" w:eastAsia="Times New Roman" w:hAnsi="Times New Roman" w:cs="Times New Roman"/>
          <w:kern w:val="0"/>
          <w14:ligatures w14:val="none"/>
        </w:rPr>
        <w:t xml:space="preserve">Clayton </w:t>
      </w:r>
    </w:p>
    <w:p w14:paraId="1EF97926" w14:textId="3F68A4BD" w:rsidR="00F60858" w:rsidRPr="00D7448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Carnes &amp; Lupu</w:t>
      </w:r>
    </w:p>
    <w:p w14:paraId="1798BA9E" w14:textId="34CBFCE6" w:rsidR="00F60858" w:rsidRPr="00D7448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Nadia Brown</w:t>
      </w:r>
    </w:p>
    <w:p w14:paraId="1F4D144A" w14:textId="0BB6F160" w:rsidR="00F60858" w:rsidRPr="00D74488" w:rsidRDefault="00F60858" w:rsidP="00F60858">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paragraph must exist because it’s introducing what people have measured, building the scaffolding by adding </w:t>
      </w:r>
      <w:r w:rsidRPr="00D74488">
        <w:rPr>
          <w:rFonts w:ascii="Times New Roman" w:eastAsia="Times New Roman" w:hAnsi="Times New Roman" w:cs="Times New Roman"/>
          <w:kern w:val="0"/>
          <w:u w:val="single"/>
          <w14:ligatures w14:val="none"/>
        </w:rPr>
        <w:t>reasons</w:t>
      </w:r>
      <w:r w:rsidRPr="00D74488">
        <w:rPr>
          <w:rFonts w:ascii="Times New Roman" w:eastAsia="Times New Roman" w:hAnsi="Times New Roman" w:cs="Times New Roman"/>
          <w:kern w:val="0"/>
          <w14:ligatures w14:val="none"/>
        </w:rPr>
        <w:t xml:space="preserve"> why descriptive representation is known to matter, and bread crumbs for later expectations about CC’s as special case and likely under-representated</w:t>
      </w:r>
    </w:p>
    <w:p w14:paraId="326EF746" w14:textId="02519A51" w:rsidR="0078023A" w:rsidRPr="00D74488" w:rsidRDefault="00F60858"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points to the “special cases” paragraph – which highlights exactly when/for whom descriptive representation is especially important. </w:t>
      </w:r>
    </w:p>
    <w:p w14:paraId="1869E6DB" w14:textId="77777777" w:rsidR="00662EFC" w:rsidRPr="00D74488" w:rsidRDefault="00662EFC" w:rsidP="00C43D8D">
      <w:pPr>
        <w:spacing w:before="100" w:beforeAutospacing="1" w:after="100" w:afterAutospacing="1" w:line="240" w:lineRule="auto"/>
        <w:rPr>
          <w:rFonts w:ascii="Times New Roman" w:eastAsia="Times New Roman" w:hAnsi="Times New Roman" w:cs="Times New Roman"/>
          <w:kern w:val="0"/>
          <w14:ligatures w14:val="none"/>
        </w:rPr>
      </w:pPr>
    </w:p>
    <w:p w14:paraId="4589A333"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 xml:space="preserve">While Black and minority descriptive representation has made gains since the passage of the VRA, Congress and legislatures fall of proportional representation (McClain and Carew 2017, Pew 2023). On aggregate, state legislatures continue to dramatically under dramatically underrepresent the demographic groups most affected by incarceration – composed of only </w:t>
      </w:r>
      <w:r w:rsidRPr="00D74488">
        <w:rPr>
          <w:rFonts w:ascii="Times New Roman" w:hAnsi="Times New Roman" w:cs="Times New Roman"/>
        </w:rPr>
        <w:lastRenderedPageBreak/>
        <w:t>10.55% Black and 6.34% Hispanic elected officials. These disparities likely extend to legislative leadership positions, though current comprehensive data is limited.</w:t>
      </w:r>
    </w:p>
    <w:p w14:paraId="4C46B13F" w14:textId="77777777" w:rsidR="00C43D8D" w:rsidRPr="00D74488" w:rsidRDefault="00C43D8D" w:rsidP="00C43D8D">
      <w:pPr>
        <w:spacing w:line="360" w:lineRule="auto"/>
        <w:rPr>
          <w:rFonts w:ascii="Times New Roman" w:hAnsi="Times New Roman" w:cs="Times New Roman"/>
        </w:rPr>
      </w:pPr>
    </w:p>
    <w:p w14:paraId="4F0A8FEF" w14:textId="77777777" w:rsidR="00C43D8D" w:rsidRPr="00D74488" w:rsidRDefault="00C43D8D" w:rsidP="00C43D8D">
      <w:pPr>
        <w:spacing w:line="360" w:lineRule="auto"/>
        <w:rPr>
          <w:rFonts w:ascii="Times New Roman" w:hAnsi="Times New Roman" w:cs="Times New Roman"/>
        </w:rPr>
      </w:pPr>
    </w:p>
    <w:p w14:paraId="634099B1"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Elected officials in congress and in the states are “almost always wealthier, more educated, and more likely to come from white-collar jobs than the citizens who elect them” (Carnes 2012). In Congress, less than 2 percent of the average representative's pre-congressional career was spent in working-class jobs, contrasting sharply with the over 50% working-class composition of the U.S. labor force (Carnes and Lupu 2015).</w:t>
      </w:r>
    </w:p>
    <w:p w14:paraId="2DD93378"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 xml:space="preserve">“Descriptive representation transforms democratic institutions,” Brown, Clark, Mahoney and Strawbridge write (2023). In their article, building on Brown’s work in particular, the authors show how that the election of Black women to congress has facilitated the crystallization of interests. </w:t>
      </w:r>
    </w:p>
    <w:p w14:paraId="6B7E9791"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22E02F25"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1BF5F375"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7726A00F" w14:textId="1096BE51"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4</w:t>
      </w:r>
      <w:r w:rsidRPr="00D74488">
        <w:rPr>
          <w:rFonts w:ascii="Times New Roman" w:eastAsia="Times New Roman" w:hAnsi="Times New Roman" w:cs="Times New Roman"/>
          <w:kern w:val="0"/>
          <w14:ligatures w14:val="none"/>
        </w:rPr>
        <w:t xml:space="preserve"> – not every</w:t>
      </w:r>
      <w:r w:rsidR="00F60858" w:rsidRPr="00D74488">
        <w:rPr>
          <w:rFonts w:ascii="Times New Roman" w:eastAsia="Times New Roman" w:hAnsi="Times New Roman" w:cs="Times New Roman"/>
          <w:kern w:val="0"/>
          <w14:ligatures w14:val="none"/>
        </w:rPr>
        <w:t xml:space="preserve"> group needs descriptive representation, but some especially do </w:t>
      </w:r>
    </w:p>
    <w:p w14:paraId="66797F6F" w14:textId="77777777" w:rsidR="00F60858"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Defend subgroup cases</w:t>
      </w:r>
      <w:r w:rsidR="00F60858" w:rsidRPr="00D74488">
        <w:rPr>
          <w:rFonts w:ascii="Times New Roman" w:eastAsia="Times New Roman" w:hAnsi="Times New Roman" w:cs="Times New Roman"/>
          <w:kern w:val="0"/>
          <w14:ligatures w14:val="none"/>
        </w:rPr>
        <w:t xml:space="preserve"> – tho not normatively required for all groups…</w:t>
      </w:r>
    </w:p>
    <w:p w14:paraId="52FD5E53" w14:textId="1FA8447F"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i/>
          <w:iCs/>
          <w:kern w:val="0"/>
          <w14:ligatures w14:val="none"/>
        </w:rPr>
        <w:t>Define</w:t>
      </w:r>
      <w:r w:rsidRPr="00D74488">
        <w:rPr>
          <w:rFonts w:ascii="Times New Roman" w:eastAsia="Times New Roman" w:hAnsi="Times New Roman" w:cs="Times New Roman"/>
          <w:kern w:val="0"/>
          <w14:ligatures w14:val="none"/>
        </w:rPr>
        <w:t xml:space="preserve"> subgroup cases:</w:t>
      </w:r>
    </w:p>
    <w:p w14:paraId="61558D01" w14:textId="77777777" w:rsidR="00D25FD2" w:rsidRPr="00D74488" w:rsidRDefault="00D25FD2"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 </w:t>
      </w:r>
    </w:p>
    <w:p w14:paraId="11B4DAF3" w14:textId="36699D3E"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1. Contexts of communicative distrust between dominant and subordinate groups, as shared experience can facilitate communication between reprsentatives and constituents</w:t>
      </w:r>
    </w:p>
    <w:p w14:paraId="1CE79FD2" w14:textId="3D5809B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History of dominance can breed inattention from dominant group, and distrust from subordinate group, so non-descriptive representation might not allow for effective surrogacy</w:t>
      </w:r>
    </w:p>
    <w:p w14:paraId="2F2DB5B8" w14:textId="4A559865"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2. Context of uncrystallized interests – issues are new to political agenda and parties haven’t organized around them, candidates haven’t taken pubic opinions – horizontal communication amongst legislators (process) </w:t>
      </w:r>
    </w:p>
    <w:p w14:paraId="13900687" w14:textId="21C55AAC"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3. Context where group’s “ability to rule” has been historically questioned – legal exclusion from voting/governing means the absence of group members from governing bodies reinforces the message that such persons are unfit to rule; </w:t>
      </w:r>
    </w:p>
    <w:p w14:paraId="0E392F01" w14:textId="660A7BFD"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Proportional presence disrupts that meaning – Mansbridge argues this matters more for changing the psychology of dominant groups than for providing role models to subordinate groups (culture, process) </w:t>
      </w:r>
    </w:p>
    <w:p w14:paraId="2AE8841F" w14:textId="3843CB7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4. Context of low defacto legitimacy – seeing members of one’s group governing enhances the empirical legitimacy of the polity itself; feelings of inclusion, sense one’s voice was present in deliberation, even when one side didn’t prevail </w:t>
      </w:r>
    </w:p>
    <w:p w14:paraId="0613975F" w14:textId="19D8F90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Specifically names/cases:</w:t>
      </w:r>
    </w:p>
    <w:p w14:paraId="7DEC5AE4" w14:textId="7F4DDFE6"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Black Americans</w:t>
      </w:r>
    </w:p>
    <w:p w14:paraId="5B4085FB" w14:textId="46E386E2"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Women</w:t>
      </w:r>
    </w:p>
    <w:p w14:paraId="08FC482C" w14:textId="053241E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Notes these groups differ in important ways (communicative distrust between black and white americans appears deeper than between men and women </w:t>
      </w:r>
    </w:p>
    <w:p w14:paraId="0B012645" w14:textId="30E75216" w:rsidR="00D25FD2" w:rsidRPr="00D74488" w:rsidRDefault="00D25FD2" w:rsidP="00D25FD2">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Gay showed Black constituents more likely to contact Black representatives, Haynes found no parallel gender effect</w:t>
      </w:r>
    </w:p>
    <w:p w14:paraId="30CB6EE3" w14:textId="69B04F60"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Gay men &amp; Lesbians</w:t>
      </w:r>
    </w:p>
    <w:p w14:paraId="16234C3E" w14:textId="4A23680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Criteria:</w:t>
      </w:r>
    </w:p>
    <w:p w14:paraId="476C14BF" w14:textId="2C810215"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Proportionally underrepresented relative to population share</w:t>
      </w:r>
    </w:p>
    <w:p w14:paraId="7B3CDCE7" w14:textId="702B1D83"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Whose members consider themselves to be unable to be adequately represented by others</w:t>
      </w:r>
    </w:p>
    <w:p w14:paraId="54659F91" w14:textId="590F45EB"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Where evidence that dominant groups have historically made it difficult or illegal for the group to represent itself</w:t>
      </w:r>
    </w:p>
    <w:p w14:paraId="4E6C275B" w14:textId="36EB5CE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*history of legal exclusion from the vote a strong indicator </w:t>
      </w:r>
    </w:p>
    <w:p w14:paraId="6A6B1CA1" w14:textId="03604780" w:rsidR="00042A1E" w:rsidRPr="00D74488" w:rsidRDefault="00042A1E"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Pottle</w:t>
      </w:r>
    </w:p>
    <w:p w14:paraId="651025EA" w14:textId="56674B42" w:rsidR="00042A1E" w:rsidRPr="00D74488"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Mansbridge’s communicative distrust is described as a symptom of historical dominance and subordination (distrust impairs virtical communication between representatives and constituents, and that shared experience can bridge that gap) – but she doesn’t fully theorize why the distrust persists structurally beyond pointing to historical legacies. </w:t>
      </w:r>
    </w:p>
    <w:p w14:paraId="63E9AD95" w14:textId="68DCA2DD" w:rsidR="00042A1E" w:rsidRPr="00D74488"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“Testimonial injustice” may be illustrative here: </w:t>
      </w:r>
    </w:p>
    <w:p w14:paraId="49DD73C6" w14:textId="39A7E6C1"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Not only are the communicative breakdowns Mansbridge identifies residue of historical wrongs that shared experience can overcome, but the breakdown is actively reproduced through electoral incentives that construct certain groups as uncredible. </w:t>
      </w:r>
    </w:p>
    <w:p w14:paraId="012C1E95" w14:textId="2D503AAA"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infrastructure that constitutes legislative responsiveness (constituent mail, meeting access, staff gatekeeping_ grant epistemic authority to strategically valuable constituencies.</w:t>
      </w:r>
    </w:p>
    <w:p w14:paraId="3979FB10" w14:textId="54209785"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Mansbridge’s “circumvent the strong varriers to communication between dominant and subordinate groups” raises question of what happens when representative herself faces electoral incentives to maintain those barriers</w:t>
      </w:r>
    </w:p>
    <w:p w14:paraId="1B4C953B" w14:textId="6F144725"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Distrust is structurally incentiviezed</w:t>
      </w:r>
    </w:p>
    <w:p w14:paraId="565CD1D5" w14:textId="5EF3874B"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sym w:font="Wingdings" w:char="F0E0"/>
      </w:r>
      <w:r w:rsidRPr="00D74488">
        <w:rPr>
          <w:rFonts w:ascii="Times New Roman" w:eastAsia="Times New Roman" w:hAnsi="Times New Roman" w:cs="Times New Roman"/>
          <w:kern w:val="0"/>
          <w14:ligatures w14:val="none"/>
        </w:rPr>
        <w:t xml:space="preserve"> can’t just argue that putting people with carceral experience in office would automatically solve the communicative problem, </w:t>
      </w:r>
      <w:r w:rsidRPr="00D74488">
        <w:rPr>
          <w:rFonts w:ascii="Times New Roman" w:eastAsia="Times New Roman" w:hAnsi="Times New Roman" w:cs="Times New Roman"/>
          <w:kern w:val="0"/>
          <w14:ligatures w14:val="none"/>
        </w:rPr>
        <w:lastRenderedPageBreak/>
        <w:t>rather, you’d need to account for the electoral structures that pressure even descriptive representatives to distance themselves from stigmatized communities</w:t>
      </w:r>
    </w:p>
    <w:p w14:paraId="1A08C160" w14:textId="6E784580" w:rsidR="0017581E" w:rsidRPr="00D74488"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“Hermeneutic Injustice” too (vis-à-vis structural production of “uncrystallized” interests)</w:t>
      </w:r>
    </w:p>
    <w:p w14:paraId="3DE95B20" w14:textId="02056E81"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Where Mansbridge treats uncrystallized interests as a kind of natural feature of the political landscape – some issues just haven’t made it onto the agenda yet, parties haven’t organized around them, and descriptive representatives are uniquely posititioned to navigate them as they emerge. </w:t>
      </w:r>
    </w:p>
    <w:p w14:paraId="63576AE8" w14:textId="53354A1D"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Examples suggest relatively benign process of political development where issues simply haven’t yet been articulated.</w:t>
      </w:r>
    </w:p>
    <w:p w14:paraId="60EED0A8" w14:textId="11550C0D"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sym w:font="Wingdings" w:char="F0E0"/>
      </w:r>
      <w:r w:rsidRPr="00D74488">
        <w:rPr>
          <w:rFonts w:ascii="Times New Roman" w:eastAsia="Times New Roman" w:hAnsi="Times New Roman" w:cs="Times New Roman"/>
          <w:kern w:val="0"/>
          <w14:ligatures w14:val="none"/>
        </w:rPr>
        <w:t xml:space="preserve"> Pottle refames:</w:t>
      </w:r>
    </w:p>
    <w:p w14:paraId="74C17ACD" w14:textId="51381126"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“uncrystallized” – appearing interests are not genuinely new but rather the hermeneutic resources needed to articulate them have been systematically excluded from mainstream political vocabulary – “a mainstream” that’s defined by the epistemic preferences of advantaged constituencies. </w:t>
      </w:r>
    </w:p>
    <w:p w14:paraId="09728AFD" w14:textId="27C33DCB"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Interests of people impacted by incarceration aren’t uncrystalied in sense that nobodys’ thought about them. </w:t>
      </w:r>
    </w:p>
    <w:p w14:paraId="458A00DF" w14:textId="792F6089"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Communities have rich, internally developed understandings of the state (WEAVER P&amp;P) – they’ve articulated theories of the state, have political knowledge, but its not granted standing in elite discourse. </w:t>
      </w:r>
    </w:p>
    <w:p w14:paraId="31BE7EB8" w14:textId="4355F456"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They appear uncrystallized because the resonance imperative means legislators have no incentive to adopt or legitimate the vocabularies through which those experiences are understood. </w:t>
      </w:r>
    </w:p>
    <w:p w14:paraId="4F18365D" w14:textId="77777777" w:rsidR="00C4102C" w:rsidRPr="00D74488" w:rsidRDefault="00C4102C" w:rsidP="00C4102C">
      <w:pPr>
        <w:pStyle w:val="ListParagraph"/>
        <w:numPr>
          <w:ilvl w:val="2"/>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Mansbridge's third and fourth contexts — constructing social meaning around "ability to rule" and enhancing de facto legitimacy — are fundamentally about </w:t>
      </w:r>
      <w:r w:rsidRPr="00D74488">
        <w:rPr>
          <w:rFonts w:ascii="Times New Roman" w:eastAsia="Times New Roman" w:hAnsi="Times New Roman" w:cs="Times New Roman"/>
          <w:i/>
          <w:iCs/>
          <w:kern w:val="0"/>
          <w14:ligatures w14:val="none"/>
        </w:rPr>
        <w:t>who is perceived as a legitimate political actor</w:t>
      </w:r>
      <w:r w:rsidRPr="00D74488">
        <w:rPr>
          <w:rFonts w:ascii="Times New Roman" w:eastAsia="Times New Roman" w:hAnsi="Times New Roman" w:cs="Times New Roman"/>
          <w:kern w:val="0"/>
          <w14:ligatures w14:val="none"/>
        </w:rPr>
        <w:t>. She argues these are goods in their own right, beyond substantive representation.</w:t>
      </w:r>
    </w:p>
    <w:p w14:paraId="6EEA6599" w14:textId="77777777" w:rsidR="00C4102C" w:rsidRPr="00D74488" w:rsidRDefault="00C4102C" w:rsidP="00C4102C">
      <w:pPr>
        <w:pStyle w:val="ListParagraph"/>
        <w:numPr>
          <w:ilvl w:val="2"/>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Pottle extends this by suggesting that the question isn't just whether a group is seen as </w:t>
      </w:r>
      <w:r w:rsidRPr="00D74488">
        <w:rPr>
          <w:rFonts w:ascii="Times New Roman" w:eastAsia="Times New Roman" w:hAnsi="Times New Roman" w:cs="Times New Roman"/>
          <w:i/>
          <w:iCs/>
          <w:kern w:val="0"/>
          <w14:ligatures w14:val="none"/>
        </w:rPr>
        <w:t>able to rule</w:t>
      </w:r>
      <w:r w:rsidRPr="00D74488">
        <w:rPr>
          <w:rFonts w:ascii="Times New Roman" w:eastAsia="Times New Roman" w:hAnsi="Times New Roman" w:cs="Times New Roman"/>
          <w:kern w:val="0"/>
          <w14:ligatures w14:val="none"/>
        </w:rPr>
        <w:t xml:space="preserve"> but whether it's seen as </w:t>
      </w:r>
      <w:r w:rsidRPr="00D74488">
        <w:rPr>
          <w:rFonts w:ascii="Times New Roman" w:eastAsia="Times New Roman" w:hAnsi="Times New Roman" w:cs="Times New Roman"/>
          <w:i/>
          <w:iCs/>
          <w:kern w:val="0"/>
          <w14:ligatures w14:val="none"/>
        </w:rPr>
        <w:t>able to know</w:t>
      </w:r>
      <w:r w:rsidRPr="00D74488">
        <w:rPr>
          <w:rFonts w:ascii="Times New Roman" w:eastAsia="Times New Roman" w:hAnsi="Times New Roman" w:cs="Times New Roman"/>
          <w:kern w:val="0"/>
          <w14:ligatures w14:val="none"/>
        </w:rPr>
        <w:t xml:space="preserve"> — whether its members' experiences count as politically relevant knowledge. Hermeneutic and testimonial injustice don't just exclude groups from governing; they exclude groups from the epistemic community whose understandings shape policy. This is a deeper form of the "second-class citizenship" Mansbridge describes, because it means that even when members of the group are physically present in deliberative spaces, their experiential knowledge may not be granted epistemic standing.</w:t>
      </w:r>
    </w:p>
    <w:p w14:paraId="2F0D8F19" w14:textId="77777777" w:rsidR="00C4102C" w:rsidRPr="00D74488" w:rsidRDefault="00C4102C"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p>
    <w:p w14:paraId="22385569" w14:textId="2373DDB8" w:rsidR="0017581E" w:rsidRPr="00D74488"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w:t>
      </w:r>
    </w:p>
    <w:p w14:paraId="01069E43" w14:textId="518B4220"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Shift the normative stakes. </w:t>
      </w:r>
    </w:p>
    <w:p w14:paraId="26E7BDEF" w14:textId="0ADC66AB"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If interests were just uncrystallized, descriptive representation is instrumentally useful – it brings new information into deliberation. </w:t>
      </w:r>
    </w:p>
    <w:p w14:paraId="03DDF82D" w14:textId="0639CC70"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If interests are hermeutically suppressed, then absence of descriptive representation isn’t just an informational loss but an active form of epistemic exclusion that reproduces the conditions of its own perpetuation. </w:t>
      </w:r>
    </w:p>
    <w:p w14:paraId="18E64CA8" w14:textId="77777777"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p>
    <w:p w14:paraId="4150915E" w14:textId="6FB76A04" w:rsidR="00F60858" w:rsidRPr="00D74488" w:rsidRDefault="00F60858"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Systematic exclusion</w:t>
      </w:r>
    </w:p>
    <w:p w14:paraId="1BD2B28E" w14:textId="0BAE3B5E"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(ability to represent selves? Inability to represent selves? Mansfield likely relevant here)</w:t>
      </w:r>
    </w:p>
    <w:p w14:paraId="794B4094" w14:textId="659B09FB"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Distinct interests or perspectives not otherwise incorporated</w:t>
      </w:r>
    </w:p>
    <w:p w14:paraId="133DD677" w14:textId="2182E8F5"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be excluded from standard channels of voice</w:t>
      </w:r>
    </w:p>
    <w:p w14:paraId="690742DF" w14:textId="53DA72E5"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hold distinct views or experiences</w:t>
      </w:r>
    </w:p>
    <w:p w14:paraId="2A08D9FF" w14:textId="73DA1DF3"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face barriers to self-representation</w:t>
      </w:r>
    </w:p>
    <w:p w14:paraId="7064BF6E" w14:textId="05DCBE40"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(gender, race, class arguments) </w:t>
      </w:r>
    </w:p>
    <w:p w14:paraId="275502F2" w14:textId="3287A816" w:rsidR="00BD386E" w:rsidRPr="00D74488" w:rsidRDefault="00BD386E"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In these cases, inclusion is often framed as a matter of representative justice (Dahlerup 2007, Phillips 1995) </w:t>
      </w:r>
    </w:p>
    <w:p w14:paraId="44E9049D" w14:textId="2CE9255D" w:rsidR="00F60858"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Literature: Mansfield, Clayton</w:t>
      </w:r>
      <w:r w:rsidR="00581F38" w:rsidRPr="00D74488">
        <w:rPr>
          <w:rFonts w:ascii="Times New Roman" w:eastAsia="Times New Roman" w:hAnsi="Times New Roman" w:cs="Times New Roman"/>
          <w:kern w:val="0"/>
          <w14:ligatures w14:val="none"/>
        </w:rPr>
        <w:t>, Carnes &amp; Lupu</w:t>
      </w:r>
    </w:p>
    <w:p w14:paraId="2310D642" w14:textId="4D54BE3D"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Potentially pottle </w:t>
      </w:r>
    </w:p>
    <w:p w14:paraId="17743273" w14:textId="35E01A52"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must exist to create theoretical scaffolding to later propose that carceral constituencies/impacted groups may be a case for whom descriptive representation is </w:t>
      </w:r>
      <w:r w:rsidRPr="00D74488">
        <w:rPr>
          <w:rFonts w:ascii="Times New Roman" w:eastAsia="Times New Roman" w:hAnsi="Times New Roman" w:cs="Times New Roman"/>
          <w:i/>
          <w:iCs/>
          <w:kern w:val="0"/>
          <w14:ligatures w14:val="none"/>
        </w:rPr>
        <w:t xml:space="preserve">especially </w:t>
      </w:r>
      <w:r w:rsidRPr="00D74488">
        <w:rPr>
          <w:rFonts w:ascii="Times New Roman" w:eastAsia="Times New Roman" w:hAnsi="Times New Roman" w:cs="Times New Roman"/>
          <w:kern w:val="0"/>
          <w14:ligatures w14:val="none"/>
        </w:rPr>
        <w:t>important</w:t>
      </w:r>
    </w:p>
    <w:p w14:paraId="20816E41" w14:textId="60D60236" w:rsidR="00F60858"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Having established theoretical scaffolding, this will let me turn to carceral state context to fill that scaffolding in (reader should be able to go through subsequent paragraphs and basically “plug” carceral citizens into a framework: group for whom descriptive representation is likely particularly important, and/but likely distorted)</w:t>
      </w:r>
    </w:p>
    <w:p w14:paraId="4FB51150" w14:textId="77777777" w:rsidR="00CC4033" w:rsidRPr="00D74488" w:rsidRDefault="00CC4033" w:rsidP="00CC4033">
      <w:pPr>
        <w:pStyle w:val="NormalWeb"/>
      </w:pPr>
      <w:r w:rsidRPr="00D74488">
        <w:rPr>
          <w:rStyle w:val="Strong"/>
          <w:rFonts w:eastAsiaTheme="majorEastAsia"/>
        </w:rPr>
        <w:t>Weaver / Prowse / Piston / Pottle</w:t>
      </w:r>
      <w:r w:rsidRPr="00D74488">
        <w:t>:</w:t>
      </w:r>
    </w:p>
    <w:p w14:paraId="706607B8" w14:textId="77777777" w:rsidR="00CC4033" w:rsidRPr="00D74488" w:rsidRDefault="00CC4033" w:rsidP="00CC4033">
      <w:pPr>
        <w:pStyle w:val="NormalWeb"/>
        <w:numPr>
          <w:ilvl w:val="0"/>
          <w:numId w:val="19"/>
        </w:numPr>
      </w:pPr>
      <w:r w:rsidRPr="00D74488">
        <w:t>“credibility judgments”</w:t>
      </w:r>
    </w:p>
    <w:p w14:paraId="15431FFF" w14:textId="77777777" w:rsidR="00CC4033" w:rsidRPr="00D74488" w:rsidRDefault="00CC4033" w:rsidP="00CC4033">
      <w:pPr>
        <w:pStyle w:val="NormalWeb"/>
        <w:numPr>
          <w:ilvl w:val="0"/>
          <w:numId w:val="19"/>
        </w:numPr>
      </w:pPr>
      <w:r w:rsidRPr="00D74488">
        <w:t>“informational environment”</w:t>
      </w:r>
    </w:p>
    <w:p w14:paraId="6C72E949" w14:textId="2AC448EC" w:rsidR="00CC4033" w:rsidRPr="00D74488" w:rsidRDefault="00CC4033" w:rsidP="00CC4033">
      <w:pPr>
        <w:pStyle w:val="NormalWeb"/>
        <w:numPr>
          <w:ilvl w:val="0"/>
          <w:numId w:val="19"/>
        </w:numPr>
      </w:pPr>
      <w:r w:rsidRPr="00D74488">
        <w:t>“filtered or discounted voices”</w:t>
      </w:r>
    </w:p>
    <w:p w14:paraId="643F51A7" w14:textId="077B53B0"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Paragraph 5</w:t>
      </w:r>
      <w:r w:rsidRPr="00D74488">
        <w:rPr>
          <w:rFonts w:ascii="Times New Roman" w:eastAsia="Times New Roman" w:hAnsi="Times New Roman" w:cs="Times New Roman"/>
          <w:kern w:val="0"/>
          <w:sz w:val="32"/>
          <w:szCs w:val="32"/>
          <w:u w:val="single"/>
          <w14:ligatures w14:val="none"/>
        </w:rPr>
        <w:t xml:space="preserve"> – Turn to second literature: carceral state </w:t>
      </w:r>
    </w:p>
    <w:p w14:paraId="1B8CC517" w14:textId="640ABDBF" w:rsidR="0078023A"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Claims</w:t>
      </w:r>
      <w:r w:rsidRPr="00D74488">
        <w:rPr>
          <w:rFonts w:ascii="Times New Roman" w:eastAsia="Times New Roman" w:hAnsi="Times New Roman" w:cs="Times New Roman"/>
          <w:kern w:val="0"/>
          <w14:ligatures w14:val="none"/>
        </w:rPr>
        <w:t>: there’s reason to think carceral contact groups are one of those groups</w:t>
      </w:r>
      <w:r w:rsidR="00662EFC" w:rsidRPr="00D74488">
        <w:rPr>
          <w:rFonts w:ascii="Times New Roman" w:eastAsia="Times New Roman" w:hAnsi="Times New Roman" w:cs="Times New Roman"/>
          <w:kern w:val="0"/>
          <w14:ligatures w14:val="none"/>
        </w:rPr>
        <w:t>/fits this subgroup logic</w:t>
      </w:r>
    </w:p>
    <w:p w14:paraId="5FD78F27" w14:textId="1E12151E" w:rsidR="00DE5781" w:rsidRPr="00D74488" w:rsidRDefault="00DE5781"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paragraph explicitly </w:t>
      </w:r>
      <w:r w:rsidRPr="00D74488">
        <w:rPr>
          <w:rFonts w:ascii="Times New Roman" w:eastAsia="Times New Roman" w:hAnsi="Times New Roman" w:cs="Times New Roman"/>
          <w:i/>
          <w:iCs/>
          <w:kern w:val="0"/>
          <w14:ligatures w14:val="none"/>
        </w:rPr>
        <w:t>slots carceral citizens into the Mansbridge-style framework you’ve already built</w:t>
      </w:r>
      <w:r w:rsidRPr="00D74488">
        <w:rPr>
          <w:rFonts w:ascii="Times New Roman" w:eastAsia="Times New Roman" w:hAnsi="Times New Roman" w:cs="Times New Roman"/>
          <w:kern w:val="0"/>
          <w14:ligatures w14:val="none"/>
        </w:rPr>
        <w:t>, by showing that carceral contact produces distinct, systematic political effects</w:t>
      </w:r>
      <w:r w:rsidR="00711452" w:rsidRPr="00D74488">
        <w:rPr>
          <w:rFonts w:ascii="Times New Roman" w:eastAsia="Times New Roman" w:hAnsi="Times New Roman" w:cs="Times New Roman"/>
          <w:kern w:val="0"/>
          <w14:ligatures w14:val="none"/>
        </w:rPr>
        <w:t xml:space="preserve">, starting with connecting effects as political, rather than just “disenfranchisement” as that belongs in a later paragraph – rather, thinking about how these collateral consequences accumulate ) </w:t>
      </w:r>
      <w:r w:rsidRPr="00D74488">
        <w:rPr>
          <w:rFonts w:ascii="Times New Roman" w:eastAsia="Times New Roman" w:hAnsi="Times New Roman" w:cs="Times New Roman"/>
          <w:kern w:val="0"/>
          <w14:ligatures w14:val="none"/>
        </w:rPr>
        <w:t>that generate unique representational needs.</w:t>
      </w:r>
    </w:p>
    <w:p w14:paraId="7405E453" w14:textId="0145E360" w:rsidR="00662EFC" w:rsidRPr="00D74488" w:rsidRDefault="00662EFC" w:rsidP="00662EF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Includes: </w:t>
      </w:r>
    </w:p>
    <w:p w14:paraId="21154BDA"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people who are incarcerated</w:t>
      </w:r>
    </w:p>
    <w:p w14:paraId="490B9BDF"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people proximally impacted (family, partners, communities)</w:t>
      </w:r>
    </w:p>
    <w:p w14:paraId="2A768CCE"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victims (flagged but not yet fully theorized)</w:t>
      </w:r>
    </w:p>
    <w:p w14:paraId="43B7F156" w14:textId="77777777" w:rsidR="00662EFC" w:rsidRPr="00D74488" w:rsidRDefault="00662EFC" w:rsidP="00662EFC">
      <w:pPr>
        <w:pStyle w:val="ListParagraph"/>
        <w:ind w:left="1440"/>
        <w:rPr>
          <w:rFonts w:ascii="Times New Roman" w:eastAsia="Times New Roman" w:hAnsi="Times New Roman" w:cs="Times New Roman"/>
          <w:kern w:val="0"/>
          <w14:ligatures w14:val="none"/>
        </w:rPr>
      </w:pPr>
    </w:p>
    <w:p w14:paraId="6C15678B" w14:textId="2104798E" w:rsidR="00662EFC" w:rsidRPr="00D74488" w:rsidRDefault="00662EFC"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the first paragraph explicitly about incarcerated people</w:t>
      </w:r>
    </w:p>
    <w:p w14:paraId="3060847C"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Brief grounding in the growth and reach of the carceral state</w:t>
      </w:r>
    </w:p>
    <w:p w14:paraId="01C74AFD"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the second literature:</w:t>
      </w:r>
    </w:p>
    <w:p w14:paraId="55947964" w14:textId="77777777" w:rsidR="00BF1776" w:rsidRPr="00D74488"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mass incarceration</w:t>
      </w:r>
    </w:p>
    <w:p w14:paraId="3C01D4FC" w14:textId="77777777" w:rsidR="00BF1776" w:rsidRPr="00D74488"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state as a governing institution</w:t>
      </w:r>
    </w:p>
    <w:p w14:paraId="2D54A85B"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Cite familiar work (Western, Wildeman, Lerman &amp; Weaver)</w:t>
      </w:r>
    </w:p>
    <w:p w14:paraId="23CB789D"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Emphasize scale and depth of impact across the life course</w:t>
      </w:r>
    </w:p>
    <w:p w14:paraId="1E7D38FE" w14:textId="77777777" w:rsidR="00BF1776" w:rsidRPr="00D74488" w:rsidRDefault="00BF1776" w:rsidP="00662EFC">
      <w:pPr>
        <w:pStyle w:val="ListParagraph"/>
        <w:numPr>
          <w:ilvl w:val="0"/>
          <w:numId w:val="5"/>
        </w:numPr>
        <w:rPr>
          <w:rFonts w:ascii="Times New Roman" w:eastAsia="Times New Roman" w:hAnsi="Times New Roman" w:cs="Times New Roman"/>
          <w:kern w:val="0"/>
          <w14:ligatures w14:val="none"/>
        </w:rPr>
      </w:pPr>
    </w:p>
    <w:p w14:paraId="3D0BD5CA" w14:textId="41AB589A" w:rsidR="00DE5781" w:rsidRPr="00D74488" w:rsidRDefault="00DE5781"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Core claims</w:t>
      </w:r>
    </w:p>
    <w:p w14:paraId="7A943E63" w14:textId="77777777" w:rsidR="00DE5781" w:rsidRPr="00D74488" w:rsidRDefault="00DE5781" w:rsidP="00DE5781">
      <w:pPr>
        <w:pStyle w:val="NormalWeb"/>
      </w:pPr>
      <w:r w:rsidRPr="00D74488">
        <w:t>  There is strong theoretical and empirical reason to treat carceral citizens—those directly incarcerated, those under supervision, and those proximally affected through family, neighborhood, or repeated police contact—as a group that fits established criteria for heightened relevance of descriptive representation.</w:t>
      </w:r>
    </w:p>
    <w:p w14:paraId="242A5008" w14:textId="77777777" w:rsidR="00DE5781" w:rsidRPr="00D74488" w:rsidRDefault="00DE5781" w:rsidP="00DE5781">
      <w:pPr>
        <w:pStyle w:val="NormalWeb"/>
      </w:pPr>
      <w:r w:rsidRPr="00D74488">
        <w:t xml:space="preserve">  Lerman and Weaver show that contact with the carceral state is not a marginal policy experience but a </w:t>
      </w:r>
      <w:r w:rsidRPr="00D74488">
        <w:rPr>
          <w:rStyle w:val="Strong"/>
          <w:rFonts w:eastAsiaTheme="majorEastAsia"/>
        </w:rPr>
        <w:t>formative and durable relationship with government</w:t>
      </w:r>
      <w:r w:rsidRPr="00D74488">
        <w:t xml:space="preserve"> that reshapes political identity, expectations, and civic behavior.</w:t>
      </w:r>
    </w:p>
    <w:p w14:paraId="064D0453" w14:textId="77777777" w:rsidR="00DE5781" w:rsidRPr="00D74488" w:rsidRDefault="00DE5781" w:rsidP="00DE5781">
      <w:pPr>
        <w:pStyle w:val="NormalWeb"/>
      </w:pPr>
      <w:r w:rsidRPr="00D74488">
        <w:t xml:space="preserve">  Carceral contact functions as a </w:t>
      </w:r>
      <w:r w:rsidRPr="00D74488">
        <w:rPr>
          <w:rStyle w:val="Strong"/>
          <w:rFonts w:eastAsiaTheme="majorEastAsia"/>
        </w:rPr>
        <w:t>negative policy feedback</w:t>
      </w:r>
      <w:r w:rsidRPr="00D74488">
        <w:t>, producing mistrust, alienation, and withdrawal rather than efficacy or voice, thereby distinguishing carceral citizens from groups whose policy experiences generate participation.</w:t>
      </w:r>
    </w:p>
    <w:p w14:paraId="53AB8738" w14:textId="77777777" w:rsidR="00DE5781" w:rsidRPr="00D74488" w:rsidRDefault="00DE5781" w:rsidP="00DE5781">
      <w:pPr>
        <w:pStyle w:val="NormalWeb"/>
      </w:pPr>
      <w:r w:rsidRPr="00D74488">
        <w:t xml:space="preserve">  These effects extend beyond those formally incarcerated to include families, intimate networks, and communities saturated by policing and surveillance, making carceral impact both </w:t>
      </w:r>
      <w:r w:rsidRPr="00D74488">
        <w:rPr>
          <w:rStyle w:val="Strong"/>
          <w:rFonts w:eastAsiaTheme="majorEastAsia"/>
        </w:rPr>
        <w:t>direct and proximal</w:t>
      </w:r>
      <w:r w:rsidRPr="00D74488">
        <w:t>.</w:t>
      </w:r>
    </w:p>
    <w:p w14:paraId="766F497B" w14:textId="77777777" w:rsidR="00DE5781" w:rsidRPr="00D74488" w:rsidRDefault="00DE5781" w:rsidP="00DE5781">
      <w:pPr>
        <w:pStyle w:val="NormalWeb"/>
      </w:pPr>
      <w:r w:rsidRPr="00D74488">
        <w:t>  Victims of crime are analytically part of this constituency not only because of empirical overlap with carceral communities, but because they too are governed through the criminal legal system and encounter the state primarily through punitive institutions.</w:t>
      </w:r>
    </w:p>
    <w:p w14:paraId="2662E13B" w14:textId="77777777" w:rsidR="00DE5781" w:rsidRPr="00D74488" w:rsidRDefault="00DE5781" w:rsidP="00DE5781">
      <w:pPr>
        <w:pStyle w:val="NormalWeb"/>
      </w:pPr>
      <w:r w:rsidRPr="00D74488">
        <w:t xml:space="preserve">  As a result, carceral citizens develop </w:t>
      </w:r>
      <w:r w:rsidRPr="00D74488">
        <w:rPr>
          <w:rStyle w:val="Strong"/>
          <w:rFonts w:eastAsiaTheme="majorEastAsia"/>
        </w:rPr>
        <w:t>distinct policy-relevant needs and claims</w:t>
      </w:r>
      <w:r w:rsidRPr="00D74488">
        <w:t>—regarding voting, reentry, family integrity, economic survival, safety, and dignity—that are unlikely to be captured by standard models of constituency voice.</w:t>
      </w:r>
    </w:p>
    <w:p w14:paraId="203DE6BD" w14:textId="77777777" w:rsidR="00DE5781" w:rsidRPr="00D74488" w:rsidRDefault="00DE5781" w:rsidP="00DE5781">
      <w:pPr>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Sub-points / transitions</w:t>
      </w:r>
    </w:p>
    <w:p w14:paraId="01C9A84C" w14:textId="77777777" w:rsidR="00DE5781" w:rsidRPr="00D74488" w:rsidRDefault="00DE5781" w:rsidP="00DE5781">
      <w:pPr>
        <w:numPr>
          <w:ilvl w:val="0"/>
          <w:numId w:val="20"/>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Emphasize that this is </w:t>
      </w:r>
      <w:r w:rsidRPr="00D74488">
        <w:rPr>
          <w:rFonts w:ascii="Times New Roman" w:eastAsia="Times New Roman" w:hAnsi="Times New Roman" w:cs="Times New Roman"/>
          <w:i/>
          <w:iCs/>
          <w:kern w:val="0"/>
          <w14:ligatures w14:val="none"/>
        </w:rPr>
        <w:t>not</w:t>
      </w:r>
      <w:r w:rsidRPr="00D74488">
        <w:rPr>
          <w:rFonts w:ascii="Times New Roman" w:eastAsia="Times New Roman" w:hAnsi="Times New Roman" w:cs="Times New Roman"/>
          <w:kern w:val="0"/>
          <w14:ligatures w14:val="none"/>
        </w:rPr>
        <w:t xml:space="preserve"> a claim about moral deservingness, but about </w:t>
      </w:r>
      <w:r w:rsidRPr="00D74488">
        <w:rPr>
          <w:rFonts w:ascii="Times New Roman" w:eastAsia="Times New Roman" w:hAnsi="Times New Roman" w:cs="Times New Roman"/>
          <w:b/>
          <w:bCs/>
          <w:kern w:val="0"/>
          <w14:ligatures w14:val="none"/>
        </w:rPr>
        <w:t>representational vulnerability and epistemic exclusion</w:t>
      </w:r>
      <w:r w:rsidRPr="00D74488">
        <w:rPr>
          <w:rFonts w:ascii="Times New Roman" w:eastAsia="Times New Roman" w:hAnsi="Times New Roman" w:cs="Times New Roman"/>
          <w:kern w:val="0"/>
          <w14:ligatures w14:val="none"/>
        </w:rPr>
        <w:t>.</w:t>
      </w:r>
    </w:p>
    <w:p w14:paraId="304A1199" w14:textId="77777777" w:rsidR="00DE5781" w:rsidRPr="00D74488" w:rsidRDefault="00DE5781" w:rsidP="00DE5781">
      <w:pPr>
        <w:numPr>
          <w:ilvl w:val="0"/>
          <w:numId w:val="20"/>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Transition forward by previewing that these effects are </w:t>
      </w:r>
      <w:r w:rsidRPr="00D74488">
        <w:rPr>
          <w:rFonts w:ascii="Times New Roman" w:eastAsia="Times New Roman" w:hAnsi="Times New Roman" w:cs="Times New Roman"/>
          <w:b/>
          <w:bCs/>
          <w:kern w:val="0"/>
          <w14:ligatures w14:val="none"/>
        </w:rPr>
        <w:t>not randomly distributed</w:t>
      </w:r>
      <w:r w:rsidRPr="00D74488">
        <w:rPr>
          <w:rFonts w:ascii="Times New Roman" w:eastAsia="Times New Roman" w:hAnsi="Times New Roman" w:cs="Times New Roman"/>
          <w:kern w:val="0"/>
          <w14:ligatures w14:val="none"/>
        </w:rPr>
        <w:t>, but systematically concentrated in particular populations.</w:t>
      </w:r>
    </w:p>
    <w:p w14:paraId="2491F7F2" w14:textId="355E087B" w:rsidR="00DE5781" w:rsidRPr="00D74488" w:rsidRDefault="00DE5781" w:rsidP="00DE5781">
      <w:pPr>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 xml:space="preserve">Quotations </w:t>
      </w:r>
    </w:p>
    <w:p w14:paraId="0EE1D5D6" w14:textId="77777777"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carceral state has become a central point of contact between citizens and their government” (Lerman &amp; Weaver).</w:t>
      </w:r>
    </w:p>
    <w:p w14:paraId="08D51AD5" w14:textId="77777777"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Contact with criminal justice institutions “produces extreme mistrust of political institutions and public officials” and “diminishes citizens’ sense that they can influence politics.”</w:t>
      </w:r>
    </w:p>
    <w:p w14:paraId="039B650F" w14:textId="71946100"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Punishment teaches citizens “to stay in the shadows and to be wary of public authority.”</w:t>
      </w:r>
    </w:p>
    <w:p w14:paraId="20E9620B" w14:textId="65DEE315" w:rsidR="00662EFC" w:rsidRPr="00D74488" w:rsidRDefault="00662EFC"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Must exist to:</w:t>
      </w:r>
    </w:p>
    <w:p w14:paraId="39BB2499" w14:textId="69286235"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Establish massive effect of carceral content; distinct policy/constituent needs</w:t>
      </w:r>
    </w:p>
    <w:p w14:paraId="09BD59A4" w14:textId="13D8626B"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That this effect extends to children, women, communities </w:t>
      </w:r>
    </w:p>
    <w:p w14:paraId="758BC07D" w14:textId="5D5224F6" w:rsidR="00B9567D" w:rsidRPr="00D7448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Relevant references</w:t>
      </w:r>
      <w:r w:rsidR="00711452" w:rsidRPr="00D74488">
        <w:rPr>
          <w:rFonts w:ascii="Times New Roman" w:eastAsia="Times New Roman" w:hAnsi="Times New Roman" w:cs="Times New Roman"/>
          <w:b/>
          <w:bCs/>
          <w:kern w:val="0"/>
          <w14:ligatures w14:val="none"/>
        </w:rPr>
        <w:t>/my own previous language</w:t>
      </w:r>
    </w:p>
    <w:p w14:paraId="45FC0D42" w14:textId="445803AD" w:rsidR="005156F8" w:rsidRPr="00D74488" w:rsidRDefault="005156F8" w:rsidP="005156F8">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political science, sociological, and economic literatures on “collateral consequences” to incarceration – such as it’s often compounding impacts on carceral citizens and their social networks’ wealth, health, education, and social ties (Mille 2012, Page, Piehowski, and Soss 2019, Wildeman and Lee 2021, Brew, Alani, and Wildeman 2022,)</w:t>
      </w:r>
    </w:p>
    <w:p w14:paraId="198C0DC3" w14:textId="77777777" w:rsidR="005156F8" w:rsidRPr="00D7448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p>
    <w:p w14:paraId="05528E31" w14:textId="7F6BB43C"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P6: Who is affected: the racialized, classed, and spatial concentration of carceral state contact</w:t>
      </w:r>
    </w:p>
    <w:p w14:paraId="4B25A58C" w14:textId="77777777"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Purpose in the theory section:</w:t>
      </w:r>
      <w:r w:rsidRPr="00D74488">
        <w:rPr>
          <w:rFonts w:ascii="Times New Roman" w:eastAsia="Times New Roman" w:hAnsi="Times New Roman" w:cs="Times New Roman"/>
          <w:kern w:val="0"/>
          <w14:ligatures w14:val="none"/>
        </w:rPr>
        <w:br/>
        <w:t xml:space="preserve">This paragraph establishes that carceral impact is </w:t>
      </w:r>
      <w:r w:rsidRPr="00D74488">
        <w:rPr>
          <w:rFonts w:ascii="Times New Roman" w:eastAsia="Times New Roman" w:hAnsi="Times New Roman" w:cs="Times New Roman"/>
          <w:b/>
          <w:bCs/>
          <w:kern w:val="0"/>
          <w14:ligatures w14:val="none"/>
        </w:rPr>
        <w:t>systematically targeted</w:t>
      </w:r>
      <w:r w:rsidRPr="00D74488">
        <w:rPr>
          <w:rFonts w:ascii="Times New Roman" w:eastAsia="Times New Roman" w:hAnsi="Times New Roman" w:cs="Times New Roman"/>
          <w:kern w:val="0"/>
          <w14:ligatures w14:val="none"/>
        </w:rPr>
        <w:t>, not diffuse—linking descriptive representation to race, class, and geography without collapsing your argument into “this is just about race.”</w:t>
      </w:r>
    </w:p>
    <w:p w14:paraId="7E4CCB17"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Core claims</w:t>
      </w:r>
    </w:p>
    <w:p w14:paraId="63182C63"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effects of the carceral state are not evenly distributed across the population but are </w:t>
      </w:r>
      <w:r w:rsidRPr="00D74488">
        <w:rPr>
          <w:rFonts w:ascii="Times New Roman" w:eastAsia="Times New Roman" w:hAnsi="Times New Roman" w:cs="Times New Roman"/>
          <w:b/>
          <w:bCs/>
          <w:kern w:val="0"/>
          <w14:ligatures w14:val="none"/>
        </w:rPr>
        <w:t>highly concentrated by race, class, age, and place</w:t>
      </w:r>
      <w:r w:rsidRPr="00D74488">
        <w:rPr>
          <w:rFonts w:ascii="Times New Roman" w:eastAsia="Times New Roman" w:hAnsi="Times New Roman" w:cs="Times New Roman"/>
          <w:kern w:val="0"/>
          <w14:ligatures w14:val="none"/>
        </w:rPr>
        <w:t>, making carceral citizenship a structurally bounded constituency.</w:t>
      </w:r>
    </w:p>
    <w:p w14:paraId="316BB5B2"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Lerman and Weaver emphasize that criminal justice contact is </w:t>
      </w:r>
      <w:r w:rsidRPr="00D74488">
        <w:rPr>
          <w:rFonts w:ascii="Times New Roman" w:eastAsia="Times New Roman" w:hAnsi="Times New Roman" w:cs="Times New Roman"/>
          <w:b/>
          <w:bCs/>
          <w:kern w:val="0"/>
          <w14:ligatures w14:val="none"/>
        </w:rPr>
        <w:t>predictably racialized</w:t>
      </w:r>
      <w:r w:rsidRPr="00D74488">
        <w:rPr>
          <w:rFonts w:ascii="Times New Roman" w:eastAsia="Times New Roman" w:hAnsi="Times New Roman" w:cs="Times New Roman"/>
          <w:kern w:val="0"/>
          <w14:ligatures w14:val="none"/>
        </w:rPr>
        <w:t>, with Black and Latino/Hispanic Americans—especially young men—far more likely to experience policing, arrest, detention, and supervision.</w:t>
      </w:r>
    </w:p>
    <w:p w14:paraId="0C263E71"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Low-income communities and neighborhoods of concentrated disadvantage experience not only higher rates of incarceration but </w:t>
      </w:r>
      <w:r w:rsidRPr="00D74488">
        <w:rPr>
          <w:rFonts w:ascii="Times New Roman" w:eastAsia="Times New Roman" w:hAnsi="Times New Roman" w:cs="Times New Roman"/>
          <w:b/>
          <w:bCs/>
          <w:kern w:val="0"/>
          <w14:ligatures w14:val="none"/>
        </w:rPr>
        <w:t>sustained saturation by surveillance and coercive state presence</w:t>
      </w:r>
      <w:r w:rsidRPr="00D74488">
        <w:rPr>
          <w:rFonts w:ascii="Times New Roman" w:eastAsia="Times New Roman" w:hAnsi="Times New Roman" w:cs="Times New Roman"/>
          <w:kern w:val="0"/>
          <w14:ligatures w14:val="none"/>
        </w:rPr>
        <w:t>.</w:t>
      </w:r>
    </w:p>
    <w:p w14:paraId="3236212F"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Because incarceration and supervision are spatially clustered, the political consequences of carceral contact are </w:t>
      </w:r>
      <w:r w:rsidRPr="00D74488">
        <w:rPr>
          <w:rFonts w:ascii="Times New Roman" w:eastAsia="Times New Roman" w:hAnsi="Times New Roman" w:cs="Times New Roman"/>
          <w:b/>
          <w:bCs/>
          <w:kern w:val="0"/>
          <w14:ligatures w14:val="none"/>
        </w:rPr>
        <w:t>collective and place-based</w:t>
      </w:r>
      <w:r w:rsidRPr="00D74488">
        <w:rPr>
          <w:rFonts w:ascii="Times New Roman" w:eastAsia="Times New Roman" w:hAnsi="Times New Roman" w:cs="Times New Roman"/>
          <w:kern w:val="0"/>
          <w14:ligatures w14:val="none"/>
        </w:rPr>
        <w:t>, not merely individual.</w:t>
      </w:r>
    </w:p>
    <w:p w14:paraId="61A3E163"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These patterns mean that carceral state effects are layered atop existing inequalities in political power, representation, and access, compounding rather than merely reflecting racial and economic disadvantage.</w:t>
      </w:r>
    </w:p>
    <w:p w14:paraId="670A8095"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Lerman and Weaver stress, the political consequences of punishment “cannot be captured by aggregating individual effects,” because whole communities lose voice, resources, and representational leverage.</w:t>
      </w:r>
    </w:p>
    <w:p w14:paraId="18F3CA5E"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Sub-points / transitions</w:t>
      </w:r>
    </w:p>
    <w:p w14:paraId="5BA743C0" w14:textId="77777777" w:rsidR="00B9567D" w:rsidRPr="00D74488"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Highlight that this concentration matters for representation because </w:t>
      </w:r>
      <w:r w:rsidRPr="00D74488">
        <w:rPr>
          <w:rFonts w:ascii="Times New Roman" w:eastAsia="Times New Roman" w:hAnsi="Times New Roman" w:cs="Times New Roman"/>
          <w:b/>
          <w:bCs/>
          <w:kern w:val="0"/>
          <w14:ligatures w14:val="none"/>
        </w:rPr>
        <w:t>legislators encounter “carceral communities” unevenly</w:t>
      </w:r>
      <w:r w:rsidRPr="00D74488">
        <w:rPr>
          <w:rFonts w:ascii="Times New Roman" w:eastAsia="Times New Roman" w:hAnsi="Times New Roman" w:cs="Times New Roman"/>
          <w:kern w:val="0"/>
          <w14:ligatures w14:val="none"/>
        </w:rPr>
        <w:t>, if at all.</w:t>
      </w:r>
    </w:p>
    <w:p w14:paraId="3ADF0128" w14:textId="77777777" w:rsidR="00B9567D" w:rsidRPr="00D74488"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Transition forward by noting that these same structural features also explain </w:t>
      </w:r>
      <w:r w:rsidRPr="00D74488">
        <w:rPr>
          <w:rFonts w:ascii="Times New Roman" w:eastAsia="Times New Roman" w:hAnsi="Times New Roman" w:cs="Times New Roman"/>
          <w:b/>
          <w:bCs/>
          <w:kern w:val="0"/>
          <w14:ligatures w14:val="none"/>
        </w:rPr>
        <w:t>why these groups are likely to be underrepresented and politically invisible</w:t>
      </w:r>
      <w:r w:rsidRPr="00D74488">
        <w:rPr>
          <w:rFonts w:ascii="Times New Roman" w:eastAsia="Times New Roman" w:hAnsi="Times New Roman" w:cs="Times New Roman"/>
          <w:kern w:val="0"/>
          <w14:ligatures w14:val="none"/>
        </w:rPr>
        <w:t>.</w:t>
      </w:r>
    </w:p>
    <w:p w14:paraId="183C1E4C"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Quotations you can use</w:t>
      </w:r>
    </w:p>
    <w:p w14:paraId="5562F704"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 age, and class are all highly predictive of being subject to aggressive surveillance and punishment.”</w:t>
      </w:r>
    </w:p>
    <w:p w14:paraId="50AB3124"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collateral damage to African American communities cannot be captured by aggregating individual effects.”</w:t>
      </w:r>
    </w:p>
    <w:p w14:paraId="52890001"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has “disproportionate effects on low-income and minority citizens,” shaping citizenship unequally.</w:t>
      </w:r>
    </w:p>
    <w:p w14:paraId="338500D5" w14:textId="77777777" w:rsidR="00E25706" w:rsidRPr="00D74488" w:rsidRDefault="00E25706" w:rsidP="00E25706">
      <w:pPr>
        <w:autoSpaceDE w:val="0"/>
        <w:autoSpaceDN w:val="0"/>
        <w:adjustRightInd w:val="0"/>
        <w:spacing w:after="0" w:line="240" w:lineRule="auto"/>
        <w:rPr>
          <w:rFonts w:ascii="Times New Roman" w:eastAsia="Times New Roman" w:hAnsi="Times New Roman" w:cs="Times New Roman"/>
          <w:b/>
          <w:bCs/>
          <w:kern w:val="0"/>
          <w:sz w:val="27"/>
          <w:szCs w:val="27"/>
          <w14:ligatures w14:val="none"/>
        </w:rPr>
      </w:pPr>
    </w:p>
    <w:p w14:paraId="7164F463" w14:textId="49007DEA"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 growing literature shows how the “punitive turn” (see Waquant 2009) and mass incarceration targets political power of particularly Black, Hispanic, and low-income communities through disenfranchisement policies and practices, prison gerrymandering, and powerful prison economies (Alexander 2010).</w:t>
      </w:r>
    </w:p>
    <w:p w14:paraId="32E650E3" w14:textId="77777777"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4E753F19" w14:textId="720CD56F" w:rsidR="00B9567D" w:rsidRPr="00D74488" w:rsidRDefault="00E25706" w:rsidP="00E25706">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The nearly 2 million people incarcerated in the US are “almost uniformly working class and disproportionately Black or Latino/a” – groups who are least represented in state and federal government (Berger 2018, Carnes 2013, 2015, 2018), suggests an under-representation of individuals who have close social ties with incarcerated people</w:t>
      </w:r>
    </w:p>
    <w:p w14:paraId="7B3A8852" w14:textId="77777777"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243347FC" w14:textId="442E2378" w:rsidR="00D723E2" w:rsidRPr="00D74488" w:rsidRDefault="00D723E2" w:rsidP="00E25706">
      <w:pPr>
        <w:autoSpaceDE w:val="0"/>
        <w:autoSpaceDN w:val="0"/>
        <w:adjustRightInd w:val="0"/>
        <w:spacing w:after="0" w:line="240" w:lineRule="auto"/>
        <w:rPr>
          <w:rFonts w:ascii="Times New Roman" w:hAnsi="Times New Roman" w:cs="Times New Roman"/>
        </w:rPr>
      </w:pPr>
      <w:r w:rsidRPr="00D74488">
        <w:rPr>
          <w:rFonts w:ascii="Times New Roman" w:hAnsi="Times New Roman" w:cs="Times New Roman"/>
          <w:kern w:val="0"/>
          <w:sz w:val="22"/>
          <w:szCs w:val="22"/>
        </w:rPr>
        <w:t xml:space="preserve">Criminalized -- </w:t>
      </w:r>
      <w:r w:rsidRPr="00D74488">
        <w:rPr>
          <w:rFonts w:ascii="Times New Roman" w:hAnsi="Times New Roman" w:cs="Times New Roman"/>
        </w:rPr>
        <w:t>evidence that sensational media coverage of crime privileges whites and penalizes Black Americans (Dixon and Linz, 2000a, Bjornstrom, Kaufman, Peterson, and Slater, 2011) and historical and political narratives that have capitalized on criminalizing Blackness and Black Americans (Alexander; Smiley; 2017),</w:t>
      </w:r>
    </w:p>
    <w:p w14:paraId="7E75F4C0" w14:textId="77777777" w:rsidR="009663A3" w:rsidRPr="00D74488" w:rsidRDefault="009663A3" w:rsidP="00E25706">
      <w:pPr>
        <w:autoSpaceDE w:val="0"/>
        <w:autoSpaceDN w:val="0"/>
        <w:adjustRightInd w:val="0"/>
        <w:spacing w:after="0" w:line="240" w:lineRule="auto"/>
        <w:rPr>
          <w:rFonts w:ascii="Times New Roman" w:hAnsi="Times New Roman" w:cs="Times New Roman"/>
        </w:rPr>
      </w:pPr>
    </w:p>
    <w:p w14:paraId="43E6A786"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Race or assumed race of policy recipients shapes what people believe about</w:t>
      </w:r>
    </w:p>
    <w:p w14:paraId="02B5A357"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political preferences with regards to many public benefits, including welfare (DeSante, 2013, Gilens,</w:t>
      </w:r>
    </w:p>
    <w:p w14:paraId="0D47E40D"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1996, Soss et al, 2011, Hancock 2004), college scholarships (Feldman and Huddy 2005) as well as</w:t>
      </w:r>
    </w:p>
    <w:p w14:paraId="1A0476FB"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punishment and policing (Israel-Trummel 2022). Across policy literatures, these racialized</w:t>
      </w:r>
    </w:p>
    <w:p w14:paraId="385544C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assessments are linked to evaluations that Black individuals are more culpable for their</w:t>
      </w:r>
    </w:p>
    <w:p w14:paraId="3A3B78F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circumstances – whether that circumstance is poverty, illness, or being sexually assaulted -- and</w:t>
      </w:r>
    </w:p>
    <w:p w14:paraId="169B8906"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punished more harshly, where whites are seen to be victims of circumstances beyond their control</w:t>
      </w:r>
    </w:p>
    <w:p w14:paraId="67E46BFE"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lastRenderedPageBreak/>
        <w:t>(Aaroe and Peterson, 2014; Nazione and Silk, 2013; Donovan, 2007). In a study exposing survey</w:t>
      </w:r>
    </w:p>
    <w:p w14:paraId="410FCDAF"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participants to a vignette about police violence, Israel-Trummel and Streeter (2021) find that Black</w:t>
      </w:r>
    </w:p>
    <w:p w14:paraId="16528752"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women participants are deemed to be more responsible (“could have done something differently to</w:t>
      </w:r>
    </w:p>
    <w:p w14:paraId="61C88944" w14:textId="771E18F9" w:rsidR="009663A3" w:rsidRPr="00D74488" w:rsidRDefault="009663A3" w:rsidP="009663A3">
      <w:pPr>
        <w:autoSpaceDE w:val="0"/>
        <w:autoSpaceDN w:val="0"/>
        <w:adjustRightInd w:val="0"/>
        <w:spacing w:after="0" w:line="240" w:lineRule="auto"/>
        <w:rPr>
          <w:rFonts w:ascii="Times New Roman" w:hAnsi="Times New Roman" w:cs="Times New Roman"/>
        </w:rPr>
      </w:pPr>
      <w:r w:rsidRPr="00D74488">
        <w:rPr>
          <w:rFonts w:ascii="Times New Roman" w:hAnsi="Times New Roman" w:cs="Times New Roman"/>
          <w:kern w:val="0"/>
          <w:sz w:val="23"/>
          <w:szCs w:val="23"/>
        </w:rPr>
        <w:t>change the outcome of the interaction”) for their victimization than white women.</w:t>
      </w:r>
    </w:p>
    <w:p w14:paraId="2ABF129A" w14:textId="77777777" w:rsidR="00A93DCF" w:rsidRPr="00D74488" w:rsidRDefault="00A93DCF" w:rsidP="00E25706">
      <w:pPr>
        <w:autoSpaceDE w:val="0"/>
        <w:autoSpaceDN w:val="0"/>
        <w:adjustRightInd w:val="0"/>
        <w:spacing w:after="0" w:line="240" w:lineRule="auto"/>
        <w:rPr>
          <w:rFonts w:ascii="Times New Roman" w:hAnsi="Times New Roman" w:cs="Times New Roman"/>
        </w:rPr>
      </w:pPr>
    </w:p>
    <w:p w14:paraId="714007BF"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These affect and identity mechanisms operate in a context fundamentally linking punishment and</w:t>
      </w:r>
    </w:p>
    <w:p w14:paraId="407627E4"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race, as punishment in the US is a case of racial disproportionality and decentralization (Michener</w:t>
      </w:r>
    </w:p>
    <w:p w14:paraId="56541E21" w14:textId="0FE53943"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2018, Alexander 2010).</w:t>
      </w:r>
    </w:p>
    <w:p w14:paraId="1953BC45" w14:textId="77777777" w:rsidR="009663A3" w:rsidRPr="00D74488" w:rsidRDefault="009663A3" w:rsidP="00A93DCF">
      <w:pPr>
        <w:autoSpaceDE w:val="0"/>
        <w:autoSpaceDN w:val="0"/>
        <w:adjustRightInd w:val="0"/>
        <w:spacing w:after="0" w:line="240" w:lineRule="auto"/>
        <w:rPr>
          <w:rFonts w:ascii="Times New Roman" w:hAnsi="Times New Roman" w:cs="Times New Roman"/>
          <w:kern w:val="0"/>
          <w:sz w:val="23"/>
          <w:szCs w:val="23"/>
        </w:rPr>
      </w:pPr>
    </w:p>
    <w:p w14:paraId="42056A10"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of color (Gelman, Fagan, and Kiss 2007, Baumgartner, Epp, and Shoub</w:t>
      </w:r>
    </w:p>
    <w:p w14:paraId="64C2C85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2018, Davenport, Soule, and Armstrong 2011), juries seek out mitigating information for white but</w:t>
      </w:r>
    </w:p>
    <w:p w14:paraId="1F8BC9D5"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not Black defendants (Levinson 2007), assume Black men’s guilt (Levinson, Cai and Young 2010)</w:t>
      </w:r>
    </w:p>
    <w:p w14:paraId="50CAB443"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and sentence Black people more harshly (Rehavi and Starr 2014), and feel most confident in guilty</w:t>
      </w:r>
    </w:p>
    <w:p w14:paraId="0B725DE9"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verdicts based on pigmentation (Levinson and Young 2010). Trial judges present the same levels of</w:t>
      </w:r>
    </w:p>
    <w:p w14:paraId="3D8978E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biases as the general public (Rachlinsi, Johnson, Wistrich &amp; Guthrie 2009), and critically the public</w:t>
      </w:r>
    </w:p>
    <w:p w14:paraId="5DEF2348"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assigns culpability not only more often to Black defendants, but also to Black victims (Donovan</w:t>
      </w:r>
    </w:p>
    <w:p w14:paraId="562248B1" w14:textId="3A296F4D"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2007, Israel-Trummer and Streeter 2021).</w:t>
      </w:r>
    </w:p>
    <w:p w14:paraId="14BFD739" w14:textId="40FFC0AD" w:rsidR="00B9567D" w:rsidRPr="00D74488" w:rsidRDefault="00B9567D" w:rsidP="00A93DCF">
      <w:pPr>
        <w:spacing w:before="100" w:beforeAutospacing="1" w:after="100" w:afterAutospacing="1" w:line="240" w:lineRule="auto"/>
        <w:outlineLvl w:val="1"/>
        <w:rPr>
          <w:rFonts w:ascii="Times New Roman" w:eastAsia="Times New Roman" w:hAnsi="Times New Roman" w:cs="Times New Roman"/>
          <w:b/>
          <w:bCs/>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Paragraph 7</w:t>
      </w:r>
      <w:r w:rsidR="00A93DCF" w:rsidRPr="00D74488">
        <w:rPr>
          <w:rFonts w:ascii="Times New Roman" w:eastAsia="Times New Roman" w:hAnsi="Times New Roman" w:cs="Times New Roman"/>
          <w:b/>
          <w:bCs/>
          <w:kern w:val="0"/>
          <w:sz w:val="32"/>
          <w:szCs w:val="32"/>
          <w:u w:val="single"/>
          <w14:ligatures w14:val="none"/>
        </w:rPr>
        <w:t xml:space="preserve"> -</w:t>
      </w:r>
      <w:r w:rsidRPr="00D74488">
        <w:rPr>
          <w:rFonts w:ascii="Times New Roman" w:eastAsia="Times New Roman" w:hAnsi="Times New Roman" w:cs="Times New Roman"/>
          <w:b/>
          <w:bCs/>
          <w:kern w:val="0"/>
          <w:sz w:val="32"/>
          <w:szCs w:val="32"/>
          <w:u w:val="single"/>
          <w14:ligatures w14:val="none"/>
        </w:rPr>
        <w:t>Why these groups are likely underrepresented and excluded from politics</w:t>
      </w:r>
    </w:p>
    <w:p w14:paraId="1EB06A0C" w14:textId="6DC38577"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Purpose in the theory section:</w:t>
      </w:r>
      <w:r w:rsidRPr="00D74488">
        <w:rPr>
          <w:rFonts w:ascii="Times New Roman" w:eastAsia="Times New Roman" w:hAnsi="Times New Roman" w:cs="Times New Roman"/>
          <w:kern w:val="0"/>
          <w14:ligatures w14:val="none"/>
        </w:rPr>
        <w:br/>
        <w:t xml:space="preserve">This paragraph closes the loop: it explains </w:t>
      </w:r>
      <w:r w:rsidRPr="00D74488">
        <w:rPr>
          <w:rFonts w:ascii="Times New Roman" w:eastAsia="Times New Roman" w:hAnsi="Times New Roman" w:cs="Times New Roman"/>
          <w:i/>
          <w:iCs/>
          <w:kern w:val="0"/>
          <w14:ligatures w14:val="none"/>
        </w:rPr>
        <w:t>why</w:t>
      </w:r>
      <w:r w:rsidRPr="00D74488">
        <w:rPr>
          <w:rFonts w:ascii="Times New Roman" w:eastAsia="Times New Roman" w:hAnsi="Times New Roman" w:cs="Times New Roman"/>
          <w:kern w:val="0"/>
          <w14:ligatures w14:val="none"/>
        </w:rPr>
        <w:t xml:space="preserve">, given </w:t>
      </w:r>
      <w:r w:rsidR="000E6DD0" w:rsidRPr="00D74488">
        <w:rPr>
          <w:rFonts w:ascii="Times New Roman" w:eastAsia="Times New Roman" w:hAnsi="Times New Roman" w:cs="Times New Roman"/>
          <w:kern w:val="0"/>
          <w14:ligatures w14:val="none"/>
        </w:rPr>
        <w:t xml:space="preserve">what we know about special cases and impacts of the carceral state and who carceral citizens tend to be </w:t>
      </w:r>
      <w:r w:rsidRPr="00D74488">
        <w:rPr>
          <w:rFonts w:ascii="Times New Roman" w:eastAsia="Times New Roman" w:hAnsi="Times New Roman" w:cs="Times New Roman"/>
          <w:kern w:val="0"/>
          <w14:ligatures w14:val="none"/>
        </w:rPr>
        <w:t>we should expect systematic failures of descriptive, symbolic, and epistemic representation.</w:t>
      </w:r>
    </w:p>
    <w:p w14:paraId="70E10BA6"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Core claims</w:t>
      </w:r>
    </w:p>
    <w:p w14:paraId="0488CF7A"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same institutions that generate carceral citizenship also </w:t>
      </w:r>
      <w:r w:rsidRPr="00D74488">
        <w:rPr>
          <w:rFonts w:ascii="Times New Roman" w:eastAsia="Times New Roman" w:hAnsi="Times New Roman" w:cs="Times New Roman"/>
          <w:b/>
          <w:bCs/>
          <w:kern w:val="0"/>
          <w14:ligatures w14:val="none"/>
        </w:rPr>
        <w:t>actively suppress political voice</w:t>
      </w:r>
      <w:r w:rsidRPr="00D74488">
        <w:rPr>
          <w:rFonts w:ascii="Times New Roman" w:eastAsia="Times New Roman" w:hAnsi="Times New Roman" w:cs="Times New Roman"/>
          <w:kern w:val="0"/>
          <w14:ligatures w14:val="none"/>
        </w:rPr>
        <w:t>, creating a self-reinforcing cycle of underrepresentation.</w:t>
      </w:r>
    </w:p>
    <w:p w14:paraId="0F8C2BA7"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Formal mechanisms such as felon disenfranchisement exclude millions from electoral participation, but Lerman and Weaver emphasize that </w:t>
      </w:r>
      <w:r w:rsidRPr="00D74488">
        <w:rPr>
          <w:rFonts w:ascii="Times New Roman" w:eastAsia="Times New Roman" w:hAnsi="Times New Roman" w:cs="Times New Roman"/>
          <w:b/>
          <w:bCs/>
          <w:kern w:val="0"/>
          <w14:ligatures w14:val="none"/>
        </w:rPr>
        <w:t>informal and indirect mechanisms</w:t>
      </w:r>
      <w:r w:rsidRPr="00D74488">
        <w:rPr>
          <w:rFonts w:ascii="Times New Roman" w:eastAsia="Times New Roman" w:hAnsi="Times New Roman" w:cs="Times New Roman"/>
          <w:kern w:val="0"/>
          <w14:ligatures w14:val="none"/>
        </w:rPr>
        <w:t xml:space="preserve"> extend much further.</w:t>
      </w:r>
    </w:p>
    <w:p w14:paraId="0F735F37"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institutions undermine core democratic capacities by restricting speech, association, and access to courts, while insulating state actors from accountability.</w:t>
      </w:r>
    </w:p>
    <w:p w14:paraId="581887A3"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contact socializes citizens away from politics by teaching that engagement invites punishment rather than responsiveness.</w:t>
      </w:r>
    </w:p>
    <w:p w14:paraId="40185D12"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At the community level, incarceration and surveillance weaken social networks, collective efficacy, and organizational capacity, further reducing political visibility.</w:t>
      </w:r>
    </w:p>
    <w:p w14:paraId="01B741C0"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These dynamics mean that carceral citizens are systematically </w:t>
      </w:r>
      <w:r w:rsidRPr="00D74488">
        <w:rPr>
          <w:rFonts w:ascii="Times New Roman" w:eastAsia="Times New Roman" w:hAnsi="Times New Roman" w:cs="Times New Roman"/>
          <w:b/>
          <w:bCs/>
          <w:kern w:val="0"/>
          <w14:ligatures w14:val="none"/>
        </w:rPr>
        <w:t>least likely to appear in the channels legislators rely on to perceive constituencies</w:t>
      </w:r>
      <w:r w:rsidRPr="00D74488">
        <w:rPr>
          <w:rFonts w:ascii="Times New Roman" w:eastAsia="Times New Roman" w:hAnsi="Times New Roman" w:cs="Times New Roman"/>
          <w:kern w:val="0"/>
          <w14:ligatures w14:val="none"/>
        </w:rPr>
        <w:t>, including voting, organized advocacy, and routine constituent contact.</w:t>
      </w:r>
    </w:p>
    <w:p w14:paraId="6E621DCA"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result is a form of political exclusion that is not accidental or incidental, but </w:t>
      </w:r>
      <w:r w:rsidRPr="00D74488">
        <w:rPr>
          <w:rFonts w:ascii="Times New Roman" w:eastAsia="Times New Roman" w:hAnsi="Times New Roman" w:cs="Times New Roman"/>
          <w:b/>
          <w:bCs/>
          <w:kern w:val="0"/>
          <w14:ligatures w14:val="none"/>
        </w:rPr>
        <w:t>institutionally produced</w:t>
      </w:r>
      <w:r w:rsidRPr="00D74488">
        <w:rPr>
          <w:rFonts w:ascii="Times New Roman" w:eastAsia="Times New Roman" w:hAnsi="Times New Roman" w:cs="Times New Roman"/>
          <w:kern w:val="0"/>
          <w14:ligatures w14:val="none"/>
        </w:rPr>
        <w:t>, making descriptive representation especially salient as an alternative route to recognition.</w:t>
      </w:r>
    </w:p>
    <w:p w14:paraId="451DD3AF"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lastRenderedPageBreak/>
        <w:t>Sub-points / transitions</w:t>
      </w:r>
    </w:p>
    <w:p w14:paraId="244EB060" w14:textId="77777777" w:rsidR="00B9567D" w:rsidRPr="00D74488"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Connect directly back to Mansbridge: this is a textbook case of a group facing </w:t>
      </w:r>
      <w:r w:rsidRPr="00D74488">
        <w:rPr>
          <w:rFonts w:ascii="Times New Roman" w:eastAsia="Times New Roman" w:hAnsi="Times New Roman" w:cs="Times New Roman"/>
          <w:b/>
          <w:bCs/>
          <w:kern w:val="0"/>
          <w14:ligatures w14:val="none"/>
        </w:rPr>
        <w:t>historical exclusion, distrust, and blocked communication</w:t>
      </w:r>
      <w:r w:rsidRPr="00D74488">
        <w:rPr>
          <w:rFonts w:ascii="Times New Roman" w:eastAsia="Times New Roman" w:hAnsi="Times New Roman" w:cs="Times New Roman"/>
          <w:kern w:val="0"/>
          <w14:ligatures w14:val="none"/>
        </w:rPr>
        <w:t>.</w:t>
      </w:r>
    </w:p>
    <w:p w14:paraId="79D11782" w14:textId="77777777" w:rsidR="00B9567D" w:rsidRPr="00D74488"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Set up the next section by noting that if standard mechanisms fail, </w:t>
      </w:r>
      <w:r w:rsidRPr="00D74488">
        <w:rPr>
          <w:rFonts w:ascii="Times New Roman" w:eastAsia="Times New Roman" w:hAnsi="Times New Roman" w:cs="Times New Roman"/>
          <w:b/>
          <w:bCs/>
          <w:kern w:val="0"/>
          <w14:ligatures w14:val="none"/>
        </w:rPr>
        <w:t>who legislators are</w:t>
      </w:r>
      <w:r w:rsidRPr="00D74488">
        <w:rPr>
          <w:rFonts w:ascii="Times New Roman" w:eastAsia="Times New Roman" w:hAnsi="Times New Roman" w:cs="Times New Roman"/>
          <w:kern w:val="0"/>
          <w14:ligatures w14:val="none"/>
        </w:rPr>
        <w:t xml:space="preserve"> may matter more than </w:t>
      </w:r>
      <w:r w:rsidRPr="00D74488">
        <w:rPr>
          <w:rFonts w:ascii="Times New Roman" w:eastAsia="Times New Roman" w:hAnsi="Times New Roman" w:cs="Times New Roman"/>
          <w:b/>
          <w:bCs/>
          <w:kern w:val="0"/>
          <w14:ligatures w14:val="none"/>
        </w:rPr>
        <w:t>who constituents can be</w:t>
      </w:r>
      <w:r w:rsidRPr="00D74488">
        <w:rPr>
          <w:rFonts w:ascii="Times New Roman" w:eastAsia="Times New Roman" w:hAnsi="Times New Roman" w:cs="Times New Roman"/>
          <w:kern w:val="0"/>
          <w14:ligatures w14:val="none"/>
        </w:rPr>
        <w:t>.</w:t>
      </w:r>
    </w:p>
    <w:p w14:paraId="657FBEC0"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Quotations you can use</w:t>
      </w:r>
    </w:p>
    <w:p w14:paraId="70C5B492"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institutions have “broken significantly with the fundamental norms that define democratic institutions.”</w:t>
      </w:r>
    </w:p>
    <w:p w14:paraId="6BAD49A9"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They “restrict citizen voice, undermine equality, and insulate public officials from accountability.”</w:t>
      </w:r>
    </w:p>
    <w:p w14:paraId="71EFC5B6"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Punitive institutions have become “less responsive and participatory than democratic institutions require.”</w:t>
      </w:r>
    </w:p>
    <w:p w14:paraId="667114A9" w14:textId="77777777" w:rsidR="00662EFC" w:rsidRPr="00D74488" w:rsidRDefault="00662EFC" w:rsidP="00B9567D">
      <w:pPr>
        <w:spacing w:before="100" w:beforeAutospacing="1" w:after="100" w:afterAutospacing="1" w:line="240" w:lineRule="auto"/>
        <w:rPr>
          <w:rFonts w:ascii="Times New Roman" w:eastAsia="Times New Roman" w:hAnsi="Times New Roman" w:cs="Times New Roman"/>
          <w:kern w:val="0"/>
          <w14:ligatures w14:val="none"/>
        </w:rPr>
      </w:pPr>
    </w:p>
    <w:p w14:paraId="3FE539D4" w14:textId="3400D5DA" w:rsidR="000557C3" w:rsidRPr="00D74488" w:rsidRDefault="000557C3"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Literature</w:t>
      </w:r>
      <w:r w:rsidR="00B54257" w:rsidRPr="00D74488">
        <w:rPr>
          <w:rFonts w:ascii="Times New Roman" w:eastAsia="Times New Roman" w:hAnsi="Times New Roman" w:cs="Times New Roman"/>
          <w:kern w:val="0"/>
          <w14:ligatures w14:val="none"/>
        </w:rPr>
        <w:t>/past writing</w:t>
      </w:r>
    </w:p>
    <w:p w14:paraId="51D78222" w14:textId="77777777"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incarceration’s impact on political participation, as well as work on prison geography and prison</w:t>
      </w:r>
    </w:p>
    <w:p w14:paraId="04DE8FD7" w14:textId="5CC82316"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economies (Keen and Jacobs 2009, Wiess and Kang-Brown 2018, Wildeman an Eason 2017, Thorpe 2015, Walker, Thorpe, Chistensen, and Anderson 2017).</w:t>
      </w:r>
    </w:p>
    <w:p w14:paraId="0D4EEB62" w14:textId="77777777"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p>
    <w:p w14:paraId="0FB7501D" w14:textId="23365026"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Primarily with Hannah Walker and Michael Leo Owen’s work as exceptions, this literature has found negative relationships, which may in turn influence subsequent criminal legal policies and entrench public conceptions incarcerated individuals as unrepentant, unredeemable, and dangerous (Burch 2011, Gerber, Huber, Meredith, Biggers, and Hendry 2017, Haselwerd 2009, Meredith and Morse 2015, Thomas 2004, Weaver and Lerman 2010, White and Nguyen 2021)</w:t>
      </w:r>
    </w:p>
    <w:p w14:paraId="26F58547" w14:textId="77777777" w:rsidR="00A93DCF" w:rsidRPr="00D74488" w:rsidRDefault="00A93DCF" w:rsidP="000557C3">
      <w:pPr>
        <w:autoSpaceDE w:val="0"/>
        <w:autoSpaceDN w:val="0"/>
        <w:adjustRightInd w:val="0"/>
        <w:spacing w:after="0" w:line="240" w:lineRule="auto"/>
        <w:rPr>
          <w:rFonts w:ascii="Times New Roman" w:hAnsi="Times New Roman" w:cs="Times New Roman"/>
          <w:kern w:val="0"/>
          <w:sz w:val="22"/>
          <w:szCs w:val="22"/>
        </w:rPr>
      </w:pPr>
    </w:p>
    <w:p w14:paraId="16AC115E"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an estimated 4 million more people were excluded from the elections through de jure</w:t>
      </w:r>
    </w:p>
    <w:p w14:paraId="6222FE57"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disenfranchisement while incarcerated on felony convictions, or while on probation or parole – a</w:t>
      </w:r>
    </w:p>
    <w:p w14:paraId="73843C79"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figure that does not include people who fear or mistakenly believe they have been permanently</w:t>
      </w:r>
    </w:p>
    <w:p w14:paraId="3310EB3D"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disenfranchised (Uggen, Willen, and Larson 2024). Scholars have shown these disenfranchisement</w:t>
      </w:r>
    </w:p>
    <w:p w14:paraId="2B1D519D"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policies target Black political power (Hinton and Cook 2021) and serve as a critical component of</w:t>
      </w:r>
    </w:p>
    <w:p w14:paraId="1ED0AE55"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mass incarceration’s broader augmentation of American democracy and racialized social control</w:t>
      </w:r>
    </w:p>
    <w:p w14:paraId="23F2DCEB" w14:textId="46BCB27E"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(Beckett and Western 2001, Simon 2007, 2020, Wacquant 2010, Weaver and Lerman 2010).</w:t>
      </w:r>
    </w:p>
    <w:p w14:paraId="1DA1D161"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p>
    <w:p w14:paraId="01A84BC1" w14:textId="52BCF666"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2"/>
          <w:szCs w:val="22"/>
        </w:rPr>
        <w:t xml:space="preserve">Eligible but excluded incarcerated voters - </w:t>
      </w:r>
      <w:r w:rsidRPr="00D74488">
        <w:rPr>
          <w:rFonts w:ascii="Times New Roman" w:hAnsi="Times New Roman" w:cs="Times New Roman"/>
          <w:kern w:val="0"/>
          <w:sz w:val="23"/>
          <w:szCs w:val="23"/>
        </w:rPr>
        <w:t>In September 2024, California's Democratic governor vetoed legislation that sought to end the defacto disenfranchisement of eligible incarcerated voters. With no meaningful and systematized way to cast a counted ballot from jail, these Californians made up the largest share of an estimated 500,000 people nationally were unconstitutionally kept from participating in the subsequent 2024 elections (Wang 2024).</w:t>
      </w:r>
    </w:p>
    <w:p w14:paraId="11AB7402" w14:textId="77777777" w:rsidR="00662EFC" w:rsidRPr="00D74488" w:rsidRDefault="00435A09"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63897E5">
          <v:rect id="_x0000_i1029" alt="" style="width:468pt;height:.05pt;mso-width-percent:0;mso-height-percent:0;mso-width-percent:0;mso-height-percent:0" o:hralign="center" o:hrstd="t" o:hr="t" fillcolor="#a0a0a0" stroked="f"/>
        </w:pict>
      </w:r>
    </w:p>
    <w:p w14:paraId="798E1D61"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P9. Proximal impact and who is affected</w:t>
      </w:r>
    </w:p>
    <w:p w14:paraId="5C0A1C54"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Carceral state affects more than the incarcerated individual</w:t>
      </w:r>
    </w:p>
    <w:p w14:paraId="0AEDB9BB"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Emphasize:</w:t>
      </w:r>
    </w:p>
    <w:p w14:paraId="5CFAEE09"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children</w:t>
      </w:r>
    </w:p>
    <w:p w14:paraId="218AA477"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women</w:t>
      </w:r>
    </w:p>
    <w:p w14:paraId="5ED430DC"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families</w:t>
      </w:r>
    </w:p>
    <w:p w14:paraId="0D635AA4"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communities</w:t>
      </w:r>
    </w:p>
    <w:p w14:paraId="3798FC94"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where “proximal” impact becomes conceptually important</w:t>
      </w:r>
    </w:p>
    <w:p w14:paraId="031E79AF"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Sets up why representation cannot be limited to “prisoners only”</w:t>
      </w:r>
    </w:p>
    <w:p w14:paraId="432EDFBA" w14:textId="77777777" w:rsidR="00662EFC" w:rsidRPr="00D74488" w:rsidRDefault="00435A09"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CA0C1D">
          <v:rect id="_x0000_i1028" alt="" style="width:468pt;height:.05pt;mso-width-percent:0;mso-height-percent:0;mso-width-percent:0;mso-height-percent:0" o:hralign="center" o:hrstd="t" o:hr="t" fillcolor="#a0a0a0" stroked="f"/>
        </w:pict>
      </w:r>
    </w:p>
    <w:p w14:paraId="7849C267"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P10. Who carceral citizens are / tend to be</w:t>
      </w:r>
    </w:p>
    <w:p w14:paraId="40B3E679"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impact is not randomly distributed</w:t>
      </w:r>
    </w:p>
    <w:p w14:paraId="509D8FF1"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Disproportionately affects:</w:t>
      </w:r>
    </w:p>
    <w:p w14:paraId="47A7DE2D"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Black Americans</w:t>
      </w:r>
    </w:p>
    <w:p w14:paraId="0E034515"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Latino/Hispanic Americans</w:t>
      </w:r>
    </w:p>
    <w:p w14:paraId="2E7DFD36"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low-income communities</w:t>
      </w:r>
    </w:p>
    <w:p w14:paraId="3267DE81"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Establishes carceral citizens as a structurally marginalized group</w:t>
      </w:r>
    </w:p>
    <w:p w14:paraId="55CFC531" w14:textId="77777777" w:rsidR="00662EFC" w:rsidRPr="00D74488" w:rsidRDefault="00435A09"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6903714">
          <v:rect id="_x0000_i1027" alt="" style="width:468pt;height:.05pt;mso-width-percent:0;mso-height-percent:0;mso-width-percent:0;mso-height-percent:0" o:hralign="center" o:hrstd="t" o:hr="t" fillcolor="#a0a0a0" stroked="f"/>
        </w:pict>
      </w:r>
    </w:p>
    <w:p w14:paraId="1ECCC9D6"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P11. Epistemic orientations shaped by carceral contact</w:t>
      </w:r>
    </w:p>
    <w:p w14:paraId="3167D2D6"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Weaver–Prowse–Piston logic</w:t>
      </w:r>
    </w:p>
    <w:p w14:paraId="77102924"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Distinct treatment by the state produces:</w:t>
      </w:r>
    </w:p>
    <w:p w14:paraId="42073C45"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perceptions of legitimacy</w:t>
      </w:r>
    </w:p>
    <w:p w14:paraId="2A9FF603"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understandings of government</w:t>
      </w:r>
    </w:p>
    <w:p w14:paraId="55ADADDA"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orientations toward policy</w:t>
      </w:r>
    </w:p>
    <w:p w14:paraId="02F35918"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the bridge from material effects → epistemic consequences</w:t>
      </w:r>
    </w:p>
    <w:p w14:paraId="4CAD997A" w14:textId="77777777" w:rsidR="00662EFC" w:rsidRPr="00D74488" w:rsidRDefault="00435A09"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F15DCB6">
          <v:rect id="_x0000_i1026" alt="" style="width:468pt;height:.05pt;mso-width-percent:0;mso-height-percent:0;mso-width-percent:0;mso-height-percent:0" o:hralign="center" o:hrstd="t" o:hr="t" fillcolor="#a0a0a0" stroked="f"/>
        </w:pict>
      </w:r>
    </w:p>
    <w:p w14:paraId="3AE5BA29"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P12. Why carceral citizens are not well represented</w:t>
      </w:r>
    </w:p>
    <w:p w14:paraId="1A238366"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Restates Mansbridge </w:t>
      </w:r>
      <w:r w:rsidRPr="00D74488">
        <w:rPr>
          <w:rFonts w:ascii="Times New Roman" w:eastAsia="Times New Roman" w:hAnsi="Times New Roman" w:cs="Times New Roman"/>
          <w:i/>
          <w:iCs/>
          <w:kern w:val="0"/>
          <w14:ligatures w14:val="none"/>
        </w:rPr>
        <w:t>for this case</w:t>
      </w:r>
    </w:p>
    <w:p w14:paraId="5F74A4FD"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Reasons include:</w:t>
      </w:r>
    </w:p>
    <w:p w14:paraId="18EA5BF3"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racial underrepresentation</w:t>
      </w:r>
    </w:p>
    <w:p w14:paraId="71D62B2D"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socioeconomic underrepresentation</w:t>
      </w:r>
    </w:p>
    <w:p w14:paraId="40435C80"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geographic isolation (prisons, rural siting)</w:t>
      </w:r>
    </w:p>
    <w:p w14:paraId="73407DC7"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stigma</w:t>
      </w:r>
    </w:p>
    <w:p w14:paraId="0C262EFC"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Incentives for even co-racial legislators to engage in distancing</w:t>
      </w:r>
    </w:p>
    <w:p w14:paraId="2FE53E68"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Surrogate representation becomes common</w:t>
      </w:r>
    </w:p>
    <w:p w14:paraId="24434A3A"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984ACBD" w14:textId="58DC9A9C"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Paragraph 13</w:t>
      </w:r>
    </w:p>
    <w:p w14:paraId="02BECFCF"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Begin moving from theory → expectations</w:t>
      </w:r>
    </w:p>
    <w:p w14:paraId="6D36F20B"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Core expectations include:</w:t>
      </w:r>
    </w:p>
    <w:p w14:paraId="6FF07287"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impacted vs non-impacted people think about criminal legal policy differently</w:t>
      </w:r>
    </w:p>
    <w:p w14:paraId="7666906A"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impacted communities are underrepresented descriptively</w:t>
      </w:r>
    </w:p>
    <w:p w14:paraId="57BF1796"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where representation exists, it may come via surrogates</w:t>
      </w:r>
    </w:p>
    <w:p w14:paraId="58F8B0AE" w14:textId="3C727722"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Introduce proximal representation as a plausible alternative pathway?</w:t>
      </w:r>
    </w:p>
    <w:p w14:paraId="579EDF39"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Sets the stage for symbolic and epistemic representation questions</w:t>
      </w:r>
    </w:p>
    <w:p w14:paraId="64FCB606"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EF0DE15"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5EAFB5EA" w14:textId="77777777" w:rsidR="00662EFC" w:rsidRPr="00D74488" w:rsidRDefault="00662EFC" w:rsidP="0078023A">
      <w:pPr>
        <w:spacing w:before="100" w:beforeAutospacing="1" w:after="100" w:afterAutospacing="1" w:line="240" w:lineRule="auto"/>
        <w:rPr>
          <w:rFonts w:ascii="Times New Roman" w:eastAsia="Times New Roman" w:hAnsi="Times New Roman" w:cs="Times New Roman"/>
          <w:kern w:val="0"/>
          <w14:ligatures w14:val="none"/>
        </w:rPr>
      </w:pPr>
    </w:p>
    <w:p w14:paraId="3D9D1C7D"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Do this for all 13 paragraphs. No citations. No quotes. No polishing.</w:t>
      </w:r>
    </w:p>
    <w:p w14:paraId="4F5AAAC5"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turns the task from “write theory” into “fill 13 slots.”</w:t>
      </w:r>
    </w:p>
    <w:p w14:paraId="3BDEB79A"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447B7766"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55C0718D"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64562CB8" w14:textId="77777777" w:rsidR="0078023A" w:rsidRPr="00D74488" w:rsidRDefault="00435A09" w:rsidP="0078023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18FD86E">
          <v:rect id="_x0000_i1025" alt="" style="width:468pt;height:.05pt;mso-width-percent:0;mso-height-percent:0;mso-width-percent:0;mso-height-percent:0" o:hralign="center" o:hrstd="t" o:hr="t" fillcolor="#a0a0a0" stroked="f"/>
        </w:pict>
      </w:r>
    </w:p>
    <w:p w14:paraId="58FE70EC" w14:textId="77777777" w:rsidR="0078023A" w:rsidRPr="00D74488" w:rsidRDefault="0078023A" w:rsidP="0078023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 xml:space="preserve">Step 2: Identify the </w:t>
      </w:r>
      <w:r w:rsidRPr="00D74488">
        <w:rPr>
          <w:rFonts w:ascii="Times New Roman" w:eastAsia="Times New Roman" w:hAnsi="Times New Roman" w:cs="Times New Roman"/>
          <w:b/>
          <w:bCs/>
          <w:i/>
          <w:iCs/>
          <w:kern w:val="0"/>
          <w:sz w:val="27"/>
          <w:szCs w:val="27"/>
          <w14:ligatures w14:val="none"/>
        </w:rPr>
        <w:t>keystone paragraph</w:t>
      </w:r>
    </w:p>
    <w:p w14:paraId="343F0505"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From your memo, one paragraph is doing the heaviest lifting:</w:t>
      </w:r>
    </w:p>
    <w:p w14:paraId="70B0713F"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move from </w:t>
      </w:r>
      <w:r w:rsidRPr="00D74488">
        <w:rPr>
          <w:rFonts w:ascii="Times New Roman" w:eastAsia="Times New Roman" w:hAnsi="Times New Roman" w:cs="Times New Roman"/>
          <w:b/>
          <w:bCs/>
          <w:kern w:val="0"/>
          <w14:ligatures w14:val="none"/>
        </w:rPr>
        <w:t>descriptive representation → epistemic orientation</w:t>
      </w:r>
    </w:p>
    <w:p w14:paraId="3BF57553"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That paragraph is your keystone. Everything before it prepares the reader to accept it; everything after it elaborates consequences.</w:t>
      </w:r>
    </w:p>
    <w:p w14:paraId="52A2B94F"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Once you’ve numbered the 13 paragraphs, we should explicitly label:</w:t>
      </w:r>
    </w:p>
    <w:p w14:paraId="538E4FAB"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The basic upstream/downstream distinction as introduced</w:t>
      </w:r>
    </w:p>
    <w:p w14:paraId="15932CF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REPRESENTATION</w:t>
      </w:r>
    </w:p>
    <w:p w14:paraId="4A30AB0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UPSTREAM (institutional causes of who is present)</w:t>
      </w:r>
    </w:p>
    <w:p w14:paraId="481E780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Institutional design &amp; incentives</w:t>
      </w:r>
    </w:p>
    <w:p w14:paraId="53EF4C6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Party gatekeeping &amp; candidate recruitment</w:t>
      </w:r>
    </w:p>
    <w:p w14:paraId="1E52FD8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Masculinized/racialized institutional cultures</w:t>
      </w:r>
    </w:p>
    <w:p w14:paraId="70D53CB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Persistent bias that elections alone don't correct</w:t>
      </w:r>
    </w:p>
    <w:p w14:paraId="3F884C4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6AE2C7A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DOWNSTREAM (what follows from who is present)</w:t>
      </w:r>
    </w:p>
    <w:p w14:paraId="19127B0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[not yet differentiated]</w:t>
      </w:r>
    </w:p>
    <w:p w14:paraId="7505C2A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"outcomes, policy process, responsiveness"</w:t>
      </w:r>
    </w:p>
    <w:p w14:paraId="790A8DEF"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2: Downstream Gets Differentiated (P3 empirical paragraph)</w:t>
      </w:r>
    </w:p>
    <w:p w14:paraId="24F40C4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w:t>
      </w:r>
    </w:p>
    <w:p w14:paraId="4187BC6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OUTCOMES</w:t>
      </w:r>
    </w:p>
    <w:p w14:paraId="0F53DFF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Policy/substantive (legislation, spending, etc.)</w:t>
      </w:r>
    </w:p>
    <w:p w14:paraId="1FC3B5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Responsiveness (service, constituent communication)</w:t>
      </w:r>
    </w:p>
    <w:p w14:paraId="321EDC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6505100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PROCESS</w:t>
      </w:r>
    </w:p>
    <w:p w14:paraId="0E457A7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Agenda-setting (which issues get attention)</w:t>
      </w:r>
    </w:p>
    <w:p w14:paraId="1A782CD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Deliberation quality</w:t>
      </w:r>
    </w:p>
    <w:p w14:paraId="0F5C95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Institutional culture (whose concerns are treated as relevant)</w:t>
      </w:r>
    </w:p>
    <w:p w14:paraId="6DE73E2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5B48475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emerging category not yet named:]</w:t>
      </w:r>
    </w:p>
    <w:p w14:paraId="7EE6BBE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"symbolic recognition" / "relational ties" / "perceptions of legitimacy"</w:t>
      </w:r>
    </w:p>
    <w:p w14:paraId="74C2CC0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These don't fit cleanly in process OR outcomes</w:t>
      </w:r>
    </w:p>
    <w:p w14:paraId="701A1D34"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3: Mansbridge Introduces a Third Category (P4)</w:t>
      </w:r>
    </w:p>
    <w:p w14:paraId="34DF4D0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Mansbridge's 4 contexts map onto the framework BUT push it:</w:t>
      </w:r>
    </w:p>
    <w:p w14:paraId="759BBA9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725349D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 (enhanced deliberation)</w:t>
      </w:r>
    </w:p>
    <w:p w14:paraId="004596E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 vertical communication / responsiveness</w:t>
      </w:r>
    </w:p>
    <w:p w14:paraId="08BAD9E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 horizontal deliberation among legislators</w:t>
      </w:r>
    </w:p>
    <w:p w14:paraId="0345954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1F7BEB3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DOESN'T FIT NEATLY INTO UPSTREAM OR DOWNSTREAM:</w:t>
      </w:r>
    </w:p>
    <w:p w14:paraId="6FFC982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"Ability to rule"         → social meaning, psychology of dominant groups</w:t>
      </w:r>
    </w:p>
    <w:p w14:paraId="4865BF9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facto legitimacy       → feelings of inclusion, perceived voice</w:t>
      </w:r>
    </w:p>
    <w:p w14:paraId="027429A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D6F843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These are SYMBOLIC — they concern meaning, recognition, and perceived</w:t>
      </w:r>
    </w:p>
    <w:p w14:paraId="7A2F74C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standing rather than policy outputs or procedural quality. They are</w:t>
      </w:r>
    </w:p>
    <w:p w14:paraId="099F64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goods "in their own right, beyond substantive representation."</w:t>
      </w:r>
    </w:p>
    <w:p w14:paraId="42E6738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1DEBCA3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Clayton adds: upstream absence as ITSELF an indicator (not just a cause)</w:t>
      </w:r>
    </w:p>
    <w:p w14:paraId="79BA036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blurs the upstream/downstream line: who is present IS a finding,</w:t>
      </w:r>
    </w:p>
    <w:p w14:paraId="7020D18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not just a precondition</w:t>
      </w:r>
    </w:p>
    <w:p w14:paraId="3612AC0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055DE10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REVISED FRAMEWORK after Mansbridge + Clayton:</w:t>
      </w:r>
    </w:p>
    <w:p w14:paraId="7D8FBA7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0DF2368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REPRESENTATION</w:t>
      </w:r>
    </w:p>
    <w:p w14:paraId="2022F99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UPSTREAM → who is present (and absence as indicator)</w:t>
      </w:r>
    </w:p>
    <w:p w14:paraId="78CEDF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DOWNSTREAM</w:t>
      </w:r>
    </w:p>
    <w:p w14:paraId="3368531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OUTCOMES (policy, responsiveness)</w:t>
      </w:r>
    </w:p>
    <w:p w14:paraId="4449098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xml:space="preserve">    ├── PROCESS (agenda, deliberation, communication)</w:t>
      </w:r>
    </w:p>
    <w:p w14:paraId="40FE536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SYMBOLIC (social meaning, legitimacy, recognition)</w:t>
      </w:r>
    </w:p>
    <w:p w14:paraId="77D2A9CD"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4: Pottle Introduces the Epistemic Dimension (P4 continued)</w:t>
      </w:r>
    </w:p>
    <w:p w14:paraId="67C9025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Pottle doesn't add a fourth box — he DEEPENS all three downstream categories</w:t>
      </w:r>
    </w:p>
    <w:p w14:paraId="256B16B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by revealing a shared underlying mechanism: epistemic authority.</w:t>
      </w:r>
    </w:p>
    <w:p w14:paraId="1853989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A129DF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w:t>
      </w:r>
    </w:p>
    <w:p w14:paraId="174312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is not just historical residue</w:t>
      </w:r>
    </w:p>
    <w:p w14:paraId="0320155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It is structurally reproduced via TESTIMONIAL INJUSTICE</w:t>
      </w:r>
    </w:p>
    <w:p w14:paraId="00DE85C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(groups constructed as uncredible → testimony filtered/discounted)</w:t>
      </w:r>
    </w:p>
    <w:p w14:paraId="73BE72A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6C41D90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are not naturally "not yet articulated"</w:t>
      </w:r>
    </w:p>
    <w:p w14:paraId="352F3F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They are structurally suppressed via HERMENEUTIC INJUSTICE</w:t>
      </w:r>
    </w:p>
    <w:p w14:paraId="70A2064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(knowledge excluded from mainstream political vocabulary)</w:t>
      </w:r>
    </w:p>
    <w:p w14:paraId="12D6BF8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37EAF0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SYMBOLIC</w:t>
      </w:r>
    </w:p>
    <w:p w14:paraId="3E0D8B9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"Able to rule" becomes also "able to KNOW"</w:t>
      </w:r>
    </w:p>
    <w:p w14:paraId="28B0F6D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Epistemic standing as a form of recognized citizenship</w:t>
      </w:r>
    </w:p>
    <w:p w14:paraId="27FAB8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587B4BC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Legitimacy requires not just presence but EPISTEMIC AUTHORITY</w:t>
      </w:r>
    </w:p>
    <w:p w14:paraId="0D17446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"Presence without epistemic authority is a hollow form of inclusion"</w:t>
      </w:r>
    </w:p>
    <w:p w14:paraId="50A6CEF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2A5FE85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OUTCOMES</w:t>
      </w:r>
    </w:p>
    <w:p w14:paraId="3C6184C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Even policy "wins" can be epistemically hollow</w:t>
      </w:r>
    </w:p>
    <w:p w14:paraId="042EEBE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"Hollow signaling": reform in vocabularies of advantaged audiences</w:t>
      </w:r>
    </w:p>
    <w:p w14:paraId="171DE10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(efficiency, cost savings) rather than centering impacted knowledge</w:t>
      </w:r>
    </w:p>
    <w:p w14:paraId="704F968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84E749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4DC6E1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THE EPISTEMIC DIMENSION IS NOT A SEPARATE BOX.</w:t>
      </w:r>
    </w:p>
    <w:p w14:paraId="07787E5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IT IS THE MECHANISM THAT CONNECTS AND DEEPENS ALL THREE:</w:t>
      </w:r>
    </w:p>
    <w:p w14:paraId="349481F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04B965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2ED3296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EPISTEMIC AUTHORITY                 │</w:t>
      </w:r>
    </w:p>
    <w:p w14:paraId="75E804D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(whose knowledge counts, who is credible,     │</w:t>
      </w:r>
    </w:p>
    <w:p w14:paraId="610DD32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whose vocabulary is politically intelligible) │</w:t>
      </w:r>
    </w:p>
    <w:p w14:paraId="6A6ADB3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t>
      </w:r>
    </w:p>
    <w:p w14:paraId="206952A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PROCESS: who is heard in deliberation    │</w:t>
      </w:r>
    </w:p>
    <w:p w14:paraId="0393CF6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SYMBOLIC: who is seen as able to know    │</w:t>
      </w:r>
    </w:p>
    <w:p w14:paraId="5889090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OUTCOMES: whose frames define "reform"   │</w:t>
      </w:r>
    </w:p>
    <w:p w14:paraId="1C2CEEA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t>
      </w:r>
    </w:p>
    <w:p w14:paraId="02CC0F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Mechanisms:                                     │</w:t>
      </w:r>
    </w:p>
    <w:p w14:paraId="6971E5E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Testimonial injustice (credibility denied)    │</w:t>
      </w:r>
    </w:p>
    <w:p w14:paraId="518D14E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Hermeneutic injustice (vocabulary excluded)   │</w:t>
      </w:r>
    </w:p>
    <w:p w14:paraId="2C68A25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Resonance imperative (electoral incentive     │</w:t>
      </w:r>
    </w:p>
    <w:p w14:paraId="4527A53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to anchor in advantaged constituencies)     │</w:t>
      </w:r>
    </w:p>
    <w:p w14:paraId="1CF9F3C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3C09764D"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5: Applied to Carceral Citizens (P5-P7)</w:t>
      </w:r>
    </w:p>
    <w:p w14:paraId="520C487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CARCERAL CITIZENS FACE COMPOUNDING EXCLUSION ON EVERY DIMENSION:</w:t>
      </w:r>
    </w:p>
    <w:p w14:paraId="3C456EB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EB599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UPSTREAM (who is present)</w:t>
      </w:r>
    </w:p>
    <w:p w14:paraId="27CCE6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jure disenfranchisement (4M excluded)</w:t>
      </w:r>
    </w:p>
    <w:p w14:paraId="7ABB995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facto barriers (CA veto, 500K unconstitutionally excluded)</w:t>
      </w:r>
    </w:p>
    <w:p w14:paraId="09F6E53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Institutional restrictions (speech, association, communication)</w:t>
      </w:r>
    </w:p>
    <w:p w14:paraId="5FC5436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Negative policy feedback → withdrawal, "custodial citizenship"</w:t>
      </w:r>
    </w:p>
    <w:p w14:paraId="2DB6C17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Community spillovers → weakened networks, collective efficacy</w:t>
      </w:r>
    </w:p>
    <w:p w14:paraId="5729F62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Racialized concentration → overlaps with existing racial/class</w:t>
      </w:r>
    </w:p>
    <w:p w14:paraId="7FD45DC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underrepresentation in legislatures</w:t>
      </w:r>
    </w:p>
    <w:p w14:paraId="111D821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Absence is ITSELF an indicator (Clayton): accumulated institutional</w:t>
      </w:r>
    </w:p>
    <w:p w14:paraId="34138EA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barriers, not individual failure</w:t>
      </w:r>
    </w:p>
    <w:p w14:paraId="6D53A92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D8C2D6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OUTCOMES</w:t>
      </w:r>
    </w:p>
    <w:p w14:paraId="45B5CC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Absent from channels legislators use to perceive constituencies</w:t>
      </w:r>
    </w:p>
    <w:p w14:paraId="6A7B403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(voting, advocacy, constituent contact, interest groups)</w:t>
      </w:r>
    </w:p>
    <w:p w14:paraId="155BD04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Governed most by state, represented least</w:t>
      </w:r>
    </w:p>
    <w:p w14:paraId="7E53150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459AAF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 (Mansbridge applied)</w:t>
      </w:r>
    </w:p>
    <w:p w14:paraId="0EFFC8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custodial citizenship IS distrust</w:t>
      </w:r>
    </w:p>
    <w:p w14:paraId="05C8285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contact teaches engagement invites punishment</w:t>
      </w:r>
    </w:p>
    <w:p w14:paraId="6AC125D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actually hermeneutically suppressed</w:t>
      </w:r>
    </w:p>
    <w:p w14:paraId="0ED6845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communities HAVE political knowledge ("state from below")</w:t>
      </w:r>
    </w:p>
    <w:p w14:paraId="569F335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not granted standing in elite discourse</w:t>
      </w:r>
    </w:p>
    <w:p w14:paraId="3481DD5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Agenda exclusion: resonance imperative → no incentive to</w:t>
      </w:r>
    </w:p>
    <w:p w14:paraId="751402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adopt carceral communities' vocabularies</w:t>
      </w:r>
    </w:p>
    <w:p w14:paraId="1BBD64C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BCFA6A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SYMBOLIC (Mansbridge applied)</w:t>
      </w:r>
    </w:p>
    <w:p w14:paraId="7839C46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"Ability to rule": social constructions as unrepentant/dangerous</w:t>
      </w:r>
    </w:p>
    <w:p w14:paraId="5B31E01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unfit for citizenship, let alone governance</w:t>
      </w:r>
    </w:p>
    <w:p w14:paraId="236FBA3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Legitimacy deficit: polity excluding those most governed by</w:t>
      </w:r>
    </w:p>
    <w:p w14:paraId="104879C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its most coercive function</w:t>
      </w:r>
    </w:p>
    <w:p w14:paraId="4773681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16CC35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EPISTEMIC (Pottle applied — the deepest layer)</w:t>
      </w:r>
    </w:p>
    <w:p w14:paraId="348EFF6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Hermeneutic: knowledge suppressed, not absent</w:t>
      </w:r>
    </w:p>
    <w:p w14:paraId="6CE8021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legislators avoid naming incarcerated as constituents</w:t>
      </w:r>
    </w:p>
    <w:p w14:paraId="1BA5A5C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reform framed via advantaged vocabularies (hollow signaling)</w:t>
      </w:r>
    </w:p>
    <w:p w14:paraId="3CD62A7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Testimonial: constructed as uncredible narrators</w:t>
      </w:r>
    </w:p>
    <w:p w14:paraId="7F273F1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same constructions that deny deservingness deny credibility</w:t>
      </w:r>
    </w:p>
    <w:p w14:paraId="1FAD245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testimony filtered through "dangerous/deviant/dishonest"</w:t>
      </w:r>
    </w:p>
    <w:p w14:paraId="5058BBC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EVEN DESCRIPTIVE REPRESENTATION MAY NOT SUFFICE</w:t>
      </w:r>
    </w:p>
    <w:p w14:paraId="7727CF4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deracialization pressure on legislators of color</w:t>
      </w:r>
    </w:p>
    <w:p w14:paraId="4D46B8E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electoral incentives to distance from stigmatized communities</w:t>
      </w:r>
    </w:p>
    <w:p w14:paraId="2D30F42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descriptive congruence ≠ discursive recognition</w:t>
      </w:r>
    </w:p>
    <w:p w14:paraId="4A133B68"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SUMMARY: The Evolution Across Sections</w:t>
      </w:r>
    </w:p>
    <w:p w14:paraId="5EDAEA4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P1-P2:  upstream / downstream (basic)</w:t>
      </w:r>
    </w:p>
    <w:p w14:paraId="0F5BB74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4C9241A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P3:     upstream / downstream → outcomes + process (+ hints of symbolic)</w:t>
      </w:r>
    </w:p>
    <w:p w14:paraId="21EDAC5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35F9451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P4:     upstream / outcomes + process + SYMBOLIC (Mansbridge)</w:t>
      </w:r>
    </w:p>
    <w:p w14:paraId="36DB979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then EPISTEMIC as deepening mechanism (Pottle)</w:t>
      </w:r>
    </w:p>
    <w:p w14:paraId="21540DD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30A4E1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P5-P6:  Carceral citizens introduced as case</w:t>
      </w:r>
    </w:p>
    <w:p w14:paraId="4069F6E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(material conditions, demographics, collateral consequences)</w:t>
      </w:r>
    </w:p>
    <w:p w14:paraId="3C310A7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xml:space="preserve">  ↓</w:t>
      </w:r>
    </w:p>
    <w:p w14:paraId="406BC40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P7:     Carceral citizens mapped onto full framework:</w:t>
      </w:r>
    </w:p>
    <w:p w14:paraId="014B6A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upstream exclusion → process/symbolic (Mansbridge) → epistemic (Pottle)</w:t>
      </w:r>
    </w:p>
    <w:p w14:paraId="454E024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Building toward: even descriptive representation insufficient alone</w:t>
      </w:r>
    </w:p>
    <w:p w14:paraId="5CBA77FF"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TENSION/QUESTION FOR YOU:</w:t>
      </w:r>
    </w:p>
    <w:p w14:paraId="789A4FE5"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draft currently treats "symbolic" somewhat unevenly. In P3, you gesture at it ("symbolic recognition," "relational ties") but don't name it as a category. Mansbridge's 3rd and 4th contexts ARE symbolic but you describe them as "upstream causes of representational congruence" in P4, which I think miscategorizes them — they're downstream effects of presence/absence on social meaning and legitimacy, not causes of who enters office.</w:t>
      </w:r>
    </w:p>
    <w:p w14:paraId="52F7F15C"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Suggestion: In P3 (the empirical paragraph), explicitly name the three downstream categories (outcomes, process, symbolic) and note that the literature has increasingly moved from the first to the second and third. Then when Mansbridge arrives, the reader already has the vocabulary to place her four contexts. Her first two → process. Her third and fourth → symbolic. Pottle → epistemic as the mechanism underlying all three.</w:t>
      </w:r>
    </w:p>
    <w:p w14:paraId="0CF3494A"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would also help you in P7 when you apply the framework to carceral citizens — you could move through the categories systematically rather than the current structure where the Mansbridge mapping and the Pottle material feel somewhat sequential rather than integrated.</w:t>
      </w:r>
    </w:p>
    <w:p w14:paraId="20156311" w14:textId="77777777" w:rsidR="0036459C" w:rsidRPr="00D74488" w:rsidRDefault="0036459C">
      <w:pPr>
        <w:rPr>
          <w:rFonts w:ascii="Times New Roman" w:hAnsi="Times New Roman" w:cs="Times New Roman"/>
        </w:rPr>
      </w:pPr>
    </w:p>
    <w:p w14:paraId="0F0A66E1" w14:textId="77777777" w:rsidR="0036459C" w:rsidRPr="00D74488" w:rsidRDefault="0036459C">
      <w:pPr>
        <w:rPr>
          <w:rFonts w:ascii="Times New Roman" w:hAnsi="Times New Roman" w:cs="Times New Roman"/>
        </w:rPr>
      </w:pPr>
    </w:p>
    <w:sectPr w:rsidR="0036459C" w:rsidRPr="00D74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CD8"/>
    <w:multiLevelType w:val="multilevel"/>
    <w:tmpl w:val="6F5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503A3"/>
    <w:multiLevelType w:val="hybridMultilevel"/>
    <w:tmpl w:val="835A80BE"/>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A32AD"/>
    <w:multiLevelType w:val="multilevel"/>
    <w:tmpl w:val="C42E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30C98"/>
    <w:multiLevelType w:val="multilevel"/>
    <w:tmpl w:val="CA02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557C6"/>
    <w:multiLevelType w:val="multilevel"/>
    <w:tmpl w:val="12A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505AE"/>
    <w:multiLevelType w:val="multilevel"/>
    <w:tmpl w:val="2BB2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5688A"/>
    <w:multiLevelType w:val="multilevel"/>
    <w:tmpl w:val="AB78A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27AC6"/>
    <w:multiLevelType w:val="hybridMultilevel"/>
    <w:tmpl w:val="B6E04390"/>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16933"/>
    <w:multiLevelType w:val="multilevel"/>
    <w:tmpl w:val="28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441F9"/>
    <w:multiLevelType w:val="multilevel"/>
    <w:tmpl w:val="5E7A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D43CDE"/>
    <w:multiLevelType w:val="multilevel"/>
    <w:tmpl w:val="B5E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7B7A66"/>
    <w:multiLevelType w:val="multilevel"/>
    <w:tmpl w:val="CDB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1273A"/>
    <w:multiLevelType w:val="multilevel"/>
    <w:tmpl w:val="4C7EF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27AD4"/>
    <w:multiLevelType w:val="hybridMultilevel"/>
    <w:tmpl w:val="A7922F36"/>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AE00C2"/>
    <w:multiLevelType w:val="multilevel"/>
    <w:tmpl w:val="7452F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A4CBC"/>
    <w:multiLevelType w:val="multilevel"/>
    <w:tmpl w:val="F512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D5780"/>
    <w:multiLevelType w:val="multilevel"/>
    <w:tmpl w:val="3736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F87C98"/>
    <w:multiLevelType w:val="multilevel"/>
    <w:tmpl w:val="2BAA6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E00CC1"/>
    <w:multiLevelType w:val="multilevel"/>
    <w:tmpl w:val="0360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7791C"/>
    <w:multiLevelType w:val="multilevel"/>
    <w:tmpl w:val="FAD6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2AAA"/>
    <w:multiLevelType w:val="multilevel"/>
    <w:tmpl w:val="0CD6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6006CD"/>
    <w:multiLevelType w:val="multilevel"/>
    <w:tmpl w:val="4A1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AB0D98"/>
    <w:multiLevelType w:val="multilevel"/>
    <w:tmpl w:val="5FCED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B3507"/>
    <w:multiLevelType w:val="multilevel"/>
    <w:tmpl w:val="13D05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141169"/>
    <w:multiLevelType w:val="multilevel"/>
    <w:tmpl w:val="27E2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1C2B4A"/>
    <w:multiLevelType w:val="multilevel"/>
    <w:tmpl w:val="D4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590F43"/>
    <w:multiLevelType w:val="multilevel"/>
    <w:tmpl w:val="66F6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408488">
    <w:abstractNumId w:val="9"/>
  </w:num>
  <w:num w:numId="2" w16cid:durableId="523981064">
    <w:abstractNumId w:val="17"/>
  </w:num>
  <w:num w:numId="3" w16cid:durableId="2022317537">
    <w:abstractNumId w:val="18"/>
  </w:num>
  <w:num w:numId="4" w16cid:durableId="1890418425">
    <w:abstractNumId w:val="23"/>
  </w:num>
  <w:num w:numId="5" w16cid:durableId="1846091240">
    <w:abstractNumId w:val="13"/>
  </w:num>
  <w:num w:numId="6" w16cid:durableId="98187304">
    <w:abstractNumId w:val="7"/>
  </w:num>
  <w:num w:numId="7" w16cid:durableId="983588584">
    <w:abstractNumId w:val="4"/>
  </w:num>
  <w:num w:numId="8" w16cid:durableId="1348479618">
    <w:abstractNumId w:val="1"/>
  </w:num>
  <w:num w:numId="9" w16cid:durableId="426317778">
    <w:abstractNumId w:val="11"/>
  </w:num>
  <w:num w:numId="10" w16cid:durableId="1341276906">
    <w:abstractNumId w:val="12"/>
  </w:num>
  <w:num w:numId="11" w16cid:durableId="227956935">
    <w:abstractNumId w:val="14"/>
  </w:num>
  <w:num w:numId="12" w16cid:durableId="916205029">
    <w:abstractNumId w:val="6"/>
  </w:num>
  <w:num w:numId="13" w16cid:durableId="2119595660">
    <w:abstractNumId w:val="22"/>
  </w:num>
  <w:num w:numId="14" w16cid:durableId="1723744485">
    <w:abstractNumId w:val="10"/>
  </w:num>
  <w:num w:numId="15" w16cid:durableId="397438146">
    <w:abstractNumId w:val="16"/>
  </w:num>
  <w:num w:numId="16" w16cid:durableId="342822466">
    <w:abstractNumId w:val="3"/>
  </w:num>
  <w:num w:numId="17" w16cid:durableId="343289992">
    <w:abstractNumId w:val="24"/>
  </w:num>
  <w:num w:numId="18" w16cid:durableId="1541278907">
    <w:abstractNumId w:val="5"/>
  </w:num>
  <w:num w:numId="19" w16cid:durableId="1040588180">
    <w:abstractNumId w:val="19"/>
  </w:num>
  <w:num w:numId="20" w16cid:durableId="213855946">
    <w:abstractNumId w:val="15"/>
  </w:num>
  <w:num w:numId="21" w16cid:durableId="1268733665">
    <w:abstractNumId w:val="8"/>
  </w:num>
  <w:num w:numId="22" w16cid:durableId="115561537">
    <w:abstractNumId w:val="21"/>
  </w:num>
  <w:num w:numId="23" w16cid:durableId="1924800096">
    <w:abstractNumId w:val="0"/>
  </w:num>
  <w:num w:numId="24" w16cid:durableId="1855606568">
    <w:abstractNumId w:val="26"/>
  </w:num>
  <w:num w:numId="25" w16cid:durableId="864829823">
    <w:abstractNumId w:val="25"/>
  </w:num>
  <w:num w:numId="26" w16cid:durableId="707990922">
    <w:abstractNumId w:val="20"/>
  </w:num>
  <w:num w:numId="27" w16cid:durableId="532419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23A"/>
    <w:rsid w:val="000418C1"/>
    <w:rsid w:val="00042A1E"/>
    <w:rsid w:val="000557C3"/>
    <w:rsid w:val="000E5388"/>
    <w:rsid w:val="000E6DD0"/>
    <w:rsid w:val="00111FF6"/>
    <w:rsid w:val="00125550"/>
    <w:rsid w:val="00137F24"/>
    <w:rsid w:val="0017581E"/>
    <w:rsid w:val="00207231"/>
    <w:rsid w:val="00233390"/>
    <w:rsid w:val="0030716D"/>
    <w:rsid w:val="003072FF"/>
    <w:rsid w:val="0036459C"/>
    <w:rsid w:val="003B71B7"/>
    <w:rsid w:val="003D3D49"/>
    <w:rsid w:val="003E126E"/>
    <w:rsid w:val="003E67DF"/>
    <w:rsid w:val="004078FF"/>
    <w:rsid w:val="00435A09"/>
    <w:rsid w:val="005156F8"/>
    <w:rsid w:val="00543FB5"/>
    <w:rsid w:val="00581F38"/>
    <w:rsid w:val="005F2538"/>
    <w:rsid w:val="00662EFC"/>
    <w:rsid w:val="00711452"/>
    <w:rsid w:val="007246DB"/>
    <w:rsid w:val="00774CCE"/>
    <w:rsid w:val="0078023A"/>
    <w:rsid w:val="00803A77"/>
    <w:rsid w:val="009663A3"/>
    <w:rsid w:val="00A30F02"/>
    <w:rsid w:val="00A90870"/>
    <w:rsid w:val="00A91186"/>
    <w:rsid w:val="00A93DCF"/>
    <w:rsid w:val="00B35275"/>
    <w:rsid w:val="00B54257"/>
    <w:rsid w:val="00B9567D"/>
    <w:rsid w:val="00BA0102"/>
    <w:rsid w:val="00BD386E"/>
    <w:rsid w:val="00BF1776"/>
    <w:rsid w:val="00C4102C"/>
    <w:rsid w:val="00C43D8D"/>
    <w:rsid w:val="00CA0E55"/>
    <w:rsid w:val="00CC4033"/>
    <w:rsid w:val="00CE7C71"/>
    <w:rsid w:val="00D25FD2"/>
    <w:rsid w:val="00D723E2"/>
    <w:rsid w:val="00D74488"/>
    <w:rsid w:val="00DE5781"/>
    <w:rsid w:val="00E25706"/>
    <w:rsid w:val="00EF2D35"/>
    <w:rsid w:val="00F60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B3F35"/>
  <w15:chartTrackingRefBased/>
  <w15:docId w15:val="{F202D6B8-12EE-F84A-97F9-DDB3C6FA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0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0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23A"/>
    <w:rPr>
      <w:rFonts w:eastAsiaTheme="majorEastAsia" w:cstheme="majorBidi"/>
      <w:color w:val="272727" w:themeColor="text1" w:themeTint="D8"/>
    </w:rPr>
  </w:style>
  <w:style w:type="paragraph" w:styleId="Title">
    <w:name w:val="Title"/>
    <w:basedOn w:val="Normal"/>
    <w:next w:val="Normal"/>
    <w:link w:val="TitleChar"/>
    <w:uiPriority w:val="10"/>
    <w:qFormat/>
    <w:rsid w:val="00780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23A"/>
    <w:pPr>
      <w:spacing w:before="160"/>
      <w:jc w:val="center"/>
    </w:pPr>
    <w:rPr>
      <w:i/>
      <w:iCs/>
      <w:color w:val="404040" w:themeColor="text1" w:themeTint="BF"/>
    </w:rPr>
  </w:style>
  <w:style w:type="character" w:customStyle="1" w:styleId="QuoteChar">
    <w:name w:val="Quote Char"/>
    <w:basedOn w:val="DefaultParagraphFont"/>
    <w:link w:val="Quote"/>
    <w:uiPriority w:val="29"/>
    <w:rsid w:val="0078023A"/>
    <w:rPr>
      <w:i/>
      <w:iCs/>
      <w:color w:val="404040" w:themeColor="text1" w:themeTint="BF"/>
    </w:rPr>
  </w:style>
  <w:style w:type="paragraph" w:styleId="ListParagraph">
    <w:name w:val="List Paragraph"/>
    <w:basedOn w:val="Normal"/>
    <w:uiPriority w:val="34"/>
    <w:qFormat/>
    <w:rsid w:val="0078023A"/>
    <w:pPr>
      <w:ind w:left="720"/>
      <w:contextualSpacing/>
    </w:pPr>
  </w:style>
  <w:style w:type="character" w:styleId="IntenseEmphasis">
    <w:name w:val="Intense Emphasis"/>
    <w:basedOn w:val="DefaultParagraphFont"/>
    <w:uiPriority w:val="21"/>
    <w:qFormat/>
    <w:rsid w:val="0078023A"/>
    <w:rPr>
      <w:i/>
      <w:iCs/>
      <w:color w:val="0F4761" w:themeColor="accent1" w:themeShade="BF"/>
    </w:rPr>
  </w:style>
  <w:style w:type="paragraph" w:styleId="IntenseQuote">
    <w:name w:val="Intense Quote"/>
    <w:basedOn w:val="Normal"/>
    <w:next w:val="Normal"/>
    <w:link w:val="IntenseQuoteChar"/>
    <w:uiPriority w:val="30"/>
    <w:qFormat/>
    <w:rsid w:val="00780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23A"/>
    <w:rPr>
      <w:i/>
      <w:iCs/>
      <w:color w:val="0F4761" w:themeColor="accent1" w:themeShade="BF"/>
    </w:rPr>
  </w:style>
  <w:style w:type="character" w:styleId="IntenseReference">
    <w:name w:val="Intense Reference"/>
    <w:basedOn w:val="DefaultParagraphFont"/>
    <w:uiPriority w:val="32"/>
    <w:qFormat/>
    <w:rsid w:val="0078023A"/>
    <w:rPr>
      <w:b/>
      <w:bCs/>
      <w:smallCaps/>
      <w:color w:val="0F4761" w:themeColor="accent1" w:themeShade="BF"/>
      <w:spacing w:val="5"/>
    </w:rPr>
  </w:style>
  <w:style w:type="character" w:styleId="Emphasis">
    <w:name w:val="Emphasis"/>
    <w:basedOn w:val="DefaultParagraphFont"/>
    <w:uiPriority w:val="20"/>
    <w:qFormat/>
    <w:rsid w:val="0078023A"/>
    <w:rPr>
      <w:i/>
      <w:iCs/>
    </w:rPr>
  </w:style>
  <w:style w:type="paragraph" w:styleId="NormalWeb">
    <w:name w:val="Normal (Web)"/>
    <w:basedOn w:val="Normal"/>
    <w:uiPriority w:val="99"/>
    <w:unhideWhenUsed/>
    <w:rsid w:val="007802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023A"/>
    <w:rPr>
      <w:b/>
      <w:bCs/>
    </w:rPr>
  </w:style>
  <w:style w:type="paragraph" w:styleId="HTMLPreformatted">
    <w:name w:val="HTML Preformatted"/>
    <w:basedOn w:val="Normal"/>
    <w:link w:val="HTMLPreformattedChar"/>
    <w:uiPriority w:val="99"/>
    <w:semiHidden/>
    <w:unhideWhenUsed/>
    <w:rsid w:val="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418C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418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18</Pages>
  <Words>5160</Words>
  <Characters>32200</Characters>
  <Application>Microsoft Office Word</Application>
  <DocSecurity>0</DocSecurity>
  <Lines>731</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17</cp:revision>
  <dcterms:created xsi:type="dcterms:W3CDTF">2026-02-09T16:25:00Z</dcterms:created>
  <dcterms:modified xsi:type="dcterms:W3CDTF">2026-03-02T02:12:00Z</dcterms:modified>
</cp:coreProperties>
</file>