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FED8" w14:textId="7FF17396" w:rsidR="00BD1685" w:rsidRDefault="00BD1685">
      <w:r>
        <w:t>Chapters 2 (State Policy) &amp; Chapter 3 (Direct Descriptive Reps) Outline</w:t>
      </w:r>
    </w:p>
    <w:p w14:paraId="31D7ABFB" w14:textId="77777777" w:rsidR="00BD1685" w:rsidRPr="00BD1685" w:rsidRDefault="00BD1685" w:rsidP="00BD1685">
      <w:pPr>
        <w:spacing w:after="0" w:line="240" w:lineRule="auto"/>
        <w:ind w:left="540"/>
        <w:rPr>
          <w:rFonts w:ascii="Calibri" w:eastAsia="Times New Roman" w:hAnsi="Calibri" w:cs="Calibri"/>
          <w:kern w:val="0"/>
          <w:sz w:val="22"/>
          <w:szCs w:val="22"/>
          <w14:ligatures w14:val="none"/>
        </w:rPr>
      </w:pPr>
      <w:r w:rsidRPr="00BD1685">
        <w:rPr>
          <w:rFonts w:ascii="Calibri" w:eastAsia="Times New Roman" w:hAnsi="Calibri" w:cs="Calibri"/>
          <w:b/>
          <w:bCs/>
          <w:kern w:val="0"/>
          <w:sz w:val="22"/>
          <w:szCs w:val="22"/>
          <w14:ligatures w14:val="none"/>
        </w:rPr>
        <w:t>Chapter 2:</w:t>
      </w:r>
    </w:p>
    <w:p w14:paraId="39ED823E" w14:textId="77777777" w:rsidR="00BD1685" w:rsidRPr="00BD1685" w:rsidRDefault="00BD1685" w:rsidP="00BD1685">
      <w:pPr>
        <w:spacing w:after="0" w:line="240" w:lineRule="auto"/>
        <w:ind w:left="540"/>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What are the state policies?</w:t>
      </w:r>
    </w:p>
    <w:p w14:paraId="67AA57FE" w14:textId="77777777" w:rsidR="00BD1685" w:rsidRPr="00BD1685" w:rsidRDefault="00BD1685" w:rsidP="00BD1685">
      <w:pPr>
        <w:numPr>
          <w:ilvl w:val="0"/>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Question:</w:t>
      </w:r>
    </w:p>
    <w:p w14:paraId="0CFE9274" w14:textId="77777777" w:rsidR="00BD1685" w:rsidRDefault="00BD1685" w:rsidP="00BD1685">
      <w:pPr>
        <w:numPr>
          <w:ilvl w:val="1"/>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Which of my prospectus questions is this chapter addressing</w:t>
      </w:r>
    </w:p>
    <w:p w14:paraId="60BFB6D6" w14:textId="597AD7E0" w:rsidR="00A14FA5" w:rsidRDefault="00A14FA5" w:rsidP="00A14FA5">
      <w:pPr>
        <w:numPr>
          <w:ilvl w:val="2"/>
          <w:numId w:val="1"/>
        </w:numPr>
        <w:spacing w:after="0" w:line="240" w:lineRule="auto"/>
        <w:textAlignment w:val="center"/>
        <w:rPr>
          <w:rFonts w:ascii="Calibri" w:eastAsia="Times New Roman" w:hAnsi="Calibri" w:cs="Calibri"/>
          <w:kern w:val="0"/>
          <w:sz w:val="22"/>
          <w:szCs w:val="22"/>
          <w14:ligatures w14:val="none"/>
        </w:rPr>
      </w:pPr>
      <w:r w:rsidRPr="00A14FA5">
        <w:rPr>
          <w:rFonts w:ascii="Calibri" w:eastAsia="Times New Roman" w:hAnsi="Calibri" w:cs="Calibri"/>
          <w:kern w:val="0"/>
          <w:sz w:val="22"/>
          <w:szCs w:val="22"/>
          <w14:ligatures w14:val="none"/>
        </w:rPr>
        <w:t xml:space="preserve">If lived experience with the carceral state shapes political knowledge, as we have established in chapter 1, how does democratic representation respond to that knowledge? How are </w:t>
      </w:r>
      <w:proofErr w:type="spellStart"/>
      <w:r w:rsidRPr="00A14FA5">
        <w:rPr>
          <w:rFonts w:ascii="Calibri" w:eastAsia="Times New Roman" w:hAnsi="Calibri" w:cs="Calibri"/>
          <w:kern w:val="0"/>
          <w:sz w:val="22"/>
          <w:szCs w:val="22"/>
          <w14:ligatures w14:val="none"/>
        </w:rPr>
        <w:t>carcerally</w:t>
      </w:r>
      <w:proofErr w:type="spellEnd"/>
      <w:r w:rsidRPr="00A14FA5">
        <w:rPr>
          <w:rFonts w:ascii="Calibri" w:eastAsia="Times New Roman" w:hAnsi="Calibri" w:cs="Calibri"/>
          <w:kern w:val="0"/>
          <w:sz w:val="22"/>
          <w:szCs w:val="22"/>
          <w14:ligatures w14:val="none"/>
        </w:rPr>
        <w:t xml:space="preserve"> impacted populations represented -- and to what degree are they included as political knowers?</w:t>
      </w:r>
    </w:p>
    <w:p w14:paraId="0B6BB658" w14:textId="50F1A3CA" w:rsidR="00A14FA5" w:rsidRPr="00A14FA5" w:rsidRDefault="00A14FA5" w:rsidP="00A14FA5">
      <w:pPr>
        <w:numPr>
          <w:ilvl w:val="2"/>
          <w:numId w:val="1"/>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In chapter 3, I will ask a</w:t>
      </w:r>
      <w:r w:rsidRPr="00A14FA5">
        <w:rPr>
          <w:rFonts w:ascii="Calibri" w:eastAsia="Times New Roman" w:hAnsi="Calibri" w:cs="Calibri"/>
          <w:kern w:val="0"/>
          <w:sz w:val="22"/>
          <w:szCs w:val="22"/>
          <w14:ligatures w14:val="none"/>
        </w:rPr>
        <w:t>s a first step toward assessing descriptive representation of carceral constituencies</w:t>
      </w:r>
      <w:r>
        <w:rPr>
          <w:rFonts w:ascii="Calibri" w:eastAsia="Times New Roman" w:hAnsi="Calibri" w:cs="Calibri"/>
          <w:kern w:val="0"/>
          <w:sz w:val="22"/>
          <w:szCs w:val="22"/>
          <w14:ligatures w14:val="none"/>
        </w:rPr>
        <w:t xml:space="preserve">: </w:t>
      </w:r>
      <w:r w:rsidRPr="00A14FA5">
        <w:rPr>
          <w:rFonts w:ascii="Calibri" w:eastAsia="Times New Roman" w:hAnsi="Calibri" w:cs="Calibri"/>
          <w:kern w:val="0"/>
          <w:sz w:val="22"/>
          <w:szCs w:val="22"/>
          <w14:ligatures w14:val="none"/>
        </w:rPr>
        <w:t>are individuals with criminal convictions represented in state legislatures? More specifically,</w:t>
      </w:r>
      <w:r>
        <w:rPr>
          <w:rFonts w:ascii="Calibri" w:eastAsia="Times New Roman" w:hAnsi="Calibri" w:cs="Calibri"/>
          <w:kern w:val="0"/>
          <w:sz w:val="22"/>
          <w:szCs w:val="22"/>
          <w14:ligatures w14:val="none"/>
        </w:rPr>
        <w:t xml:space="preserve"> </w:t>
      </w:r>
      <w:r w:rsidRPr="00A14FA5">
        <w:rPr>
          <w:rFonts w:ascii="Calibri" w:eastAsia="Times New Roman" w:hAnsi="Calibri" w:cs="Calibri"/>
          <w:kern w:val="0"/>
          <w:sz w:val="22"/>
          <w:szCs w:val="22"/>
          <w14:ligatures w14:val="none"/>
        </w:rPr>
        <w:t>what proportion of state legislators have themselves been convicted of crimes prosecuted by</w:t>
      </w:r>
      <w:r>
        <w:rPr>
          <w:rFonts w:ascii="Calibri" w:eastAsia="Times New Roman" w:hAnsi="Calibri" w:cs="Calibri"/>
          <w:kern w:val="0"/>
          <w:sz w:val="22"/>
          <w:szCs w:val="22"/>
          <w14:ligatures w14:val="none"/>
        </w:rPr>
        <w:t xml:space="preserve"> </w:t>
      </w:r>
      <w:r w:rsidRPr="00A14FA5">
        <w:rPr>
          <w:rFonts w:ascii="Calibri" w:eastAsia="Times New Roman" w:hAnsi="Calibri" w:cs="Calibri"/>
          <w:kern w:val="0"/>
          <w:sz w:val="22"/>
          <w:szCs w:val="22"/>
          <w14:ligatures w14:val="none"/>
        </w:rPr>
        <w:t>the state?</w:t>
      </w:r>
    </w:p>
    <w:p w14:paraId="3BBF499B" w14:textId="3CE06C91" w:rsidR="00A14FA5" w:rsidRDefault="00A14FA5" w:rsidP="00BD1685">
      <w:pPr>
        <w:numPr>
          <w:ilvl w:val="1"/>
          <w:numId w:val="1"/>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But this other question comes first</w:t>
      </w:r>
    </w:p>
    <w:p w14:paraId="2876AB2E" w14:textId="221B5ACF" w:rsidR="00A14FA5" w:rsidRPr="00A14FA5" w:rsidRDefault="00A14FA5" w:rsidP="00A14FA5">
      <w:pPr>
        <w:numPr>
          <w:ilvl w:val="2"/>
          <w:numId w:val="1"/>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Question: </w:t>
      </w:r>
      <w:r w:rsidRPr="00A14FA5">
        <w:rPr>
          <w:rFonts w:ascii="Calibri" w:eastAsia="Times New Roman" w:hAnsi="Calibri" w:cs="Calibri"/>
          <w:kern w:val="0"/>
          <w:sz w:val="22"/>
          <w:szCs w:val="22"/>
          <w14:ligatures w14:val="none"/>
        </w:rPr>
        <w:t xml:space="preserve">whether and </w:t>
      </w:r>
      <w:proofErr w:type="gramStart"/>
      <w:r w:rsidRPr="00A14FA5">
        <w:rPr>
          <w:rFonts w:ascii="Calibri" w:eastAsia="Times New Roman" w:hAnsi="Calibri" w:cs="Calibri"/>
          <w:kern w:val="0"/>
          <w:sz w:val="22"/>
          <w:szCs w:val="22"/>
          <w14:ligatures w14:val="none"/>
        </w:rPr>
        <w:t>where</w:t>
      </w:r>
      <w:r>
        <w:rPr>
          <w:rFonts w:ascii="Calibri" w:eastAsia="Times New Roman" w:hAnsi="Calibri" w:cs="Calibri"/>
          <w:kern w:val="0"/>
          <w:sz w:val="22"/>
          <w:szCs w:val="22"/>
          <w14:ligatures w14:val="none"/>
        </w:rPr>
        <w:t xml:space="preserve"> </w:t>
      </w:r>
      <w:r w:rsidRPr="00A14FA5">
        <w:rPr>
          <w:rFonts w:ascii="Calibri" w:eastAsia="Times New Roman" w:hAnsi="Calibri" w:cs="Calibri"/>
          <w:kern w:val="0"/>
          <w:sz w:val="22"/>
          <w:szCs w:val="22"/>
          <w14:ligatures w14:val="none"/>
        </w:rPr>
        <w:t>”direct</w:t>
      </w:r>
      <w:proofErr w:type="gramEnd"/>
      <w:r w:rsidRPr="00A14FA5">
        <w:rPr>
          <w:rFonts w:ascii="Calibri" w:eastAsia="Times New Roman" w:hAnsi="Calibri" w:cs="Calibri"/>
          <w:kern w:val="0"/>
          <w:sz w:val="22"/>
          <w:szCs w:val="22"/>
          <w14:ligatures w14:val="none"/>
        </w:rPr>
        <w:t xml:space="preserve">, descriptive” representation may exist, or descriptive representation of carceral citizens in its most direct form: legislators who have been directly </w:t>
      </w:r>
      <w:proofErr w:type="gramStart"/>
      <w:r w:rsidRPr="00A14FA5">
        <w:rPr>
          <w:rFonts w:ascii="Calibri" w:eastAsia="Times New Roman" w:hAnsi="Calibri" w:cs="Calibri"/>
          <w:kern w:val="0"/>
          <w:sz w:val="22"/>
          <w:szCs w:val="22"/>
          <w14:ligatures w14:val="none"/>
        </w:rPr>
        <w:t>affected, or</w:t>
      </w:r>
      <w:proofErr w:type="gramEnd"/>
      <w:r w:rsidRPr="00A14FA5">
        <w:rPr>
          <w:rFonts w:ascii="Calibri" w:eastAsia="Times New Roman" w:hAnsi="Calibri" w:cs="Calibri"/>
          <w:kern w:val="0"/>
          <w:sz w:val="22"/>
          <w:szCs w:val="22"/>
          <w14:ligatures w14:val="none"/>
        </w:rPr>
        <w:t xml:space="preserve"> convicted of</w:t>
      </w:r>
      <w:r>
        <w:rPr>
          <w:rFonts w:ascii="Calibri" w:eastAsia="Times New Roman" w:hAnsi="Calibri" w:cs="Calibri"/>
          <w:kern w:val="0"/>
          <w:sz w:val="22"/>
          <w:szCs w:val="22"/>
          <w14:ligatures w14:val="none"/>
        </w:rPr>
        <w:t xml:space="preserve"> </w:t>
      </w:r>
      <w:r w:rsidRPr="00A14FA5">
        <w:rPr>
          <w:rFonts w:ascii="Calibri" w:eastAsia="Times New Roman" w:hAnsi="Calibri" w:cs="Calibri"/>
          <w:kern w:val="0"/>
          <w:sz w:val="22"/>
          <w:szCs w:val="22"/>
          <w14:ligatures w14:val="none"/>
        </w:rPr>
        <w:t>crimes persecuted by the state.</w:t>
      </w:r>
    </w:p>
    <w:p w14:paraId="1D452430" w14:textId="0E778727" w:rsidR="00BD1685" w:rsidRDefault="00BD1685" w:rsidP="00BD1685">
      <w:pPr>
        <w:numPr>
          <w:ilvl w:val="1"/>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Why is this question needed to answer that question</w:t>
      </w:r>
      <w:r w:rsidR="00A14FA5">
        <w:rPr>
          <w:rFonts w:ascii="Calibri" w:eastAsia="Times New Roman" w:hAnsi="Calibri" w:cs="Calibri"/>
          <w:kern w:val="0"/>
          <w:sz w:val="22"/>
          <w:szCs w:val="22"/>
          <w14:ligatures w14:val="none"/>
        </w:rPr>
        <w:t>:</w:t>
      </w:r>
    </w:p>
    <w:p w14:paraId="03F13629" w14:textId="270D0A3D" w:rsidR="00A14FA5" w:rsidRPr="00BD1685" w:rsidRDefault="00A14FA5" w:rsidP="00A14FA5">
      <w:pPr>
        <w:numPr>
          <w:ilvl w:val="2"/>
          <w:numId w:val="1"/>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You </w:t>
      </w:r>
      <w:proofErr w:type="gramStart"/>
      <w:r>
        <w:rPr>
          <w:rFonts w:ascii="Calibri" w:eastAsia="Times New Roman" w:hAnsi="Calibri" w:cs="Calibri"/>
          <w:kern w:val="0"/>
          <w:sz w:val="22"/>
          <w:szCs w:val="22"/>
          <w14:ligatures w14:val="none"/>
        </w:rPr>
        <w:t>have to</w:t>
      </w:r>
      <w:proofErr w:type="gramEnd"/>
      <w:r>
        <w:rPr>
          <w:rFonts w:ascii="Calibri" w:eastAsia="Times New Roman" w:hAnsi="Calibri" w:cs="Calibri"/>
          <w:kern w:val="0"/>
          <w:sz w:val="22"/>
          <w:szCs w:val="22"/>
          <w14:ligatures w14:val="none"/>
        </w:rPr>
        <w:t xml:space="preserve"> know where it is possible to have representation to understand where there is representation. </w:t>
      </w:r>
    </w:p>
    <w:p w14:paraId="008A1A30" w14:textId="77777777" w:rsidR="00BD1685" w:rsidRPr="00BD1685" w:rsidRDefault="00BD1685" w:rsidP="00BD1685">
      <w:pPr>
        <w:numPr>
          <w:ilvl w:val="0"/>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Hypotheses (slightly different for descriptive chapter like this)</w:t>
      </w:r>
    </w:p>
    <w:p w14:paraId="4D1B4142" w14:textId="77777777" w:rsidR="00BD1685" w:rsidRPr="00341F03" w:rsidRDefault="00BD1685" w:rsidP="00BD1685">
      <w:pPr>
        <w:numPr>
          <w:ilvl w:val="1"/>
          <w:numId w:val="1"/>
        </w:numPr>
        <w:spacing w:after="0" w:line="240" w:lineRule="auto"/>
        <w:textAlignment w:val="center"/>
        <w:rPr>
          <w:rFonts w:ascii="Calibri" w:eastAsia="Times New Roman" w:hAnsi="Calibri" w:cs="Calibri"/>
          <w:i/>
          <w:iCs/>
          <w:kern w:val="0"/>
          <w:sz w:val="22"/>
          <w:szCs w:val="22"/>
          <w14:ligatures w14:val="none"/>
        </w:rPr>
      </w:pPr>
      <w:r w:rsidRPr="00341F03">
        <w:rPr>
          <w:rFonts w:ascii="Calibri" w:eastAsia="Times New Roman" w:hAnsi="Calibri" w:cs="Calibri"/>
          <w:i/>
          <w:iCs/>
          <w:kern w:val="0"/>
          <w:sz w:val="22"/>
          <w:szCs w:val="22"/>
          <w14:ligatures w14:val="none"/>
        </w:rPr>
        <w:t>Task 1: what do descriptive chapters on state policy tend to do / look like? Hypotheses?</w:t>
      </w:r>
    </w:p>
    <w:p w14:paraId="0BFA01C7" w14:textId="77777777" w:rsidR="00341F03" w:rsidRDefault="00341F03" w:rsidP="00341F03">
      <w:pPr>
        <w:spacing w:after="0" w:line="240" w:lineRule="auto"/>
        <w:ind w:left="360"/>
        <w:textAlignment w:val="center"/>
        <w:rPr>
          <w:rFonts w:ascii="Calibri" w:eastAsia="Times New Roman" w:hAnsi="Calibri" w:cs="Calibri"/>
          <w:kern w:val="0"/>
          <w:sz w:val="22"/>
          <w:szCs w:val="22"/>
          <w14:ligatures w14:val="none"/>
        </w:rPr>
      </w:pPr>
    </w:p>
    <w:p w14:paraId="29A3660F" w14:textId="7C422C74" w:rsidR="00BD1685" w:rsidRDefault="00341F03" w:rsidP="00341F03">
      <w:pPr>
        <w:spacing w:after="0" w:line="240" w:lineRule="auto"/>
        <w:ind w:left="360"/>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Theoretical Approach (not mechanism) </w:t>
      </w:r>
      <w:r w:rsidRPr="00341F03">
        <w:rPr>
          <w:rFonts w:ascii="Calibri" w:eastAsia="Times New Roman" w:hAnsi="Calibri" w:cs="Calibri"/>
          <w:kern w:val="0"/>
          <w:sz w:val="22"/>
          <w:szCs w:val="22"/>
          <w14:ligatures w14:val="none"/>
        </w:rPr>
        <w:sym w:font="Wingdings" w:char="F0E0"/>
      </w:r>
      <w:r>
        <w:rPr>
          <w:rFonts w:ascii="Calibri" w:eastAsia="Times New Roman" w:hAnsi="Calibri" w:cs="Calibri"/>
          <w:kern w:val="0"/>
          <w:sz w:val="22"/>
          <w:szCs w:val="22"/>
          <w14:ligatures w14:val="none"/>
        </w:rPr>
        <w:t xml:space="preserve"> </w:t>
      </w:r>
      <w:proofErr w:type="spellStart"/>
      <w:r w:rsidR="00BD1685" w:rsidRPr="00BD1685">
        <w:rPr>
          <w:rFonts w:ascii="Calibri" w:eastAsia="Times New Roman" w:hAnsi="Calibri" w:cs="Calibri"/>
          <w:kern w:val="0"/>
          <w:sz w:val="22"/>
          <w:szCs w:val="22"/>
          <w14:ligatures w14:val="none"/>
        </w:rPr>
        <w:t>Hyp</w:t>
      </w:r>
      <w:proofErr w:type="spellEnd"/>
      <w:r w:rsidR="00BD1685" w:rsidRPr="00BD1685">
        <w:rPr>
          <w:rFonts w:ascii="Calibri" w:eastAsia="Times New Roman" w:hAnsi="Calibri" w:cs="Calibri"/>
          <w:kern w:val="0"/>
          <w:sz w:val="22"/>
          <w:szCs w:val="22"/>
          <w14:ligatures w14:val="none"/>
        </w:rPr>
        <w:t xml:space="preserve"> 1: </w:t>
      </w:r>
      <w:r w:rsidR="00493406" w:rsidRPr="00493406">
        <w:rPr>
          <w:rFonts w:ascii="Calibri" w:eastAsia="Times New Roman" w:hAnsi="Calibri" w:cs="Calibri"/>
          <w:b/>
          <w:bCs/>
          <w:kern w:val="0"/>
          <w:sz w:val="22"/>
          <w:szCs w:val="22"/>
          <w14:ligatures w14:val="none"/>
        </w:rPr>
        <w:t>Democratic health hypothesis (qualified):</w:t>
      </w:r>
      <w:r w:rsidR="00493406" w:rsidRPr="00493406">
        <w:rPr>
          <w:rFonts w:ascii="Calibri" w:eastAsia="Times New Roman" w:hAnsi="Calibri" w:cs="Calibri"/>
          <w:kern w:val="0"/>
          <w:sz w:val="22"/>
          <w:szCs w:val="22"/>
          <w14:ligatures w14:val="none"/>
        </w:rPr>
        <w:t xml:space="preserve"> States with higher SDI scores — reflecting broader democratic inclusion trajectories including felon disenfranchisement and voting access policies — are more likely to have permissive candidacy eligibility environments for people with convictions. This relationship is expected to be stronger than a simple partisan hypothesis, given Grumbach's finding that criminal justice sentencing policy does not polarize by party even as electoral democracy does.</w:t>
      </w:r>
    </w:p>
    <w:p w14:paraId="20EECA97" w14:textId="77777777" w:rsidR="00341F03" w:rsidRDefault="00341F03" w:rsidP="00341F03">
      <w:pPr>
        <w:spacing w:after="0" w:line="240" w:lineRule="auto"/>
        <w:ind w:left="360"/>
        <w:textAlignment w:val="center"/>
        <w:rPr>
          <w:rFonts w:ascii="Calibri" w:eastAsia="Times New Roman" w:hAnsi="Calibri" w:cs="Calibri"/>
          <w:kern w:val="0"/>
          <w:sz w:val="22"/>
          <w:szCs w:val="22"/>
          <w14:ligatures w14:val="none"/>
        </w:rPr>
      </w:pPr>
    </w:p>
    <w:p w14:paraId="16301C93" w14:textId="76FF30E6" w:rsidR="00341F03" w:rsidRDefault="00341F03" w:rsidP="00341F03">
      <w:pPr>
        <w:spacing w:after="0" w:line="240" w:lineRule="auto"/>
        <w:ind w:left="360"/>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Given X theoretical logic, we would expect Y pattern. </w:t>
      </w:r>
    </w:p>
    <w:p w14:paraId="2CF5A29B" w14:textId="77777777" w:rsidR="00341F03" w:rsidRDefault="00341F03" w:rsidP="00341F03">
      <w:pPr>
        <w:spacing w:after="0" w:line="240" w:lineRule="auto"/>
        <w:ind w:left="360"/>
        <w:textAlignment w:val="center"/>
        <w:rPr>
          <w:rFonts w:ascii="Calibri" w:eastAsia="Times New Roman" w:hAnsi="Calibri" w:cs="Calibri"/>
          <w:kern w:val="0"/>
          <w:sz w:val="22"/>
          <w:szCs w:val="22"/>
          <w14:ligatures w14:val="none"/>
        </w:rPr>
      </w:pPr>
    </w:p>
    <w:p w14:paraId="5320B60F" w14:textId="2A7D96BA" w:rsidR="00341F03" w:rsidRDefault="00341F03" w:rsidP="00341F03">
      <w:pPr>
        <w:pStyle w:val="ListParagraph"/>
        <w:numPr>
          <w:ilvl w:val="0"/>
          <w:numId w:val="5"/>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Criminal justice exception: unlike 14 of Grumbach’s 16 policy areas, criminal justice does not polarize by party control – republican and dem states alike pass punitive policies</w:t>
      </w:r>
    </w:p>
    <w:p w14:paraId="7EE534C9" w14:textId="105AA39F" w:rsidR="00341F03" w:rsidRDefault="00341F03" w:rsidP="00341F03">
      <w:pPr>
        <w:pStyle w:val="ListParagraph"/>
        <w:numPr>
          <w:ilvl w:val="0"/>
          <w:numId w:val="5"/>
        </w:numPr>
        <w:spacing w:after="0" w:line="240" w:lineRule="auto"/>
        <w:textAlignment w:val="center"/>
        <w:rPr>
          <w:rFonts w:ascii="Calibri" w:eastAsia="Times New Roman" w:hAnsi="Calibri" w:cs="Calibri"/>
          <w:kern w:val="0"/>
          <w:sz w:val="22"/>
          <w:szCs w:val="22"/>
          <w14:ligatures w14:val="none"/>
        </w:rPr>
      </w:pPr>
      <w:r w:rsidRPr="00341F03">
        <w:rPr>
          <w:rFonts w:ascii="Calibri" w:eastAsia="Times New Roman" w:hAnsi="Calibri" w:cs="Calibri"/>
          <w:kern w:val="0"/>
          <w:sz w:val="22"/>
          <w:szCs w:val="22"/>
          <w14:ligatures w14:val="none"/>
        </w:rPr>
        <w:t xml:space="preserve">States </w:t>
      </w:r>
      <w:r w:rsidRPr="00341F03">
        <w:rPr>
          <w:rFonts w:ascii="Calibri" w:eastAsia="Times New Roman" w:hAnsi="Calibri" w:cs="Calibri"/>
          <w:i/>
          <w:iCs/>
          <w:kern w:val="0"/>
          <w:sz w:val="22"/>
          <w:szCs w:val="22"/>
          <w14:ligatures w14:val="none"/>
        </w:rPr>
        <w:t>across the partisan spectrum</w:t>
      </w:r>
      <w:r w:rsidRPr="00341F03">
        <w:rPr>
          <w:rFonts w:ascii="Calibri" w:eastAsia="Times New Roman" w:hAnsi="Calibri" w:cs="Calibri"/>
          <w:kern w:val="0"/>
          <w:sz w:val="22"/>
          <w:szCs w:val="22"/>
          <w14:ligatures w14:val="none"/>
        </w:rPr>
        <w:t xml:space="preserve"> built mass incarceration together. That means you should be cautious about hypothesizing a clean liberal-state/permissive-policy, conservative-state/restrictive-policy pattern. The democracy index might still be relevant, but you should frame it as a qualified expectation, not a strong one — and flag Grumbach</w:t>
      </w:r>
      <w:r>
        <w:rPr>
          <w:rFonts w:ascii="Calibri" w:eastAsia="Times New Roman" w:hAnsi="Calibri" w:cs="Calibri"/>
          <w:kern w:val="0"/>
          <w:sz w:val="22"/>
          <w:szCs w:val="22"/>
          <w14:ligatures w14:val="none"/>
        </w:rPr>
        <w:t>’</w:t>
      </w:r>
      <w:r w:rsidRPr="00341F03">
        <w:rPr>
          <w:rFonts w:ascii="Calibri" w:eastAsia="Times New Roman" w:hAnsi="Calibri" w:cs="Calibri"/>
          <w:kern w:val="0"/>
          <w:sz w:val="22"/>
          <w:szCs w:val="22"/>
          <w14:ligatures w14:val="none"/>
        </w:rPr>
        <w:t>s CJ exception as the reason for caution.</w:t>
      </w:r>
    </w:p>
    <w:p w14:paraId="79EBB355" w14:textId="1E706500" w:rsidR="00341F03" w:rsidRPr="00341F03" w:rsidRDefault="00341F03" w:rsidP="00341F03">
      <w:pPr>
        <w:pStyle w:val="ListParagraph"/>
        <w:numPr>
          <w:ilvl w:val="0"/>
          <w:numId w:val="5"/>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b/>
          <w:bCs/>
          <w:kern w:val="0"/>
          <w:sz w:val="22"/>
          <w:szCs w:val="22"/>
          <w14:ligatures w14:val="none"/>
        </w:rPr>
        <w:t>I</w:t>
      </w:r>
      <w:r w:rsidRPr="00341F03">
        <w:rPr>
          <w:rFonts w:ascii="Calibri" w:eastAsia="Times New Roman" w:hAnsi="Calibri" w:cs="Calibri"/>
          <w:b/>
          <w:bCs/>
          <w:kern w:val="0"/>
          <w:sz w:val="22"/>
          <w:szCs w:val="22"/>
          <w14:ligatures w14:val="none"/>
        </w:rPr>
        <w:t>mplication 2 — in favor of a "policy vacuum" / low salience hypothesis.</w:t>
      </w:r>
      <w:r w:rsidRPr="00341F03">
        <w:rPr>
          <w:rFonts w:ascii="Calibri" w:eastAsia="Times New Roman" w:hAnsi="Calibri" w:cs="Calibri"/>
          <w:kern w:val="0"/>
          <w:sz w:val="22"/>
          <w:szCs w:val="22"/>
          <w14:ligatures w14:val="none"/>
        </w:rPr>
        <w:t xml:space="preserve"> Grumbach's bipartisanship finding partly reflects the low political salience of reform: both parties competed to be "tough on crime" and neither had electoral incentives to liberalize. That's consistent with your intuition (drawn from organizing experience) that candidacy eligibility for people with convictions may be a low-salience policy domain where many states simply haven't established settled policy. The Velleca anecdote is an example of exactly this — a state that got to a Supreme Judicial Court case without having thought through basic procedural questions. You can use Grumbach here to motivate a hypothesis: </w:t>
      </w:r>
      <w:r w:rsidRPr="00341F03">
        <w:rPr>
          <w:rFonts w:ascii="Calibri" w:eastAsia="Times New Roman" w:hAnsi="Calibri" w:cs="Calibri"/>
          <w:i/>
          <w:iCs/>
          <w:kern w:val="0"/>
          <w:sz w:val="22"/>
          <w:szCs w:val="22"/>
          <w14:ligatures w14:val="none"/>
        </w:rPr>
        <w:t>in a low-</w:t>
      </w:r>
      <w:r w:rsidRPr="00341F03">
        <w:rPr>
          <w:rFonts w:ascii="Calibri" w:eastAsia="Times New Roman" w:hAnsi="Calibri" w:cs="Calibri"/>
          <w:i/>
          <w:iCs/>
          <w:kern w:val="0"/>
          <w:sz w:val="22"/>
          <w:szCs w:val="22"/>
          <w14:ligatures w14:val="none"/>
        </w:rPr>
        <w:lastRenderedPageBreak/>
        <w:t>salience area where partisan incentives don't structure policy clearly, we might expect wide variation driven less by ideology than by procedural inertia, path dependence, or reform-movement pressure.</w:t>
      </w:r>
    </w:p>
    <w:p w14:paraId="0D522BAB" w14:textId="15571007" w:rsidR="00341F03" w:rsidRPr="00341F03" w:rsidRDefault="00341F03" w:rsidP="00341F03">
      <w:pPr>
        <w:pStyle w:val="ListParagraph"/>
        <w:numPr>
          <w:ilvl w:val="0"/>
          <w:numId w:val="5"/>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b/>
          <w:bCs/>
          <w:i/>
          <w:iCs/>
          <w:kern w:val="0"/>
          <w:sz w:val="22"/>
          <w:szCs w:val="22"/>
          <w14:ligatures w14:val="none"/>
        </w:rPr>
        <w:t>Can’t measure this so probably shouldn’t include, but likely in-flux</w:t>
      </w:r>
    </w:p>
    <w:p w14:paraId="55C5C796" w14:textId="77777777" w:rsidR="00341F03" w:rsidRPr="00BD1685" w:rsidRDefault="00341F03" w:rsidP="00341F03">
      <w:pPr>
        <w:spacing w:after="0" w:line="240" w:lineRule="auto"/>
        <w:ind w:left="360"/>
        <w:textAlignment w:val="center"/>
        <w:rPr>
          <w:rFonts w:ascii="Calibri" w:eastAsia="Times New Roman" w:hAnsi="Calibri" w:cs="Calibri"/>
          <w:kern w:val="0"/>
          <w:sz w:val="22"/>
          <w:szCs w:val="22"/>
          <w14:ligatures w14:val="none"/>
        </w:rPr>
      </w:pPr>
    </w:p>
    <w:p w14:paraId="3531246D" w14:textId="14F4289E" w:rsidR="00493406" w:rsidRDefault="00BD1685" w:rsidP="00341F03">
      <w:pPr>
        <w:spacing w:after="0" w:line="240" w:lineRule="auto"/>
        <w:ind w:left="360"/>
        <w:textAlignment w:val="center"/>
        <w:rPr>
          <w:rFonts w:ascii="Calibri" w:eastAsia="Times New Roman" w:hAnsi="Calibri" w:cs="Calibri"/>
          <w:kern w:val="0"/>
          <w:sz w:val="22"/>
          <w:szCs w:val="22"/>
          <w14:ligatures w14:val="none"/>
        </w:rPr>
      </w:pPr>
      <w:proofErr w:type="spellStart"/>
      <w:r w:rsidRPr="00493406">
        <w:rPr>
          <w:rFonts w:ascii="Calibri" w:eastAsia="Times New Roman" w:hAnsi="Calibri" w:cs="Calibri"/>
          <w:b/>
          <w:bCs/>
          <w:kern w:val="0"/>
          <w:sz w:val="22"/>
          <w:szCs w:val="22"/>
          <w:u w:val="single"/>
          <w14:ligatures w14:val="none"/>
        </w:rPr>
        <w:t>Hyp</w:t>
      </w:r>
      <w:proofErr w:type="spellEnd"/>
      <w:r w:rsidRPr="00493406">
        <w:rPr>
          <w:rFonts w:ascii="Calibri" w:eastAsia="Times New Roman" w:hAnsi="Calibri" w:cs="Calibri"/>
          <w:b/>
          <w:bCs/>
          <w:kern w:val="0"/>
          <w:sz w:val="22"/>
          <w:szCs w:val="22"/>
          <w:u w:val="single"/>
          <w14:ligatures w14:val="none"/>
        </w:rPr>
        <w:t xml:space="preserve"> 2:</w:t>
      </w:r>
      <w:r w:rsidRPr="00493406">
        <w:rPr>
          <w:rFonts w:ascii="Calibri" w:eastAsia="Times New Roman" w:hAnsi="Calibri" w:cs="Calibri"/>
          <w:kern w:val="0"/>
          <w:sz w:val="22"/>
          <w:szCs w:val="22"/>
          <w:u w:val="single"/>
          <w14:ligatures w14:val="none"/>
        </w:rPr>
        <w:t xml:space="preserve"> </w:t>
      </w:r>
      <w:r w:rsidR="00493406" w:rsidRPr="00493406">
        <w:rPr>
          <w:rFonts w:ascii="Calibri" w:eastAsia="Times New Roman" w:hAnsi="Calibri" w:cs="Calibri"/>
          <w:b/>
          <w:bCs/>
          <w:kern w:val="0"/>
          <w:sz w:val="22"/>
          <w:szCs w:val="22"/>
          <w:u w:val="single"/>
          <w14:ligatures w14:val="none"/>
        </w:rPr>
        <w:t>Dimensionality / policy vacuum hypothesis:</w:t>
      </w:r>
      <w:r w:rsidR="00493406" w:rsidRPr="00493406">
        <w:rPr>
          <w:rFonts w:ascii="Calibri" w:eastAsia="Times New Roman" w:hAnsi="Calibri" w:cs="Calibri"/>
          <w:kern w:val="0"/>
          <w:sz w:val="22"/>
          <w:szCs w:val="22"/>
          <w14:ligatures w14:val="none"/>
        </w:rPr>
        <w:t xml:space="preserve"> Because carceral authoritarianism may operate as a dimension partially independent from electoral democracy (Grumbach Ch. 7), and because candidacy eligibility for people with convictions is a low-salience policy area without strong partisan incentive structures (Grumbach Ch. 3), we expect substantial variation that is not well predicted by party control alone — including states with no settled policy and states where practical eligibility is determined by procedural inertia rather than deliberate legislative choice.</w:t>
      </w:r>
    </w:p>
    <w:p w14:paraId="2E87EC22" w14:textId="77777777" w:rsidR="00493406" w:rsidRDefault="00493406" w:rsidP="00341F03">
      <w:pPr>
        <w:spacing w:after="0" w:line="240" w:lineRule="auto"/>
        <w:ind w:left="360"/>
        <w:textAlignment w:val="center"/>
        <w:rPr>
          <w:rFonts w:ascii="Calibri" w:eastAsia="Times New Roman" w:hAnsi="Calibri" w:cs="Calibri"/>
          <w:kern w:val="0"/>
          <w:sz w:val="22"/>
          <w:szCs w:val="22"/>
          <w14:ligatures w14:val="none"/>
        </w:rPr>
      </w:pPr>
    </w:p>
    <w:p w14:paraId="7C8F0DA9" w14:textId="394F33ED" w:rsidR="00BD1685" w:rsidRDefault="00BD1685" w:rsidP="00341F03">
      <w:pPr>
        <w:spacing w:after="0" w:line="240" w:lineRule="auto"/>
        <w:ind w:left="360"/>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But caveat -- here, I want to be explicit that this is personal experience from organizing on incarcerated voting issues -- that this may also be an area that some states have not really created policy around if it is a policy domain anything like jail voting, where it just hasn't been established (see  Carl “Bluejay” Velleca anecdote as example, way to tie in? )</w:t>
      </w:r>
    </w:p>
    <w:p w14:paraId="2F5898F6" w14:textId="77777777" w:rsidR="00341F03" w:rsidRPr="00BD1685" w:rsidRDefault="00341F03" w:rsidP="00341F03">
      <w:pPr>
        <w:spacing w:after="0" w:line="240" w:lineRule="auto"/>
        <w:ind w:left="360"/>
        <w:textAlignment w:val="center"/>
        <w:rPr>
          <w:rFonts w:ascii="Calibri" w:eastAsia="Times New Roman" w:hAnsi="Calibri" w:cs="Calibri"/>
          <w:kern w:val="0"/>
          <w:sz w:val="22"/>
          <w:szCs w:val="22"/>
          <w14:ligatures w14:val="none"/>
        </w:rPr>
      </w:pPr>
    </w:p>
    <w:p w14:paraId="0DBC73A3" w14:textId="3E6D19F6" w:rsidR="00341F03" w:rsidRDefault="00493406" w:rsidP="00341F03">
      <w:pPr>
        <w:spacing w:after="0" w:line="240" w:lineRule="auto"/>
        <w:ind w:left="360"/>
        <w:textAlignment w:val="center"/>
        <w:rPr>
          <w:rFonts w:ascii="Calibri" w:eastAsia="Times New Roman" w:hAnsi="Calibri" w:cs="Calibri"/>
          <w:kern w:val="0"/>
          <w:sz w:val="22"/>
          <w:szCs w:val="22"/>
          <w14:ligatures w14:val="none"/>
        </w:rPr>
      </w:pPr>
      <w:proofErr w:type="spellStart"/>
      <w:r w:rsidRPr="00493406">
        <w:rPr>
          <w:rFonts w:ascii="Calibri" w:eastAsia="Times New Roman" w:hAnsi="Calibri" w:cs="Calibri"/>
          <w:b/>
          <w:bCs/>
          <w:kern w:val="0"/>
          <w:sz w:val="22"/>
          <w:szCs w:val="22"/>
          <w:u w:val="single"/>
          <w14:ligatures w14:val="none"/>
        </w:rPr>
        <w:t>Hyp</w:t>
      </w:r>
      <w:proofErr w:type="spellEnd"/>
      <w:r w:rsidRPr="00493406">
        <w:rPr>
          <w:rFonts w:ascii="Calibri" w:eastAsia="Times New Roman" w:hAnsi="Calibri" w:cs="Calibri"/>
          <w:b/>
          <w:bCs/>
          <w:kern w:val="0"/>
          <w:sz w:val="22"/>
          <w:szCs w:val="22"/>
          <w:u w:val="single"/>
          <w14:ligatures w14:val="none"/>
        </w:rPr>
        <w:t xml:space="preserve"> 3: </w:t>
      </w:r>
      <w:r w:rsidRPr="00493406">
        <w:rPr>
          <w:rFonts w:ascii="Calibri" w:eastAsia="Times New Roman" w:hAnsi="Calibri" w:cs="Calibri"/>
          <w:b/>
          <w:bCs/>
          <w:kern w:val="0"/>
          <w:sz w:val="22"/>
          <w:szCs w:val="22"/>
          <w:u w:val="single"/>
          <w14:ligatures w14:val="none"/>
        </w:rPr>
        <w:t>Policy interaction hypothesis:</w:t>
      </w:r>
      <w:r w:rsidRPr="00493406">
        <w:rPr>
          <w:rFonts w:ascii="Calibri" w:eastAsia="Times New Roman" w:hAnsi="Calibri" w:cs="Calibri"/>
          <w:kern w:val="0"/>
          <w:sz w:val="22"/>
          <w:szCs w:val="22"/>
          <w14:ligatures w14:val="none"/>
        </w:rPr>
        <w:t xml:space="preserve"> Formal candidacy bars systematically understate or overstate practical eligibility, because the real-world eligibility environment is shaped by the interaction of candidacy law with voting rights restoration, expungement and sealing, and the broader trajectory of a state's democratic inclusion politics. States with more expansive democratic inclusion trajectories are expected to have more pathways through which practical eligibility exceeds formal eligibility.</w:t>
      </w:r>
    </w:p>
    <w:p w14:paraId="52B1F4C3" w14:textId="77777777" w:rsidR="00493406" w:rsidRPr="00BD1685" w:rsidRDefault="00493406" w:rsidP="00341F03">
      <w:pPr>
        <w:spacing w:after="0" w:line="240" w:lineRule="auto"/>
        <w:ind w:left="360"/>
        <w:textAlignment w:val="center"/>
        <w:rPr>
          <w:rFonts w:ascii="Calibri" w:eastAsia="Times New Roman" w:hAnsi="Calibri" w:cs="Calibri"/>
          <w:kern w:val="0"/>
          <w:sz w:val="22"/>
          <w:szCs w:val="22"/>
          <w14:ligatures w14:val="none"/>
        </w:rPr>
      </w:pPr>
    </w:p>
    <w:p w14:paraId="4260915E" w14:textId="77777777" w:rsidR="00BD1685" w:rsidRPr="00BD1685" w:rsidRDefault="00BD1685" w:rsidP="00BD1685">
      <w:pPr>
        <w:numPr>
          <w:ilvl w:val="0"/>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Data and Methods Section</w:t>
      </w:r>
    </w:p>
    <w:p w14:paraId="0DB5AAB4" w14:textId="77777777" w:rsidR="00BD1685" w:rsidRPr="00BD1685" w:rsidRDefault="00BD1685" w:rsidP="00BD1685">
      <w:pPr>
        <w:numPr>
          <w:ilvl w:val="1"/>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 xml:space="preserve">Section will </w:t>
      </w:r>
      <w:proofErr w:type="gramStart"/>
      <w:r w:rsidRPr="00BD1685">
        <w:rPr>
          <w:rFonts w:ascii="Calibri" w:eastAsia="Times New Roman" w:hAnsi="Calibri" w:cs="Calibri"/>
          <w:kern w:val="0"/>
          <w:sz w:val="22"/>
          <w:szCs w:val="22"/>
          <w14:ligatures w14:val="none"/>
        </w:rPr>
        <w:t>includes</w:t>
      </w:r>
      <w:proofErr w:type="gramEnd"/>
      <w:r w:rsidRPr="00BD1685">
        <w:rPr>
          <w:rFonts w:ascii="Calibri" w:eastAsia="Times New Roman" w:hAnsi="Calibri" w:cs="Calibri"/>
          <w:kern w:val="0"/>
          <w:sz w:val="22"/>
          <w:szCs w:val="22"/>
          <w14:ligatures w14:val="none"/>
        </w:rPr>
        <w:t>:</w:t>
      </w:r>
    </w:p>
    <w:p w14:paraId="0D626FEB" w14:textId="77777777" w:rsidR="00BD1685" w:rsidRDefault="00BD1685" w:rsidP="00BD1685">
      <w:pPr>
        <w:numPr>
          <w:ilvl w:val="2"/>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Policy classifications/State Policy "environments"</w:t>
      </w:r>
    </w:p>
    <w:p w14:paraId="2A4A20EB" w14:textId="77777777" w:rsidR="007006BC" w:rsidRDefault="007006BC" w:rsidP="007006BC">
      <w:pPr>
        <w:numPr>
          <w:ilvl w:val="3"/>
          <w:numId w:val="1"/>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Table 4.1 categories – </w:t>
      </w:r>
      <w:proofErr w:type="spellStart"/>
      <w:r>
        <w:rPr>
          <w:rFonts w:ascii="Calibri" w:eastAsia="Times New Roman" w:hAnsi="Calibri" w:cs="Calibri"/>
          <w:kern w:val="0"/>
          <w:sz w:val="22"/>
          <w:szCs w:val="22"/>
          <w14:ligatures w14:val="none"/>
        </w:rPr>
        <w:t>ie</w:t>
      </w:r>
      <w:proofErr w:type="spellEnd"/>
      <w:r>
        <w:rPr>
          <w:rFonts w:ascii="Calibri" w:eastAsia="Times New Roman" w:hAnsi="Calibri" w:cs="Calibri"/>
          <w:kern w:val="0"/>
          <w:sz w:val="22"/>
          <w:szCs w:val="22"/>
          <w14:ligatures w14:val="none"/>
        </w:rPr>
        <w:t xml:space="preserve"> direct conditions</w:t>
      </w:r>
    </w:p>
    <w:p w14:paraId="21F75731" w14:textId="0741149D" w:rsidR="007006BC" w:rsidRPr="00BD1685" w:rsidRDefault="007006BC" w:rsidP="007006BC">
      <w:pPr>
        <w:numPr>
          <w:ilvl w:val="3"/>
          <w:numId w:val="1"/>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Policy Interactions </w:t>
      </w:r>
    </w:p>
    <w:p w14:paraId="146C4A83" w14:textId="77777777" w:rsidR="00BD1685" w:rsidRPr="00BD1685" w:rsidRDefault="00BD1685" w:rsidP="00BD1685">
      <w:pPr>
        <w:numPr>
          <w:ilvl w:val="2"/>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I am finding the policies through these mechanisms:</w:t>
      </w:r>
    </w:p>
    <w:p w14:paraId="197349A7" w14:textId="77777777" w:rsidR="00BD1685" w:rsidRPr="00BD1685" w:rsidRDefault="00BD1685" w:rsidP="00BD1685">
      <w:pPr>
        <w:numPr>
          <w:ilvl w:val="3"/>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 xml:space="preserve">[policy] and [policy] were/are collected from </w:t>
      </w:r>
    </w:p>
    <w:p w14:paraId="76DD38C6" w14:textId="77777777" w:rsidR="00BD1685" w:rsidRPr="00BD1685" w:rsidRDefault="00BD1685" w:rsidP="00BD1685">
      <w:pPr>
        <w:numPr>
          <w:ilvl w:val="3"/>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(where data comes from)</w:t>
      </w:r>
    </w:p>
    <w:p w14:paraId="1FD7EB1C" w14:textId="77777777" w:rsidR="00BD1685" w:rsidRPr="00BD1685" w:rsidRDefault="00BD1685" w:rsidP="00BD1685">
      <w:pPr>
        <w:numPr>
          <w:ilvl w:val="2"/>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What am I doing with this data</w:t>
      </w:r>
    </w:p>
    <w:p w14:paraId="3963494B" w14:textId="77777777" w:rsidR="00BD1685" w:rsidRPr="00BD1685" w:rsidRDefault="00BD1685" w:rsidP="00BD1685">
      <w:pPr>
        <w:numPr>
          <w:ilvl w:val="0"/>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Here is the data on state policy variation</w:t>
      </w:r>
    </w:p>
    <w:p w14:paraId="30FF9DF6" w14:textId="77777777" w:rsidR="00BD1685" w:rsidRPr="00BD1685" w:rsidRDefault="00BD1685" w:rsidP="00BD1685">
      <w:pPr>
        <w:numPr>
          <w:ilvl w:val="0"/>
          <w:numId w:val="1"/>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What does it tell us to set up chapter 3 (for ex, states where it makes sense to even consider direct descriptive representation)</w:t>
      </w:r>
    </w:p>
    <w:p w14:paraId="2C0CAF6A" w14:textId="4808C412" w:rsidR="00BD1685" w:rsidRPr="00BD1685" w:rsidRDefault="00BD1685" w:rsidP="00BD168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t>
      </w:r>
      <w:r w:rsidRPr="00BD1685">
        <w:rPr>
          <w:rFonts w:ascii="Calibri" w:eastAsia="Times New Roman" w:hAnsi="Calibri" w:cs="Calibri"/>
          <w:kern w:val="0"/>
          <w:sz w:val="22"/>
          <w:szCs w:val="22"/>
          <w14:ligatures w14:val="none"/>
        </w:rPr>
        <w:t xml:space="preserve">Note: this chapter should be as short as possible but treated distinctly </w:t>
      </w:r>
    </w:p>
    <w:p w14:paraId="7DB24D18" w14:textId="77777777" w:rsidR="00BD1685" w:rsidRDefault="00BD1685" w:rsidP="00BD1685">
      <w:pPr>
        <w:spacing w:after="0" w:line="240" w:lineRule="auto"/>
        <w:ind w:left="540"/>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 </w:t>
      </w:r>
    </w:p>
    <w:p w14:paraId="0CFFC454" w14:textId="1E1BCDFE" w:rsidR="00691015" w:rsidRDefault="00691015" w:rsidP="00BD1685">
      <w:pPr>
        <w:spacing w:after="0" w:line="240" w:lineRule="auto"/>
        <w:ind w:left="540"/>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How I get data</w:t>
      </w:r>
    </w:p>
    <w:p w14:paraId="64C38DDD" w14:textId="77777777" w:rsidR="00691015" w:rsidRDefault="00691015" w:rsidP="00691015">
      <w:pPr>
        <w:pStyle w:val="font-claude-response-body"/>
      </w:pPr>
      <w:r>
        <w:t xml:space="preserve">To map the state policy environment for legislative candidacy by people with criminal convictions, I build a state-level classification from </w:t>
      </w:r>
      <w:r>
        <w:t xml:space="preserve">two </w:t>
      </w:r>
      <w:r>
        <w:t>layers of policy information, using two National Conference of State Legislatures databases as a spine. The first is NCSL's compilation of eligibility requirements to run for state legislature, which documents formal candidacy qualifications including voter registration, residency, and citizenship requirements across all fifty states. The second is NCSL's database on the restoration of felony voting rights</w:t>
      </w:r>
      <w:r>
        <w:t xml:space="preserve"> (and Wang and </w:t>
      </w:r>
      <w:proofErr w:type="spellStart"/>
      <w:r>
        <w:lastRenderedPageBreak/>
        <w:t>Rosenwood’s</w:t>
      </w:r>
      <w:proofErr w:type="spellEnd"/>
      <w:r>
        <w:t xml:space="preserve"> 2024 report) </w:t>
      </w:r>
      <w:r>
        <w:t xml:space="preserve">which catalogs the conditions under which voting rights lost upon conviction are returned. </w:t>
      </w:r>
      <w:r>
        <w:t xml:space="preserve">This provides a cross-state foundation to verify and extend. </w:t>
      </w:r>
    </w:p>
    <w:p w14:paraId="609097A8" w14:textId="77777777" w:rsidR="00691015" w:rsidRDefault="00691015" w:rsidP="00691015">
      <w:pPr>
        <w:pStyle w:val="font-claude-response-body"/>
      </w:pPr>
      <w:r>
        <w:t>For every state, I identify the source of the candidacy rule — whether constitutional, statutory, or administrative — determine whether disqualification is categorical or offense-</w:t>
      </w:r>
      <w:proofErr w:type="gramStart"/>
      <w:r>
        <w:t>specific, and</w:t>
      </w:r>
      <w:proofErr w:type="gramEnd"/>
      <w:r>
        <w:t xml:space="preserve"> establish when an eligibility disability attaches and whether and how it ends. </w:t>
      </w:r>
      <w:r>
        <w:t xml:space="preserve">I review the NCSL source statute, the states’ relevant Secretary of State or Commonwealth website, and where necessary additional explanatory statues. In several cases already including Texas, I contacted state offices directly to confirm the applicable rule. </w:t>
      </w:r>
    </w:p>
    <w:p w14:paraId="2865C4D3" w14:textId="4378CDA8" w:rsidR="00691015" w:rsidRDefault="00691015" w:rsidP="00691015">
      <w:pPr>
        <w:pStyle w:val="font-claude-response-body"/>
      </w:pPr>
      <w:r>
        <w:t xml:space="preserve">Many states condition eligibility for office on party registration or voter registration/eligibility. In this process I also then verify each </w:t>
      </w:r>
      <w:r>
        <w:t>state's voting rights restoration mechanism</w:t>
      </w:r>
      <w:r>
        <w:t xml:space="preserve">. Because both voting and civil rights deprivation and restoration is sometimes contingent on </w:t>
      </w:r>
      <w:proofErr w:type="gramStart"/>
      <w:r>
        <w:t>particular classifications</w:t>
      </w:r>
      <w:proofErr w:type="gramEnd"/>
      <w:r>
        <w:t xml:space="preserve"> of convictions (“infamous crimes,” for example) and how they define particularities like </w:t>
      </w:r>
      <w:r>
        <w:t>"qualified elector</w:t>
      </w:r>
      <w:r>
        <w:t>.</w:t>
      </w:r>
      <w:r>
        <w:t>"</w:t>
      </w:r>
      <w:r>
        <w:t xml:space="preserve"> I account for </w:t>
      </w:r>
      <w:r w:rsidR="007A7445">
        <w:t>whether these</w:t>
      </w:r>
      <w:r>
        <w:t xml:space="preserve"> matters </w:t>
      </w:r>
      <w:r w:rsidR="007A7445">
        <w:t xml:space="preserve">condition formal eligibility at this </w:t>
      </w:r>
      <w:proofErr w:type="gramStart"/>
      <w:r w:rsidR="007A7445">
        <w:t>stage, but</w:t>
      </w:r>
      <w:proofErr w:type="gramEnd"/>
      <w:r w:rsidR="007A7445">
        <w:t xml:space="preserve"> report them in more detail later.</w:t>
      </w:r>
    </w:p>
    <w:p w14:paraId="060C5D52" w14:textId="2BE6E9CF" w:rsidR="00691015" w:rsidRDefault="00691015" w:rsidP="00691015">
      <w:pPr>
        <w:pStyle w:val="font-claude-response-body"/>
      </w:pPr>
      <w:r>
        <w:t>The result of this verification procedure is a working dataset coded on a five-point scale ranging from states with no formal bar to candidacy (0) through states with permanent or near-permanent disqualification (4), and a classification of states into the five practical eligibility environments described in Table 4.1.</w:t>
      </w:r>
    </w:p>
    <w:p w14:paraId="2AABFBAD" w14:textId="6226E1BB" w:rsidR="00691015" w:rsidRDefault="00691015" w:rsidP="00691015">
      <w:pPr>
        <w:pStyle w:val="font-claude-response-body"/>
      </w:pPr>
      <w:r>
        <w:t xml:space="preserve">As the factors outlined above suggest — and as the cases of Cherie Cruz and Leonela Felix make vivid — formal candidacy rules are often incomplete guides to practical eligibility. Cruz and Felix, both formerly incarcerated Rhode Island State Representatives, have described the sealing and expungement of their records not as a legal requirement for candidacy, but as a personal precondition: without it, running was not something they felt able to do. </w:t>
      </w:r>
      <w:r>
        <w:t xml:space="preserve">In contrast, </w:t>
      </w:r>
      <w:r>
        <w:t>Assemblymember Eddie Gibbs in New York, who ran for office once formally eligible without expungement</w:t>
      </w:r>
      <w:r>
        <w:t xml:space="preserve">, show this is not a universal barrier. </w:t>
      </w:r>
    </w:p>
    <w:p w14:paraId="2364C31F" w14:textId="1B7C170D" w:rsidR="00691015" w:rsidRDefault="00691015" w:rsidP="00691015">
      <w:pPr>
        <w:pStyle w:val="font-claude-response-body"/>
      </w:pPr>
      <w:r>
        <w:t xml:space="preserve">The difference illustrates that practical eligibility is jointly shaped by </w:t>
      </w:r>
      <w:r>
        <w:t xml:space="preserve">factors like </w:t>
      </w:r>
      <w:r>
        <w:t xml:space="preserve">expungement and sealing policies, </w:t>
      </w:r>
      <w:r w:rsidR="007A7445">
        <w:t xml:space="preserve">in both formal or juridical and informal or practical ways -- </w:t>
      </w:r>
      <w:r>
        <w:t>ways the candidacy statute itself may not anticipate. To capture this, I draw on a second layer of policy information compiled in the working dataset, covering expungement and sealing availability and procedures, and, where applicable, the interpretive history of offense-specific terms. This layer does not generate a separate classification; instead, it informs provisional state assignments in Table 4.1 and provides the basis for</w:t>
      </w:r>
      <w:proofErr w:type="gramStart"/>
      <w:r w:rsidR="007A7445">
        <w:t>….(</w:t>
      </w:r>
      <w:proofErr w:type="gramEnd"/>
      <w:r w:rsidR="007A7445">
        <w:t xml:space="preserve">see appendix for full table). </w:t>
      </w:r>
    </w:p>
    <w:p w14:paraId="2711D160" w14:textId="097D25F3" w:rsidR="00691015" w:rsidRDefault="007A7445" w:rsidP="007A744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 Data/Discussion</w:t>
      </w:r>
    </w:p>
    <w:p w14:paraId="26B4C748" w14:textId="62D5E0E7" w:rsidR="007A7445" w:rsidRDefault="00347E19" w:rsidP="007A7445">
      <w:pPr>
        <w:pStyle w:val="font-claude-response-body"/>
      </w:pPr>
      <w:r>
        <w:t>This policy dataset should allow me to explore</w:t>
      </w:r>
      <w:r w:rsidR="007A7445">
        <w:t xml:space="preserve"> three expectations: that states with stronger democratic health </w:t>
      </w:r>
      <w:r>
        <w:t>(</w:t>
      </w:r>
      <w:r w:rsidRPr="00347E19">
        <w:t>à</w:t>
      </w:r>
      <w:r>
        <w:t xml:space="preserve"> la Grumbach 2022)</w:t>
      </w:r>
      <w:r w:rsidR="007A7445">
        <w:t xml:space="preserve"> will </w:t>
      </w:r>
      <w:r>
        <w:t>have</w:t>
      </w:r>
      <w:r w:rsidR="007A7445">
        <w:t xml:space="preserve"> more permissive practical eligibility environments (H1); that the landscape will show substantial variation not well predicted by party control alone</w:t>
      </w:r>
      <w:r>
        <w:t xml:space="preserve"> </w:t>
      </w:r>
      <w:r w:rsidR="007A7445">
        <w:t xml:space="preserve">(H2); and that formal candidacy rules will </w:t>
      </w:r>
      <w:r>
        <w:t>tend to</w:t>
      </w:r>
      <w:r w:rsidR="007A7445">
        <w:t xml:space="preserve"> understate or overstate practical eligibility due to interactions with other policies (H3). The classification presented in Table 4.1 speaks to each.</w:t>
      </w:r>
    </w:p>
    <w:p w14:paraId="004DEF99" w14:textId="743B2E76" w:rsidR="007A7445" w:rsidRDefault="00347E19" w:rsidP="007A7445">
      <w:pPr>
        <w:pStyle w:val="font-claude-response-body"/>
      </w:pPr>
      <w:r>
        <w:lastRenderedPageBreak/>
        <w:t>In broad terms, t</w:t>
      </w:r>
      <w:r w:rsidR="007A7445">
        <w:t xml:space="preserve">he distribution of states across the five eligibility categories is consistent with H. Open or minimal-bar states — including Maine, Vermont, and Massachusetts — are among those Grumbach identifies as higher-performing on the State Democracy Index, while states in the permanent or near-permanent bar category tend to cluster toward the lower end of that distribution. [PLACEHOLDER: once full state assignments are confirmed, </w:t>
      </w:r>
      <w:r>
        <w:t xml:space="preserve">I’ll </w:t>
      </w:r>
      <w:r w:rsidR="007A7445">
        <w:t>add a sentence with the pattern — e.g., "Of the [X] states classified as open or sentence-limited, [Y] fall in the top quartile of Grumbach's 2018 SDI scores; of the [Z] states with restoration-dependent or permanent bars, [W] fall in the bottom half."] The relationship is not deterministic — offense-specific bar states cut across the democratic health distribution in ways that reflect the interpretive idiosyncrasy of terms like "infamous crime" more than democratic trajectory — but the general gradient is present.</w:t>
      </w:r>
    </w:p>
    <w:p w14:paraId="48ED7D46" w14:textId="1B4DD039" w:rsidR="007A7445" w:rsidRDefault="007A7445" w:rsidP="007A7445">
      <w:pPr>
        <w:pStyle w:val="font-claude-response-body"/>
      </w:pPr>
      <w:r>
        <w:t>The distribution also provides substantial support for H2. [PLACEHOLDER: number of states with genuinely ambiguous or unresolved assignments</w:t>
      </w:r>
      <w:r w:rsidR="00347E19">
        <w:t>, recent changes</w:t>
      </w:r>
      <w:r>
        <w:t>.] A non-trivial number of states have no direct statutory provision addressing candidacy following a felony conviction at all, leaving eligibility to be determined by the interaction of voter registration requirements, restoration mechanisms, and, in some cases, doctrines that have never been litigated. The Velleca episode is not an isolated historical curiosity: it reflects a policy domain where many states appear not to have established settled administrative procedure, and where the question of eligibility may only become concrete when someone attempts to run.</w:t>
      </w:r>
    </w:p>
    <w:p w14:paraId="59EBC537" w14:textId="534D0D58" w:rsidR="007A7445" w:rsidRDefault="007A7445" w:rsidP="007A7445">
      <w:pPr>
        <w:pStyle w:val="font-claude-response-body"/>
      </w:pPr>
      <w:r>
        <w:t xml:space="preserve">H3 finds perhaps its clearest illustration in the contrast between cases. Representative Eddie Gibbs ran for the New York State Assembly once formally eligible; no expungement was required or pursued. Cherie Cruz and Leonela Felix, by contrast, describe expungement as a practical precondition for their candidacies in Rhode Island — not because the law required it, but because it was necessary for them to feel able to run. Both Rhode Island and New York would appear in the same formal eligibility category under a classification based on candidacy statute alone; the policy interaction layer </w:t>
      </w:r>
      <w:r w:rsidR="00347E19">
        <w:t>may be</w:t>
      </w:r>
      <w:r>
        <w:t xml:space="preserve"> what distinguishes their practical environments. More broadly, [PLACEHOLDER: note the number or proportion of states where formal category assignment is provisional due to interaction effects — voting restoration ambiguity, "qualified elector" definitions, expungement availability, etc.] This incompleteness in the formal record is itself a substantive finding: it suggests that the barriers facing carceral candidates are not only legal but </w:t>
      </w:r>
      <w:r w:rsidR="00347E19">
        <w:t>a particular kind of knowledge-based</w:t>
      </w:r>
      <w:r>
        <w:t xml:space="preserve"> — neither candidates nor, in many cases, elections officials can be certain of the applicable rules.</w:t>
      </w:r>
    </w:p>
    <w:p w14:paraId="44F9AE97" w14:textId="50F969BB" w:rsidR="007A7445" w:rsidRDefault="007A7445" w:rsidP="007A7445">
      <w:pPr>
        <w:pStyle w:val="font-claude-response-body"/>
      </w:pPr>
      <w:r>
        <w:t xml:space="preserve">Taken together, these patterns set up the question Chapter 3 takes on directly. Knowing where direct descriptive representation is institutionally possible is a precondition for asking whether it exists — but the findings here also suggest that the universe of states where it is </w:t>
      </w:r>
      <w:r>
        <w:rPr>
          <w:rStyle w:val="Emphasis"/>
        </w:rPr>
        <w:t>practically</w:t>
      </w:r>
      <w:r>
        <w:t xml:space="preserve"> possible is meaningfully smaller than the universe where it is formally permissible. Moreover, the cases of Cruz, Felix, Gibbs, and others already in the record indicate that at least some directly impacted legislators exist, even if the full scope remains unmapped. [</w:t>
      </w:r>
      <w:r w:rsidR="00347E19">
        <w:t>flag</w:t>
      </w:r>
      <w:r>
        <w:t xml:space="preserve"> the expungement/dataset-limitation point here</w:t>
      </w:r>
      <w:r w:rsidR="00347E19">
        <w:t xml:space="preserve">? </w:t>
      </w:r>
      <w:r>
        <w:t>"Notably, the same expungement policies that expand practical candidacy eligibility in some states may render direct descriptive representatives invisible in the dataset constructed in Chapter 3 — a limitation the policy mapping here helps explain."] It is to that dataset, and what it can and cannot tell us about the descriptive representation of carceral constituencies, that the next chapter turns.</w:t>
      </w:r>
    </w:p>
    <w:p w14:paraId="398ECC07" w14:textId="77777777" w:rsidR="007A7445" w:rsidRDefault="007A7445" w:rsidP="007A7445">
      <w:pPr>
        <w:spacing w:after="0" w:line="240" w:lineRule="auto"/>
        <w:rPr>
          <w:rFonts w:ascii="Calibri" w:eastAsia="Times New Roman" w:hAnsi="Calibri" w:cs="Calibri"/>
          <w:kern w:val="0"/>
          <w:sz w:val="22"/>
          <w:szCs w:val="22"/>
          <w14:ligatures w14:val="none"/>
        </w:rPr>
      </w:pPr>
    </w:p>
    <w:p w14:paraId="780B1E76" w14:textId="77777777" w:rsidR="00691015" w:rsidRPr="00BD1685" w:rsidRDefault="00691015" w:rsidP="00BD1685">
      <w:pPr>
        <w:spacing w:after="0" w:line="240" w:lineRule="auto"/>
        <w:ind w:left="540"/>
        <w:rPr>
          <w:rFonts w:ascii="Calibri" w:eastAsia="Times New Roman" w:hAnsi="Calibri" w:cs="Calibri"/>
          <w:kern w:val="0"/>
          <w:sz w:val="22"/>
          <w:szCs w:val="22"/>
          <w14:ligatures w14:val="none"/>
        </w:rPr>
      </w:pPr>
    </w:p>
    <w:p w14:paraId="3C449EE2" w14:textId="77777777" w:rsidR="00BD1685" w:rsidRPr="00BD1685" w:rsidRDefault="00BD1685" w:rsidP="00BD1685">
      <w:pPr>
        <w:spacing w:after="0" w:line="240" w:lineRule="auto"/>
        <w:ind w:left="540"/>
        <w:rPr>
          <w:rFonts w:ascii="Calibri" w:eastAsia="Times New Roman" w:hAnsi="Calibri" w:cs="Calibri"/>
          <w:kern w:val="0"/>
          <w:sz w:val="22"/>
          <w:szCs w:val="22"/>
          <w14:ligatures w14:val="none"/>
        </w:rPr>
      </w:pPr>
      <w:r w:rsidRPr="00BD1685">
        <w:rPr>
          <w:rFonts w:ascii="Calibri" w:eastAsia="Times New Roman" w:hAnsi="Calibri" w:cs="Calibri"/>
          <w:b/>
          <w:bCs/>
          <w:kern w:val="0"/>
          <w:sz w:val="22"/>
          <w:szCs w:val="22"/>
          <w14:ligatures w14:val="none"/>
        </w:rPr>
        <w:t xml:space="preserve">Chapter 3: </w:t>
      </w:r>
    </w:p>
    <w:p w14:paraId="2F902609" w14:textId="77777777" w:rsidR="00BD1685" w:rsidRPr="00BD1685" w:rsidRDefault="00BD1685" w:rsidP="00BD1685">
      <w:pPr>
        <w:spacing w:after="0" w:line="240" w:lineRule="auto"/>
        <w:ind w:left="540"/>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Descriptive representation?</w:t>
      </w:r>
    </w:p>
    <w:p w14:paraId="480FEA41" w14:textId="77777777" w:rsidR="00BD1685" w:rsidRPr="00BD1685" w:rsidRDefault="00BD1685" w:rsidP="00BD1685">
      <w:pPr>
        <w:numPr>
          <w:ilvl w:val="0"/>
          <w:numId w:val="2"/>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Question:</w:t>
      </w:r>
    </w:p>
    <w:p w14:paraId="259AA84A" w14:textId="77777777" w:rsidR="00BD1685" w:rsidRPr="00BD1685" w:rsidRDefault="00BD1685" w:rsidP="00BD1685">
      <w:pPr>
        <w:numPr>
          <w:ilvl w:val="1"/>
          <w:numId w:val="2"/>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Which of my prospectus questions is this chapter addressing</w:t>
      </w:r>
    </w:p>
    <w:p w14:paraId="3936EF35" w14:textId="77777777" w:rsidR="00BD1685" w:rsidRPr="00BD1685" w:rsidRDefault="00BD1685" w:rsidP="00BD1685">
      <w:pPr>
        <w:numPr>
          <w:ilvl w:val="1"/>
          <w:numId w:val="2"/>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Why is this question needed to answer that question</w:t>
      </w:r>
    </w:p>
    <w:p w14:paraId="0B83934F" w14:textId="77777777" w:rsidR="00BD1685" w:rsidRPr="00BD1685" w:rsidRDefault="00BD1685" w:rsidP="00BD1685">
      <w:pPr>
        <w:numPr>
          <w:ilvl w:val="0"/>
          <w:numId w:val="2"/>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Hypotheses (also a descriptive chapter so descriptive chapter-relevant hypotheses)</w:t>
      </w:r>
    </w:p>
    <w:p w14:paraId="51B6E303" w14:textId="77777777" w:rsidR="00BD1685" w:rsidRPr="00BD1685" w:rsidRDefault="00BD1685" w:rsidP="00BD1685">
      <w:pPr>
        <w:numPr>
          <w:ilvl w:val="0"/>
          <w:numId w:val="2"/>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Data and Methods Section</w:t>
      </w:r>
    </w:p>
    <w:p w14:paraId="702FD576" w14:textId="77777777" w:rsidR="00BD1685" w:rsidRPr="00BD1685" w:rsidRDefault="00BD1685" w:rsidP="00BD1685">
      <w:pPr>
        <w:numPr>
          <w:ilvl w:val="1"/>
          <w:numId w:val="2"/>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What data: who am I looking at</w:t>
      </w:r>
    </w:p>
    <w:p w14:paraId="761CF4DE" w14:textId="77777777" w:rsidR="00BD1685" w:rsidRPr="00BD1685" w:rsidRDefault="00BD1685" w:rsidP="00BD1685">
      <w:pPr>
        <w:spacing w:after="0" w:line="240" w:lineRule="auto"/>
        <w:ind w:left="1620"/>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-I am looking for people serving 2023-24</w:t>
      </w:r>
    </w:p>
    <w:p w14:paraId="4FEAE328" w14:textId="77777777" w:rsidR="00BD1685" w:rsidRPr="00BD1685" w:rsidRDefault="00BD1685" w:rsidP="00BD1685">
      <w:pPr>
        <w:spacing w:after="0" w:line="240" w:lineRule="auto"/>
        <w:ind w:left="1620"/>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-by time in data set would have had direct contact</w:t>
      </w:r>
    </w:p>
    <w:p w14:paraId="01194EC6" w14:textId="77777777" w:rsidR="00BD1685" w:rsidRPr="00BD1685" w:rsidRDefault="00BD1685" w:rsidP="00BD1685">
      <w:pPr>
        <w:numPr>
          <w:ilvl w:val="0"/>
          <w:numId w:val="3"/>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Where is the data coming from/where am I finding it</w:t>
      </w:r>
    </w:p>
    <w:p w14:paraId="42EFC238" w14:textId="77777777" w:rsidR="00BD1685" w:rsidRPr="00BD1685" w:rsidRDefault="00BD1685" w:rsidP="00BD1685">
      <w:pPr>
        <w:numPr>
          <w:ilvl w:val="0"/>
          <w:numId w:val="3"/>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What am I doing with it</w:t>
      </w:r>
    </w:p>
    <w:p w14:paraId="02FAB258" w14:textId="77777777" w:rsidR="00BD1685" w:rsidRPr="00BD1685" w:rsidRDefault="00BD1685" w:rsidP="00BD1685">
      <w:pPr>
        <w:numPr>
          <w:ilvl w:val="1"/>
          <w:numId w:val="3"/>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How am I operationalizing it</w:t>
      </w:r>
    </w:p>
    <w:p w14:paraId="66988A4C" w14:textId="77777777" w:rsidR="00BD1685" w:rsidRPr="00BD1685" w:rsidRDefault="00BD1685" w:rsidP="00BD1685">
      <w:pPr>
        <w:numPr>
          <w:ilvl w:val="0"/>
          <w:numId w:val="4"/>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Here is the data set</w:t>
      </w:r>
    </w:p>
    <w:p w14:paraId="04FE6586" w14:textId="77777777" w:rsidR="00BD1685" w:rsidRPr="00BD1685" w:rsidRDefault="00BD1685" w:rsidP="00BD1685">
      <w:pPr>
        <w:numPr>
          <w:ilvl w:val="0"/>
          <w:numId w:val="4"/>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What does this tell us that sets up chapter 4</w:t>
      </w:r>
    </w:p>
    <w:p w14:paraId="2E897CFA" w14:textId="77777777" w:rsidR="00BD1685" w:rsidRPr="00BD1685" w:rsidRDefault="00BD1685" w:rsidP="00BD1685">
      <w:pPr>
        <w:numPr>
          <w:ilvl w:val="1"/>
          <w:numId w:val="4"/>
        </w:numPr>
        <w:spacing w:after="0" w:line="240" w:lineRule="auto"/>
        <w:textAlignment w:val="center"/>
        <w:rPr>
          <w:rFonts w:ascii="Calibri" w:eastAsia="Times New Roman" w:hAnsi="Calibri" w:cs="Calibri"/>
          <w:kern w:val="0"/>
          <w:sz w:val="22"/>
          <w:szCs w:val="22"/>
          <w14:ligatures w14:val="none"/>
        </w:rPr>
      </w:pPr>
      <w:r w:rsidRPr="00BD1685">
        <w:rPr>
          <w:rFonts w:ascii="Calibri" w:eastAsia="Times New Roman" w:hAnsi="Calibri" w:cs="Calibri"/>
          <w:kern w:val="0"/>
          <w:sz w:val="22"/>
          <w:szCs w:val="22"/>
          <w14:ligatures w14:val="none"/>
        </w:rPr>
        <w:t>Combined with knowing there are people who do not appear. . .</w:t>
      </w:r>
    </w:p>
    <w:p w14:paraId="4F6A3011" w14:textId="77777777" w:rsidR="00BD1685" w:rsidRDefault="00BD1685"/>
    <w:p w14:paraId="505BDDEE" w14:textId="77777777" w:rsidR="00981510" w:rsidRDefault="00981510" w:rsidP="00981510">
      <w:pPr>
        <w:pStyle w:val="font-claude-response-body"/>
      </w:pPr>
      <w:r>
        <w:t xml:space="preserve">In 2020, Eddie Gibbs won election to the New York State Assembly representing a district in Harlem. Gibbs had served time in state prison; he ran once eligible and won. His case is notable </w:t>
      </w:r>
      <w:r>
        <w:t xml:space="preserve">for many reasons </w:t>
      </w:r>
      <w:r>
        <w:t>—</w:t>
      </w:r>
      <w:r>
        <w:t xml:space="preserve"> one of which is </w:t>
      </w:r>
      <w:r>
        <w:t xml:space="preserve">precisely that we do not know how </w:t>
      </w:r>
      <w:r w:rsidRPr="00981510">
        <w:rPr>
          <w:i/>
          <w:iCs/>
        </w:rPr>
        <w:t>exceptional</w:t>
      </w:r>
      <w:r>
        <w:t xml:space="preserve"> it is. No systematic account exists of how many sitting state legislators have themselves been convicted of crimes prosecuted by the state. </w:t>
      </w:r>
      <w:r>
        <w:t>The question may not yet have been asked</w:t>
      </w:r>
      <w:r>
        <w:t xml:space="preserve"> in part because the answer </w:t>
      </w:r>
      <w:r>
        <w:t>may be</w:t>
      </w:r>
      <w:r>
        <w:t xml:space="preserve"> assumed: </w:t>
      </w:r>
      <w:r>
        <w:t xml:space="preserve">given the </w:t>
      </w:r>
      <w:r>
        <w:t>legal barriers</w:t>
      </w:r>
      <w:r>
        <w:t xml:space="preserve"> established in chapter 2, </w:t>
      </w:r>
      <w:r>
        <w:t>stigma, and resource constraints that accompany a criminal conviction</w:t>
      </w:r>
      <w:r>
        <w:t xml:space="preserve"> and may compound myriad additional factors</w:t>
      </w:r>
      <w:r>
        <w:t>, the number is probably very small.</w:t>
      </w:r>
      <w:r>
        <w:t xml:space="preserve"> However,</w:t>
      </w:r>
      <w:r>
        <w:t xml:space="preserve"> "probably very small" and "essentially zero" are different empirical claims with </w:t>
      </w:r>
      <w:r>
        <w:t>distinct</w:t>
      </w:r>
      <w:r>
        <w:t xml:space="preserve"> implications for what descriptive representation of carceral constituencies means in practice</w:t>
      </w:r>
      <w:r>
        <w:t xml:space="preserve">. </w:t>
      </w:r>
    </w:p>
    <w:p w14:paraId="1DDC5D4F" w14:textId="415DD4D2" w:rsidR="00981510" w:rsidRDefault="00981510" w:rsidP="00981510">
      <w:pPr>
        <w:pStyle w:val="font-claude-response-body"/>
      </w:pPr>
      <w:r>
        <w:t xml:space="preserve">In this chapter, I take up this question. </w:t>
      </w:r>
      <w:r>
        <w:t>Building on the previous chapter's mapping of where direct descriptive representation is institutionally possible, I construct an original dataset matching state legislators serving in the 2023–24 session to publicly accessible criminal conviction records. The goal is not a precise population estimate —</w:t>
      </w:r>
      <w:r>
        <w:t xml:space="preserve"> </w:t>
      </w:r>
      <w:r>
        <w:t>data constraints documented below make that impossible — but an empirical baseline: how many directly impacted legislators can be identified, and where do they appear?</w:t>
      </w:r>
    </w:p>
    <w:p w14:paraId="0B7E3488" w14:textId="77777777" w:rsidR="008F7FEB" w:rsidRDefault="00981510" w:rsidP="00981510">
      <w:pPr>
        <w:pStyle w:val="font-claude-response-body"/>
      </w:pPr>
      <w:r>
        <w:t xml:space="preserve">The literature on descriptive representation gives us reason to care about this baseline even before we know what it shows. Scholars have established that legislators' own identities and experiences shape their policy priorities, their symbolic recognition of constituents, and the degree to which marginalized groups feel politically included (Mansbridge 1999; Pantoja and Segura 2002; Carnes 2012). These effects have been documented for race, gender, and class — but not for carceral experience, in part because no dataset of directly impacted legislators has existed to study. </w:t>
      </w:r>
    </w:p>
    <w:p w14:paraId="29F46502" w14:textId="1EA06CE4" w:rsidR="00981510" w:rsidRDefault="00981510" w:rsidP="00981510">
      <w:pPr>
        <w:pStyle w:val="font-claude-response-body"/>
      </w:pPr>
      <w:r>
        <w:lastRenderedPageBreak/>
        <w:t>Constructing that baseline is this chapter's primary contribution. It is also, as will become clear, a contribution that is necessarily partial: the same expungement and sealing policies that enable some formerly incarcerated people to run for office render them invisible in public records, meaning the dataset captures a floor, not a ceiling, of direct descriptive representation.</w:t>
      </w:r>
    </w:p>
    <w:p w14:paraId="1FD3D83E" w14:textId="77777777" w:rsidR="00981510" w:rsidRDefault="00981510" w:rsidP="00981510">
      <w:pPr>
        <w:pStyle w:val="font-claude-response-body"/>
      </w:pPr>
      <w:r>
        <w:t>Three expectations follow. First, the number of legislators with publicly identifiable conviction records will be small — the empirical question is presence rather than proportion, and the relevant benchmark may be how many state legislatures contain even a single directly impacted representative rather than what share of seats they hold (</w:t>
      </w:r>
      <w:r>
        <w:rPr>
          <w:rStyle w:val="Emphasis"/>
        </w:rPr>
        <w:t>E1</w:t>
      </w:r>
      <w:r>
        <w:t>). Second, where directly impacted legislators do appear, they are more likely to do so in states classified in the previous chapter as having open or sentence-limited eligibility environments — the institutional preconditions established there should predict presence here (</w:t>
      </w:r>
      <w:r>
        <w:rPr>
          <w:rStyle w:val="Emphasis"/>
        </w:rPr>
        <w:t>E2</w:t>
      </w:r>
      <w:r>
        <w:t>). Third, and most importantly for interpreting what follows, this dataset will systematically undercount the true universe of directly impacted legislators, because expungement and sealing remove records from public access; this undercounting is not merely a limitation to be footnoted but a substantive finding about how the policy environment shapes the visibility of carceral constituencies in democratic institutions (</w:t>
      </w:r>
      <w:r>
        <w:rPr>
          <w:rStyle w:val="Emphasis"/>
        </w:rPr>
        <w:t>E3</w:t>
      </w:r>
      <w:r>
        <w:t>).</w:t>
      </w:r>
    </w:p>
    <w:p w14:paraId="75BDAF79" w14:textId="2025C3CB" w:rsidR="00981510" w:rsidRDefault="009202D8">
      <w:r>
        <w:t>Data and Methods</w:t>
      </w:r>
    </w:p>
    <w:p w14:paraId="7C8953C8" w14:textId="2D89E69D" w:rsidR="009202D8" w:rsidRDefault="00695C25">
      <w:r w:rsidRPr="00695C25">
        <w:t xml:space="preserve">The backbone of this dataset is Carnes and Hansen's (2023) comprehensive database of state legislators serving in the 2023–24 session, which provides demographic information, professional background, educational attainment, and — critically — year of birth for a substantial share of legislators across states. </w:t>
      </w:r>
      <w:proofErr w:type="gramStart"/>
      <w:r>
        <w:t>Footnote(</w:t>
      </w:r>
      <w:proofErr w:type="gramEnd"/>
      <w:r w:rsidRPr="00695C25">
        <w:t xml:space="preserve">Although the professional background data is not the primary object of analysis here, its inclusion makes the database well suited for the broader project: legislators who entered office from public safety occupations, for instance, </w:t>
      </w:r>
      <w:r>
        <w:t xml:space="preserve">may </w:t>
      </w:r>
      <w:r w:rsidRPr="00695C25">
        <w:t>provide analytic contrast with directly impacted legislators in chapter</w:t>
      </w:r>
      <w:r>
        <w:t xml:space="preserve"> 4</w:t>
      </w:r>
      <w:r w:rsidRPr="00695C25">
        <w:t>.</w:t>
      </w:r>
      <w:r>
        <w:t>)</w:t>
      </w:r>
      <w:r w:rsidRPr="00695C25">
        <w:t xml:space="preserve"> For present purposes, the database's primary value is as a source of personally identifying information that makes criminal record matching feasible. Year of birth is the most important of these: without it, name-based searches in state criminal record repositories produce ambiguous matches that cannot be reliably verified. The distribution of birth year coverage across states is therefore a first signal of where record matching is practical. Coverage is not uniform — preliminary review suggests that missing birth year data in some states is not randomly distributed, with gaps appearing to cluster among legislators from rural districts and, in at least one state, among Republican members — a pattern of potential missingness that will require attention in the analysis.</w:t>
      </w:r>
    </w:p>
    <w:p w14:paraId="2D5B1F62" w14:textId="08D442ED" w:rsidR="0043499D" w:rsidRDefault="0043499D" w:rsidP="0043499D">
      <w:pPr>
        <w:pStyle w:val="font-claude-response-body"/>
      </w:pPr>
      <w:r>
        <w:t xml:space="preserve">Constructing the dataset requires triangulating across three considerations simultaneously. The first, established in the previous chapter, is formal eligibility: matching records to legislators only makes sense in states where people with criminal convictions can legally hold legislative office. The second is the accessibility and structure of criminal record repositories. Leeson, Webster, and Sandoval (2021) and Leeson and Sandoval (2022) provide a systematic overview of state criminal records regimes — covering arrest, court, and prison records — and their </w:t>
      </w:r>
      <w:r>
        <w:lastRenderedPageBreak/>
        <w:t xml:space="preserve">tendencies on data completeness and PII inclusion.\footnote{These sources were particularly valuable for orienting to the landscape of state records regimes during an earlier stage of the project when the appropriate form of carceral contact to operationalize was still being worked through.} However, they do not resolve several questions that are critical for this project: whether individual state repositories include date of birth in returned records, whether repositories are centralized and searchable online, what PII is required to initiate a search, and what the costs of record requests are. Answering these questions has required direct investigation of each candidate state's repository — consulting Secretary of State and court websites, testing search interfaces, and in several cases contacting state offices directly. The third consideration is the interaction between sealing and expungement policies and record accessibility: a state may have a centralized and searchable repository, but if its expungement regime is expansive and automatic, the records of formerly incarcerated legislators may simply not appear. This is not a disqualifying condition — it is itself a substantive finding, for reasons discussed below — but it affects how results should be interpreted and provides a reason to prioritize states </w:t>
      </w:r>
      <w:r w:rsidR="00584D8B">
        <w:t>across</w:t>
      </w:r>
      <w:r>
        <w:t xml:space="preserve"> </w:t>
      </w:r>
      <w:r w:rsidR="00584D8B">
        <w:t xml:space="preserve">a </w:t>
      </w:r>
      <w:r w:rsidR="00584D8B" w:rsidRPr="00584D8B">
        <w:rPr>
          <w:i/>
          <w:iCs/>
        </w:rPr>
        <w:t>variety</w:t>
      </w:r>
      <w:r>
        <w:t xml:space="preserve"> limited sealing regimes when building the initial dataset.</w:t>
      </w:r>
    </w:p>
    <w:p w14:paraId="1BCFC5ED" w14:textId="77777777" w:rsidR="0043499D" w:rsidRDefault="0043499D" w:rsidP="0043499D">
      <w:pPr>
        <w:pStyle w:val="font-claude-response-body"/>
      </w:pPr>
      <w:r>
        <w:t>Together, these three considerations — eligibility environment, record accessibility, and sealing regime — along with the availability of PII in the Carnes and Hansen database, generate a feasibility assessment for each candidate state. Table X summarizes this assessment for the states under active consideration, divided into those with open or minimal eligibility bars and those where eligibility is restored after sentence completion. Minnesota and New Jersey are the strongest initial cases: both have no-cost, centralized, online-searchable repositories; both have relatively high birth year coverage in the Carnes and Hansen data (171 of 201 legislators for Minnesota; 114 of 120 for New Jersey); and both have accessible legislative archives relevant for subsequent chapters. Both are therefore the initial states for dataset construction, with expansion to additional states — including New York, South Dakota, Connecticut, and Washington, among others — proceeding in order of feasibility as the project develops.</w:t>
      </w:r>
    </w:p>
    <w:p w14:paraId="0CE8C7FA" w14:textId="77777777" w:rsidR="0043499D" w:rsidRDefault="0043499D" w:rsidP="0043499D">
      <w:pPr>
        <w:pStyle w:val="font-claude-response-body"/>
      </w:pPr>
      <w:r>
        <w:t>Within each state, the matching procedure proceeds as follows. For each legislator in the Carnes and Hansen database serving in the 2023–24 session, I conduct a name-based search of the state's criminal record repository, using date of birth where available to disambiguate common names. Where a record is returned, I verify the match against additional identifying information — district, municipality of residence, or other available PII — before coding. Because matching will involve varying degrees of certainty, I code conviction matches as an ordinal variable: 0 indicates no matching conviction record identified; 1 indicates a possible match with measurement uncertainty; and 2 indicates a confirmed match based on multiple identifying indicators. This approach preserves information about uncertain cases while distinguishing them from confirmed records.</w:t>
      </w:r>
    </w:p>
    <w:p w14:paraId="6728402A" w14:textId="77777777" w:rsidR="0043499D" w:rsidRDefault="0043499D" w:rsidP="0043499D">
      <w:pPr>
        <w:pStyle w:val="font-claude-response-body"/>
      </w:pPr>
      <w:r>
        <w:t xml:space="preserve">One further limitation bears emphasis because it is not merely methodological but substantive. The dataset will capture a floor, not a ceiling, of direct descriptive representation. Legislators whose conviction records have been sealed or expunged will not appear, regardless of their actual histories. As established in the previous chapter, this is not an edge case: Cruz and Felix in Rhode Island describe expungement as a precondition for their candidacies, and the expungement and sealing regimes that made their service possible are precisely the regimes that would remove their records from this dataset. The incompleteness of the dataset is therefore a </w:t>
      </w:r>
      <w:r>
        <w:lastRenderedPageBreak/>
        <w:t>finding about the policy environment — one that will be returned to in the discussion — rather than simply a caveat about data quality.</w:t>
      </w:r>
    </w:p>
    <w:p w14:paraId="76131FDB" w14:textId="77777777" w:rsidR="0043499D" w:rsidRDefault="0043499D"/>
    <w:p w14:paraId="6AAD4CCC" w14:textId="4E964648" w:rsidR="003B3256" w:rsidRDefault="003B3256">
      <w:r>
        <w:t>Where data comes from</w:t>
      </w:r>
    </w:p>
    <w:p w14:paraId="03D4CF20" w14:textId="73D4065C" w:rsidR="003B3256" w:rsidRDefault="003B3256">
      <w:r>
        <w:t>Hansen and Carnes list of 2023-24 legislators</w:t>
      </w:r>
    </w:p>
    <w:p w14:paraId="32E5CA00" w14:textId="5387038C" w:rsidR="003B3256" w:rsidRDefault="003B3256" w:rsidP="003B3256">
      <w:pPr>
        <w:pStyle w:val="ListParagraph"/>
        <w:numPr>
          <w:ilvl w:val="0"/>
          <w:numId w:val="6"/>
        </w:numPr>
      </w:pPr>
      <w:r>
        <w:t xml:space="preserve">Although there are other sources, their sis recent, comprehensive (It might be mission bleed for this </w:t>
      </w:r>
      <w:proofErr w:type="gramStart"/>
      <w:r>
        <w:t>draft</w:t>
      </w:r>
      <w:proofErr w:type="gramEnd"/>
      <w:r>
        <w:t xml:space="preserve"> but I expect the professional backgrounds to be useful</w:t>
      </w:r>
      <w:r w:rsidR="00774CB0">
        <w:t xml:space="preserve">). </w:t>
      </w:r>
    </w:p>
    <w:p w14:paraId="7BDFBB29" w14:textId="019D0255" w:rsidR="00774CB0" w:rsidRDefault="00774CB0" w:rsidP="003B3256">
      <w:pPr>
        <w:pStyle w:val="ListParagraph"/>
        <w:numPr>
          <w:ilvl w:val="0"/>
          <w:numId w:val="6"/>
        </w:numPr>
      </w:pPr>
      <w:r>
        <w:t xml:space="preserve">When I look up with info on state legislatures, it tells me: in what states do I already have the </w:t>
      </w:r>
      <w:proofErr w:type="gramStart"/>
      <w:r>
        <w:t>greatest  share</w:t>
      </w:r>
      <w:proofErr w:type="gramEnd"/>
      <w:r>
        <w:t xml:space="preserve"> of legislators’ PII. I will work to find more </w:t>
      </w:r>
      <w:proofErr w:type="spellStart"/>
      <w:r>
        <w:t>bdays</w:t>
      </w:r>
      <w:proofErr w:type="spellEnd"/>
      <w:r>
        <w:t xml:space="preserve"> and will need to think about missingness (</w:t>
      </w:r>
      <w:proofErr w:type="spellStart"/>
      <w:r>
        <w:t>ie</w:t>
      </w:r>
      <w:proofErr w:type="spellEnd"/>
      <w:r>
        <w:t xml:space="preserve">, in MN I noticed that no birthday people seemed to be Republicans and rural </w:t>
      </w:r>
      <w:proofErr w:type="gramStart"/>
      <w:r>
        <w:t>district</w:t>
      </w:r>
      <w:proofErr w:type="gramEnd"/>
      <w:r>
        <w:t xml:space="preserve"> but this is anecdotal). </w:t>
      </w:r>
    </w:p>
    <w:p w14:paraId="681A46D3" w14:textId="06203B02" w:rsidR="00774CB0" w:rsidRDefault="009202D8" w:rsidP="00774CB0">
      <w:r>
        <w:t xml:space="preserve">“Triangulation” #2: Can I get PII to match records (Triangulation #1 is prioritizing states where eligibility more possible) </w:t>
      </w:r>
    </w:p>
    <w:p w14:paraId="3FB2A1D6" w14:textId="49A66056" w:rsidR="00774CB0" w:rsidRDefault="00774CB0" w:rsidP="00774CB0">
      <w:r>
        <w:t xml:space="preserve">Two articles for state policy via records: </w:t>
      </w:r>
      <w:proofErr w:type="spellStart"/>
      <w:r w:rsidRPr="00774CB0">
        <w:t>Legeson</w:t>
      </w:r>
      <w:proofErr w:type="spellEnd"/>
      <w:r w:rsidRPr="00774CB0">
        <w:t>, Webster, + Sandoval (2021)</w:t>
      </w:r>
      <w:r>
        <w:t xml:space="preserve"> and </w:t>
      </w:r>
      <w:proofErr w:type="spellStart"/>
      <w:r w:rsidRPr="00774CB0">
        <w:t>Legeson</w:t>
      </w:r>
      <w:proofErr w:type="spellEnd"/>
      <w:r w:rsidRPr="00774CB0">
        <w:t xml:space="preserve"> and Sandoval 2022</w:t>
      </w:r>
      <w:r>
        <w:t xml:space="preserve">. Add footnote that this was particularly useful for wrapping my head around records while I was still working through which forms of impact to consider. </w:t>
      </w:r>
    </w:p>
    <w:p w14:paraId="29EF6CCE" w14:textId="77777777" w:rsidR="00774CB0" w:rsidRDefault="00774CB0" w:rsidP="00774CB0">
      <w:pPr>
        <w:pStyle w:val="ListParagraph"/>
        <w:numPr>
          <w:ilvl w:val="0"/>
          <w:numId w:val="8"/>
        </w:numPr>
      </w:pPr>
      <w:r>
        <w:t xml:space="preserve">Tells me overview of records regimes (arrest, court, prison), tendencies on data, completeness, and PII. </w:t>
      </w:r>
    </w:p>
    <w:p w14:paraId="5F77C5EB" w14:textId="70C2E1FF" w:rsidR="00774CB0" w:rsidRDefault="00774CB0" w:rsidP="00774CB0">
      <w:pPr>
        <w:pStyle w:val="ListParagraph"/>
        <w:numPr>
          <w:ilvl w:val="1"/>
          <w:numId w:val="8"/>
        </w:numPr>
      </w:pPr>
      <w:r>
        <w:t>More accessible but less complete</w:t>
      </w:r>
    </w:p>
    <w:p w14:paraId="10BC207D" w14:textId="3F1F2C33" w:rsidR="00774CB0" w:rsidRDefault="00774CB0" w:rsidP="00774CB0">
      <w:pPr>
        <w:pStyle w:val="ListParagraph"/>
        <w:numPr>
          <w:ilvl w:val="0"/>
          <w:numId w:val="8"/>
        </w:numPr>
      </w:pPr>
      <w:r>
        <w:t>Tells me whether and where RAP sheets are public</w:t>
      </w:r>
    </w:p>
    <w:p w14:paraId="3A8C2878" w14:textId="2E854EEF" w:rsidR="00774CB0" w:rsidRDefault="00774CB0" w:rsidP="00774CB0">
      <w:pPr>
        <w:pStyle w:val="ListParagraph"/>
        <w:numPr>
          <w:ilvl w:val="1"/>
          <w:numId w:val="8"/>
        </w:numPr>
      </w:pPr>
      <w:r>
        <w:t xml:space="preserve">Most restricted (non-starter in half of states) but also most accurate and complete. </w:t>
      </w:r>
    </w:p>
    <w:p w14:paraId="41EE8CAE" w14:textId="244E6D37" w:rsidR="00774CB0" w:rsidRDefault="00774CB0" w:rsidP="00774CB0">
      <w:r>
        <w:t>Does not tell me:</w:t>
      </w:r>
    </w:p>
    <w:p w14:paraId="48DCF88E" w14:textId="5946B361" w:rsidR="00774CB0" w:rsidRDefault="00774CB0" w:rsidP="00774CB0">
      <w:pPr>
        <w:pStyle w:val="ListParagraph"/>
        <w:numPr>
          <w:ilvl w:val="0"/>
          <w:numId w:val="9"/>
        </w:numPr>
      </w:pPr>
      <w:r>
        <w:t>Which states provide DOB in repositories</w:t>
      </w:r>
    </w:p>
    <w:p w14:paraId="7ECD8AF6" w14:textId="7465EB05" w:rsidR="00774CB0" w:rsidRDefault="00774CB0" w:rsidP="00774CB0">
      <w:pPr>
        <w:pStyle w:val="ListParagraph"/>
        <w:numPr>
          <w:ilvl w:val="0"/>
          <w:numId w:val="9"/>
        </w:numPr>
      </w:pPr>
      <w:r>
        <w:t>Centralization by state</w:t>
      </w:r>
    </w:p>
    <w:p w14:paraId="5DC882A4" w14:textId="4F11F414" w:rsidR="00774CB0" w:rsidRDefault="00774CB0" w:rsidP="00774CB0">
      <w:pPr>
        <w:pStyle w:val="ListParagraph"/>
        <w:numPr>
          <w:ilvl w:val="0"/>
          <w:numId w:val="9"/>
        </w:numPr>
      </w:pPr>
      <w:r>
        <w:t>Searchability</w:t>
      </w:r>
    </w:p>
    <w:p w14:paraId="25A2951B" w14:textId="695077D4" w:rsidR="00774CB0" w:rsidRDefault="00774CB0" w:rsidP="00774CB0">
      <w:pPr>
        <w:pStyle w:val="ListParagraph"/>
        <w:numPr>
          <w:ilvl w:val="0"/>
          <w:numId w:val="9"/>
        </w:numPr>
      </w:pPr>
      <w:r>
        <w:t>PII requirements or information inclusion</w:t>
      </w:r>
    </w:p>
    <w:p w14:paraId="27AF1537" w14:textId="69955521" w:rsidR="009202D8" w:rsidRDefault="009202D8" w:rsidP="009202D8">
      <w:r>
        <w:t xml:space="preserve">Triangulation #3: states with central repositories, …is what I’m proposing here is first finishing this leg? </w:t>
      </w:r>
      <w:proofErr w:type="gramStart"/>
      <w:r>
        <w:t>So</w:t>
      </w:r>
      <w:proofErr w:type="gramEnd"/>
      <w:r>
        <w:t xml:space="preserve"> I can clearly see in which states records would be accessible in the first place? Then choose by best candidate states, which includes knowing some of these states might be states where expenses are involved in getting records, or getting records will be more time consuming. </w:t>
      </w:r>
    </w:p>
    <w:p w14:paraId="2B8010BC" w14:textId="77777777" w:rsidR="009202D8" w:rsidRDefault="009202D8" w:rsidP="009202D8"/>
    <w:p w14:paraId="2EA50327" w14:textId="6AC5BDE8" w:rsidR="009202D8" w:rsidRDefault="009202D8" w:rsidP="009202D8">
      <w:proofErr w:type="gramStart"/>
      <w:r>
        <w:lastRenderedPageBreak/>
        <w:t>So</w:t>
      </w:r>
      <w:proofErr w:type="gramEnd"/>
      <w:r>
        <w:t xml:space="preserve"> then my goal with the MN example is to say – so far, here are N states I’ve settled on. Minnesota, </w:t>
      </w:r>
      <w:proofErr w:type="gramStart"/>
      <w:r>
        <w:t>NJ definitely</w:t>
      </w:r>
      <w:proofErr w:type="gramEnd"/>
      <w:r>
        <w:t>. Now let me explain what I will do vis-à-vis data within these states.</w:t>
      </w:r>
    </w:p>
    <w:p w14:paraId="63E744E5" w14:textId="4EC31A5B" w:rsidR="009202D8" w:rsidRDefault="009202D8" w:rsidP="009202D8"/>
    <w:sectPr w:rsidR="00920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6D9"/>
    <w:multiLevelType w:val="multilevel"/>
    <w:tmpl w:val="737E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C7757"/>
    <w:multiLevelType w:val="hybridMultilevel"/>
    <w:tmpl w:val="37622CCE"/>
    <w:lvl w:ilvl="0" w:tplc="EA648EB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16EDC"/>
    <w:multiLevelType w:val="multilevel"/>
    <w:tmpl w:val="99FE1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FB27E3"/>
    <w:multiLevelType w:val="hybridMultilevel"/>
    <w:tmpl w:val="EB30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34F14"/>
    <w:multiLevelType w:val="hybridMultilevel"/>
    <w:tmpl w:val="C032E5E2"/>
    <w:lvl w:ilvl="0" w:tplc="EA648EB2">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4615C0"/>
    <w:multiLevelType w:val="hybridMultilevel"/>
    <w:tmpl w:val="3E34D518"/>
    <w:lvl w:ilvl="0" w:tplc="EA648EB2">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C04BB7"/>
    <w:multiLevelType w:val="hybridMultilevel"/>
    <w:tmpl w:val="C8FAC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9BB0419"/>
    <w:multiLevelType w:val="multilevel"/>
    <w:tmpl w:val="DEC48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AA3DD1"/>
    <w:multiLevelType w:val="multilevel"/>
    <w:tmpl w:val="8BFCC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6288851">
    <w:abstractNumId w:val="2"/>
  </w:num>
  <w:num w:numId="2" w16cid:durableId="2104647776">
    <w:abstractNumId w:val="7"/>
  </w:num>
  <w:num w:numId="3" w16cid:durableId="930702622">
    <w:abstractNumId w:val="0"/>
  </w:num>
  <w:num w:numId="4" w16cid:durableId="1443569306">
    <w:abstractNumId w:val="8"/>
  </w:num>
  <w:num w:numId="5" w16cid:durableId="187834371">
    <w:abstractNumId w:val="6"/>
  </w:num>
  <w:num w:numId="6" w16cid:durableId="311259094">
    <w:abstractNumId w:val="3"/>
  </w:num>
  <w:num w:numId="7" w16cid:durableId="1620842663">
    <w:abstractNumId w:val="4"/>
  </w:num>
  <w:num w:numId="8" w16cid:durableId="2019229924">
    <w:abstractNumId w:val="5"/>
  </w:num>
  <w:num w:numId="9" w16cid:durableId="1488548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85"/>
    <w:rsid w:val="001554D9"/>
    <w:rsid w:val="00155900"/>
    <w:rsid w:val="00341F03"/>
    <w:rsid w:val="00347E19"/>
    <w:rsid w:val="003A5267"/>
    <w:rsid w:val="003B3256"/>
    <w:rsid w:val="0043499D"/>
    <w:rsid w:val="00493406"/>
    <w:rsid w:val="00584D8B"/>
    <w:rsid w:val="00691015"/>
    <w:rsid w:val="00695C25"/>
    <w:rsid w:val="007006BC"/>
    <w:rsid w:val="00774CB0"/>
    <w:rsid w:val="007A7445"/>
    <w:rsid w:val="008C2728"/>
    <w:rsid w:val="008F7FEB"/>
    <w:rsid w:val="009202D8"/>
    <w:rsid w:val="00981510"/>
    <w:rsid w:val="00A14FA5"/>
    <w:rsid w:val="00B4476B"/>
    <w:rsid w:val="00B82722"/>
    <w:rsid w:val="00BD1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8CAE"/>
  <w15:chartTrackingRefBased/>
  <w15:docId w15:val="{E3A300D8-BCBE-1148-9882-738E5FDC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685"/>
    <w:rPr>
      <w:rFonts w:eastAsiaTheme="majorEastAsia" w:cstheme="majorBidi"/>
      <w:color w:val="272727" w:themeColor="text1" w:themeTint="D8"/>
    </w:rPr>
  </w:style>
  <w:style w:type="paragraph" w:styleId="Title">
    <w:name w:val="Title"/>
    <w:basedOn w:val="Normal"/>
    <w:next w:val="Normal"/>
    <w:link w:val="TitleChar"/>
    <w:uiPriority w:val="10"/>
    <w:qFormat/>
    <w:rsid w:val="00BD1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685"/>
    <w:pPr>
      <w:spacing w:before="160"/>
      <w:jc w:val="center"/>
    </w:pPr>
    <w:rPr>
      <w:i/>
      <w:iCs/>
      <w:color w:val="404040" w:themeColor="text1" w:themeTint="BF"/>
    </w:rPr>
  </w:style>
  <w:style w:type="character" w:customStyle="1" w:styleId="QuoteChar">
    <w:name w:val="Quote Char"/>
    <w:basedOn w:val="DefaultParagraphFont"/>
    <w:link w:val="Quote"/>
    <w:uiPriority w:val="29"/>
    <w:rsid w:val="00BD1685"/>
    <w:rPr>
      <w:i/>
      <w:iCs/>
      <w:color w:val="404040" w:themeColor="text1" w:themeTint="BF"/>
    </w:rPr>
  </w:style>
  <w:style w:type="paragraph" w:styleId="ListParagraph">
    <w:name w:val="List Paragraph"/>
    <w:basedOn w:val="Normal"/>
    <w:uiPriority w:val="34"/>
    <w:qFormat/>
    <w:rsid w:val="00BD1685"/>
    <w:pPr>
      <w:ind w:left="720"/>
      <w:contextualSpacing/>
    </w:pPr>
  </w:style>
  <w:style w:type="character" w:styleId="IntenseEmphasis">
    <w:name w:val="Intense Emphasis"/>
    <w:basedOn w:val="DefaultParagraphFont"/>
    <w:uiPriority w:val="21"/>
    <w:qFormat/>
    <w:rsid w:val="00BD1685"/>
    <w:rPr>
      <w:i/>
      <w:iCs/>
      <w:color w:val="0F4761" w:themeColor="accent1" w:themeShade="BF"/>
    </w:rPr>
  </w:style>
  <w:style w:type="paragraph" w:styleId="IntenseQuote">
    <w:name w:val="Intense Quote"/>
    <w:basedOn w:val="Normal"/>
    <w:next w:val="Normal"/>
    <w:link w:val="IntenseQuoteChar"/>
    <w:uiPriority w:val="30"/>
    <w:qFormat/>
    <w:rsid w:val="00BD1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685"/>
    <w:rPr>
      <w:i/>
      <w:iCs/>
      <w:color w:val="0F4761" w:themeColor="accent1" w:themeShade="BF"/>
    </w:rPr>
  </w:style>
  <w:style w:type="character" w:styleId="IntenseReference">
    <w:name w:val="Intense Reference"/>
    <w:basedOn w:val="DefaultParagraphFont"/>
    <w:uiPriority w:val="32"/>
    <w:qFormat/>
    <w:rsid w:val="00BD1685"/>
    <w:rPr>
      <w:b/>
      <w:bCs/>
      <w:smallCaps/>
      <w:color w:val="0F4761" w:themeColor="accent1" w:themeShade="BF"/>
      <w:spacing w:val="5"/>
    </w:rPr>
  </w:style>
  <w:style w:type="paragraph" w:styleId="NormalWeb">
    <w:name w:val="Normal (Web)"/>
    <w:basedOn w:val="Normal"/>
    <w:uiPriority w:val="99"/>
    <w:semiHidden/>
    <w:unhideWhenUsed/>
    <w:rsid w:val="00BD16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6910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A74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9</Pages>
  <Words>3965</Words>
  <Characters>21455</Characters>
  <Application>Microsoft Office Word</Application>
  <DocSecurity>0</DocSecurity>
  <Lines>446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5</cp:revision>
  <dcterms:created xsi:type="dcterms:W3CDTF">2026-03-23T19:18:00Z</dcterms:created>
  <dcterms:modified xsi:type="dcterms:W3CDTF">2026-03-24T02:47:00Z</dcterms:modified>
</cp:coreProperties>
</file>