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127D" w14:textId="0F102D4F" w:rsidR="00111FF6" w:rsidRDefault="008938EC">
      <w:r>
        <w:t>DV Memo – Symbolic Versus Substantive</w:t>
      </w:r>
    </w:p>
    <w:p w14:paraId="70D8D655" w14:textId="77777777" w:rsidR="008938EC" w:rsidRDefault="008938EC"/>
    <w:p w14:paraId="20791D95" w14:textId="239F2CE1" w:rsidR="008938EC" w:rsidRDefault="008938EC">
      <w:r>
        <w:t xml:space="preserve">My initial conception of this project distinguished between “symbolic” representation – matters of how a legislator invokes constituencies primarily in public communication, whether floor speeches, district newsletters, or social media – and “substantive” representation. The latter, I conceived of as involving both policy “responsiveness” in terms of policy outcomes: filing, sponsoring, or supporting legislation that reflects a constituencies’ preferences or interests (preference vs interests also being an important distinction in how ‘good’ representation is treated), and policy process matters: the degree to which a legislator prioritizes or expends political capital to support an issue. </w:t>
      </w:r>
    </w:p>
    <w:p w14:paraId="1D296354" w14:textId="77777777" w:rsidR="008938EC" w:rsidRDefault="008938EC"/>
    <w:p w14:paraId="0771A38F" w14:textId="5FD35D56" w:rsidR="008938EC" w:rsidRDefault="008938EC">
      <w:r>
        <w:t xml:space="preserve">This separation reflects both consideration of feasibility (is it likely I can </w:t>
      </w:r>
      <w:r>
        <w:rPr>
          <w:i/>
          <w:iCs/>
        </w:rPr>
        <w:t xml:space="preserve">only </w:t>
      </w:r>
      <w:r>
        <w:t xml:space="preserve">operationalize speech, or sponsorship/co-sponsorship?), distinctions other studies have made between the two, and Pitkin’s normative distinction </w:t>
      </w:r>
      <w:r w:rsidR="001F6F97">
        <w:t xml:space="preserve">between the two in her interest-based approach, where </w:t>
      </w:r>
      <w:r>
        <w:t xml:space="preserve">symbolic </w:t>
      </w:r>
      <w:r w:rsidR="001F6F97">
        <w:t>has</w:t>
      </w:r>
      <w:r>
        <w:t xml:space="preserve"> to do with a constituency </w:t>
      </w:r>
      <w:r w:rsidRPr="001F6F97">
        <w:rPr>
          <w:i/>
          <w:iCs/>
        </w:rPr>
        <w:t>feeling</w:t>
      </w:r>
      <w:r>
        <w:t xml:space="preserve"> represented, and substantive </w:t>
      </w:r>
      <w:r w:rsidR="001F6F97">
        <w:t>has</w:t>
      </w:r>
      <w:r>
        <w:t xml:space="preserve"> to do with their ‘actually’ </w:t>
      </w:r>
      <w:r w:rsidRPr="001F6F97">
        <w:rPr>
          <w:i/>
          <w:iCs/>
        </w:rPr>
        <w:t>being</w:t>
      </w:r>
      <w:r>
        <w:t xml:space="preserve"> represented</w:t>
      </w:r>
      <w:r w:rsidR="001F6F97">
        <w:t xml:space="preserve">. </w:t>
      </w:r>
    </w:p>
    <w:p w14:paraId="1ACEFADD" w14:textId="77777777" w:rsidR="00B874C2" w:rsidRDefault="00B874C2"/>
    <w:p w14:paraId="283CC946" w14:textId="5B3D483E" w:rsidR="00B874C2" w:rsidRPr="007E02A7" w:rsidRDefault="00B874C2">
      <w:r>
        <w:t xml:space="preserve">Mansbridge, Saward, and Disch </w:t>
      </w:r>
      <w:r w:rsidR="007E02A7">
        <w:t xml:space="preserve">challenge this binary’s ontological premise: that there’s a meaningful difference between symbolic and substantive representation, and more foundationally that there is such a thing as a pre-given constituency whose </w:t>
      </w:r>
      <w:proofErr w:type="gramStart"/>
      <w:r w:rsidR="007E02A7">
        <w:t>interests</w:t>
      </w:r>
      <w:proofErr w:type="gramEnd"/>
      <w:r w:rsidR="007E02A7">
        <w:t xml:space="preserve"> representatives act on. Disch’s claim is that representatives themselves construct or mobilize constituencies into existence. </w:t>
      </w:r>
      <w:proofErr w:type="gramStart"/>
      <w:r w:rsidR="007E02A7">
        <w:t>Thus</w:t>
      </w:r>
      <w:proofErr w:type="gramEnd"/>
      <w:r w:rsidR="007E02A7">
        <w:t xml:space="preserve"> symbolic acts of invoking – for my case – carceral citizens as part of a legislator’s constituency is a performative act that constitutes their political membership, and has, as Mansbridge stresses, </w:t>
      </w:r>
      <w:r w:rsidR="007E02A7">
        <w:rPr>
          <w:i/>
          <w:iCs/>
        </w:rPr>
        <w:t>substantive</w:t>
      </w:r>
      <w:r w:rsidR="007E02A7">
        <w:t xml:space="preserve"> effects. Under this framework, and Saward’s conception of representation as “event,” a question of whether legislators understand carceral citizens as members of their constituency is not a precondition to study symbolic representation, but rather it </w:t>
      </w:r>
      <w:r w:rsidR="007E02A7">
        <w:rPr>
          <w:i/>
          <w:iCs/>
        </w:rPr>
        <w:t>is</w:t>
      </w:r>
      <w:r w:rsidR="007E02A7">
        <w:t xml:space="preserve"> symbolic representation and in its construction of carceral citizens as a constituency and thus political knowers, a matter of substantive and epistemic import. </w:t>
      </w:r>
    </w:p>
    <w:p w14:paraId="75BAAFC2" w14:textId="77777777" w:rsidR="001F6F97" w:rsidRDefault="001F6F97"/>
    <w:p w14:paraId="0918F609" w14:textId="5653BD2C" w:rsidR="001F6F97" w:rsidRDefault="001F6F97">
      <w:r>
        <w:t xml:space="preserve">Ultimately, my ambition is to put this project in epistemic terms. This has to do with </w:t>
      </w:r>
      <w:r w:rsidR="001A2455">
        <w:t>. . .</w:t>
      </w:r>
    </w:p>
    <w:p w14:paraId="754D1427" w14:textId="77777777" w:rsidR="001A2455" w:rsidRDefault="001A2455"/>
    <w:p w14:paraId="28387243" w14:textId="5206BC98" w:rsidR="001A2455" w:rsidRDefault="001A2455">
      <w:r>
        <w:lastRenderedPageBreak/>
        <w:t>When carceral citizens are invoked, what epistemic status do they have? Are they treated as knowers with experiences, perspectives, and demands that are politically credible, or are they treated as policy objects?</w:t>
      </w:r>
    </w:p>
    <w:p w14:paraId="5122A073" w14:textId="5D8B1F39" w:rsidR="001A2455" w:rsidRDefault="001A2455">
      <w:r>
        <w:t>This is the qualitative dimension of symbolic representation (hollow vs. centering, epistemic inclusion)</w:t>
      </w:r>
    </w:p>
    <w:p w14:paraId="666379F4" w14:textId="512D52D3" w:rsidR="001A2455" w:rsidRDefault="001A2455">
      <w:r>
        <w:sym w:font="Wingdings" w:char="F0E0"/>
      </w:r>
      <w:r>
        <w:t xml:space="preserve"> testimonial</w:t>
      </w:r>
    </w:p>
    <w:p w14:paraId="67B25978" w14:textId="7670B02A" w:rsidR="001A2455" w:rsidRDefault="001A2455">
      <w:r>
        <w:sym w:font="Wingdings" w:char="F0E0"/>
      </w:r>
      <w:r>
        <w:t xml:space="preserve"> hermeneutic </w:t>
      </w:r>
    </w:p>
    <w:p w14:paraId="4C2ECC53" w14:textId="7EB14C69" w:rsidR="001A2455" w:rsidRDefault="001A2455">
      <w:r>
        <w:t xml:space="preserve">Responsiveness: does the legislator act as a bridge? Does the legislator take carceral constituent communication seriously in practice? In this case, requires being accessible. </w:t>
      </w:r>
    </w:p>
    <w:p w14:paraId="4761E715" w14:textId="77777777" w:rsidR="001A2455" w:rsidRDefault="001A2455"/>
    <w:p w14:paraId="7A65E3F4" w14:textId="62480719" w:rsidR="001A2455" w:rsidRDefault="001A2455">
      <w:r>
        <w:t xml:space="preserve">Does epistemic inclusion presuppose that someone is already being included in representational imaginary at some level? </w:t>
      </w:r>
    </w:p>
    <w:p w14:paraId="7918140A" w14:textId="7AA526EB" w:rsidR="001A2455" w:rsidRDefault="001A2455">
      <w:r>
        <w:t xml:space="preserve">Epistemic inclusion and conceptually prior question whether carceral citizens appear in a legislator’s imaginary, rather than appearing in unjust ways. This is: “are they even there?” Is the epistemic question “in what mode”? </w:t>
      </w:r>
    </w:p>
    <w:p w14:paraId="382A7753" w14:textId="4D30243A" w:rsidR="001A2455" w:rsidRDefault="001A2455">
      <w:r>
        <w:t xml:space="preserve">Alternative: can I frame epistemic inclusion as the </w:t>
      </w:r>
      <w:r>
        <w:rPr>
          <w:i/>
          <w:iCs/>
        </w:rPr>
        <w:t>underlying mechanism</w:t>
      </w:r>
      <w:r>
        <w:t xml:space="preserve"> that connects tiers:</w:t>
      </w:r>
    </w:p>
    <w:p w14:paraId="7C0C3D61" w14:textId="0A0800A4" w:rsidR="00087622" w:rsidRDefault="00087622" w:rsidP="001A2455">
      <w:pPr>
        <w:pStyle w:val="ListParagraph"/>
        <w:numPr>
          <w:ilvl w:val="0"/>
          <w:numId w:val="1"/>
        </w:numPr>
      </w:pPr>
      <w:r>
        <w:t>Are carceral citizens descriptively represented?</w:t>
      </w:r>
    </w:p>
    <w:p w14:paraId="23B73B26" w14:textId="05D29E36" w:rsidR="001A2455" w:rsidRDefault="001A2455" w:rsidP="001A2455">
      <w:pPr>
        <w:pStyle w:val="ListParagraph"/>
        <w:numPr>
          <w:ilvl w:val="0"/>
          <w:numId w:val="1"/>
        </w:numPr>
      </w:pPr>
      <w:r>
        <w:t>Are carceral citizens recognized as a constituency (constitutive)</w:t>
      </w:r>
    </w:p>
    <w:p w14:paraId="100A3939" w14:textId="3ECF666E" w:rsidR="001A2455" w:rsidRDefault="001A2455" w:rsidP="001A2455">
      <w:pPr>
        <w:pStyle w:val="ListParagraph"/>
        <w:numPr>
          <w:ilvl w:val="0"/>
          <w:numId w:val="1"/>
        </w:numPr>
      </w:pPr>
      <w:r>
        <w:t>How are they recognized (epistemic quality)</w:t>
      </w:r>
    </w:p>
    <w:p w14:paraId="57F2A884" w14:textId="2872F5C2" w:rsidR="001A2455" w:rsidRDefault="001A2455" w:rsidP="001A2455">
      <w:pPr>
        <w:pStyle w:val="ListParagraph"/>
        <w:numPr>
          <w:ilvl w:val="0"/>
          <w:numId w:val="1"/>
        </w:numPr>
      </w:pPr>
      <w:r>
        <w:t xml:space="preserve">Does recognition produce </w:t>
      </w:r>
      <w:r w:rsidR="00700697">
        <w:t xml:space="preserve">or correspond with other </w:t>
      </w:r>
      <w:r>
        <w:t>action</w:t>
      </w:r>
      <w:r w:rsidR="00700697">
        <w:t xml:space="preserve"> (“responsiveness”)</w:t>
      </w:r>
    </w:p>
    <w:p w14:paraId="1A1560ED" w14:textId="0A0411C4" w:rsidR="00700697" w:rsidRDefault="00700697" w:rsidP="001A2455">
      <w:pPr>
        <w:pStyle w:val="ListParagraph"/>
        <w:numPr>
          <w:ilvl w:val="0"/>
          <w:numId w:val="1"/>
        </w:numPr>
      </w:pPr>
      <w:r>
        <w:t>Epistemic inclusion/exclusion would explain why the gaps between tiers exist/matter democratically</w:t>
      </w:r>
    </w:p>
    <w:p w14:paraId="45949F7A" w14:textId="77777777" w:rsidR="00700697" w:rsidRDefault="00700697" w:rsidP="00700697"/>
    <w:p w14:paraId="0CC874AD" w14:textId="575B2500" w:rsidR="00700697" w:rsidRDefault="00700697" w:rsidP="00700697">
      <w:r>
        <w:t>More on symbolic/substantive binary</w:t>
      </w:r>
    </w:p>
    <w:p w14:paraId="5619874E" w14:textId="1E0D2917" w:rsidR="00700697" w:rsidRDefault="00700697" w:rsidP="00700697">
      <w:pPr>
        <w:pStyle w:val="ListParagraph"/>
        <w:numPr>
          <w:ilvl w:val="0"/>
          <w:numId w:val="2"/>
        </w:numPr>
      </w:pPr>
      <w:r>
        <w:t>Symbolic as</w:t>
      </w:r>
    </w:p>
    <w:p w14:paraId="3EF0FEB8" w14:textId="02ECB51F" w:rsidR="00700697" w:rsidRDefault="00700697" w:rsidP="00700697">
      <w:pPr>
        <w:pStyle w:val="ListParagraph"/>
        <w:numPr>
          <w:ilvl w:val="1"/>
          <w:numId w:val="2"/>
        </w:numPr>
      </w:pPr>
      <w:r>
        <w:t>Communicative</w:t>
      </w:r>
    </w:p>
    <w:p w14:paraId="64DE0A30" w14:textId="4F3C4BFE" w:rsidR="00700697" w:rsidRDefault="00700697" w:rsidP="00700697">
      <w:pPr>
        <w:pStyle w:val="ListParagraph"/>
        <w:numPr>
          <w:ilvl w:val="1"/>
          <w:numId w:val="2"/>
        </w:numPr>
      </w:pPr>
      <w:r>
        <w:t>Constitutively powerful because it constructs who has political standing, may change institutional cultures and norms, and introduce new knowledge (</w:t>
      </w:r>
      <w:proofErr w:type="spellStart"/>
      <w:r>
        <w:t>ie</w:t>
      </w:r>
      <w:proofErr w:type="spellEnd"/>
      <w:r>
        <w:t>, Liz Miranda introducing to her colleagues the idea not just that some incarcerated people are eligible to vote, but that they also want to)</w:t>
      </w:r>
    </w:p>
    <w:p w14:paraId="3B2D01C2" w14:textId="259B61DF" w:rsidR="00700697" w:rsidRDefault="00700697" w:rsidP="00700697">
      <w:pPr>
        <w:pStyle w:val="ListParagraph"/>
        <w:numPr>
          <w:ilvl w:val="0"/>
          <w:numId w:val="2"/>
        </w:numPr>
      </w:pPr>
      <w:r>
        <w:lastRenderedPageBreak/>
        <w:t>The value – for my project – of distinguishing between symbolic and substantive becomes a semi-practical distinction for measurement:</w:t>
      </w:r>
    </w:p>
    <w:p w14:paraId="71A5886C" w14:textId="1B992440" w:rsidR="00700697" w:rsidRDefault="00700697" w:rsidP="00700697">
      <w:pPr>
        <w:pStyle w:val="ListParagraph"/>
        <w:numPr>
          <w:ilvl w:val="1"/>
          <w:numId w:val="2"/>
        </w:numPr>
      </w:pPr>
      <w:r>
        <w:t>Speech – symbolic</w:t>
      </w:r>
    </w:p>
    <w:p w14:paraId="0FB86557" w14:textId="02587E2E" w:rsidR="00700697" w:rsidRDefault="00700697" w:rsidP="00700697">
      <w:pPr>
        <w:pStyle w:val="ListParagraph"/>
        <w:numPr>
          <w:ilvl w:val="1"/>
          <w:numId w:val="2"/>
        </w:numPr>
      </w:pPr>
      <w:r>
        <w:t>Bill text, sponsorship process/outcomes – substantive</w:t>
      </w:r>
    </w:p>
    <w:p w14:paraId="3BBDF9E9" w14:textId="503A02B8" w:rsidR="00700697" w:rsidRDefault="00700697" w:rsidP="00700697">
      <w:pPr>
        <w:pStyle w:val="ListParagraph"/>
        <w:numPr>
          <w:ilvl w:val="2"/>
          <w:numId w:val="2"/>
        </w:numPr>
      </w:pPr>
      <w:r>
        <w:t>Question of whether epistemic inclusion in discourse translates downstream to policy work</w:t>
      </w:r>
    </w:p>
    <w:p w14:paraId="48D26E83" w14:textId="7A2202CE" w:rsidR="00700697" w:rsidRPr="001A2455" w:rsidRDefault="00700697" w:rsidP="00700697">
      <w:pPr>
        <w:pStyle w:val="ListParagraph"/>
        <w:numPr>
          <w:ilvl w:val="2"/>
          <w:numId w:val="2"/>
        </w:numPr>
      </w:pPr>
      <w:r>
        <w:t xml:space="preserve">Also </w:t>
      </w:r>
      <w:r w:rsidR="00087622">
        <w:t xml:space="preserve">is there a benefit in being able to ask: we know that CJ policy is produced. . . what do people who do CJ things say? </w:t>
      </w:r>
    </w:p>
    <w:sectPr w:rsidR="00700697" w:rsidRPr="001A2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1D8"/>
    <w:multiLevelType w:val="hybridMultilevel"/>
    <w:tmpl w:val="95044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CD63EF"/>
    <w:multiLevelType w:val="hybridMultilevel"/>
    <w:tmpl w:val="12ACB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737399">
    <w:abstractNumId w:val="1"/>
  </w:num>
  <w:num w:numId="2" w16cid:durableId="56244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EC"/>
    <w:rsid w:val="00087622"/>
    <w:rsid w:val="00111FF6"/>
    <w:rsid w:val="001A2455"/>
    <w:rsid w:val="001F6F97"/>
    <w:rsid w:val="0030716D"/>
    <w:rsid w:val="003150F8"/>
    <w:rsid w:val="00700697"/>
    <w:rsid w:val="007A17A7"/>
    <w:rsid w:val="007E02A7"/>
    <w:rsid w:val="008938EC"/>
    <w:rsid w:val="00B43BCA"/>
    <w:rsid w:val="00B87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BDB417"/>
  <w15:chartTrackingRefBased/>
  <w15:docId w15:val="{123428DC-FA23-D144-9B8D-E7DA3BA3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8EC"/>
    <w:rPr>
      <w:rFonts w:eastAsiaTheme="majorEastAsia" w:cstheme="majorBidi"/>
      <w:color w:val="272727" w:themeColor="text1" w:themeTint="D8"/>
    </w:rPr>
  </w:style>
  <w:style w:type="paragraph" w:styleId="Title">
    <w:name w:val="Title"/>
    <w:basedOn w:val="Normal"/>
    <w:next w:val="Normal"/>
    <w:link w:val="TitleChar"/>
    <w:uiPriority w:val="10"/>
    <w:qFormat/>
    <w:rsid w:val="00893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8EC"/>
    <w:pPr>
      <w:spacing w:before="160"/>
      <w:jc w:val="center"/>
    </w:pPr>
    <w:rPr>
      <w:i/>
      <w:iCs/>
      <w:color w:val="404040" w:themeColor="text1" w:themeTint="BF"/>
    </w:rPr>
  </w:style>
  <w:style w:type="character" w:customStyle="1" w:styleId="QuoteChar">
    <w:name w:val="Quote Char"/>
    <w:basedOn w:val="DefaultParagraphFont"/>
    <w:link w:val="Quote"/>
    <w:uiPriority w:val="29"/>
    <w:rsid w:val="008938EC"/>
    <w:rPr>
      <w:i/>
      <w:iCs/>
      <w:color w:val="404040" w:themeColor="text1" w:themeTint="BF"/>
    </w:rPr>
  </w:style>
  <w:style w:type="paragraph" w:styleId="ListParagraph">
    <w:name w:val="List Paragraph"/>
    <w:basedOn w:val="Normal"/>
    <w:uiPriority w:val="34"/>
    <w:qFormat/>
    <w:rsid w:val="008938EC"/>
    <w:pPr>
      <w:ind w:left="720"/>
      <w:contextualSpacing/>
    </w:pPr>
  </w:style>
  <w:style w:type="character" w:styleId="IntenseEmphasis">
    <w:name w:val="Intense Emphasis"/>
    <w:basedOn w:val="DefaultParagraphFont"/>
    <w:uiPriority w:val="21"/>
    <w:qFormat/>
    <w:rsid w:val="008938EC"/>
    <w:rPr>
      <w:i/>
      <w:iCs/>
      <w:color w:val="0F4761" w:themeColor="accent1" w:themeShade="BF"/>
    </w:rPr>
  </w:style>
  <w:style w:type="paragraph" w:styleId="IntenseQuote">
    <w:name w:val="Intense Quote"/>
    <w:basedOn w:val="Normal"/>
    <w:next w:val="Normal"/>
    <w:link w:val="IntenseQuoteChar"/>
    <w:uiPriority w:val="30"/>
    <w:qFormat/>
    <w:rsid w:val="0089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8EC"/>
    <w:rPr>
      <w:i/>
      <w:iCs/>
      <w:color w:val="0F4761" w:themeColor="accent1" w:themeShade="BF"/>
    </w:rPr>
  </w:style>
  <w:style w:type="character" w:styleId="IntenseReference">
    <w:name w:val="Intense Reference"/>
    <w:basedOn w:val="DefaultParagraphFont"/>
    <w:uiPriority w:val="32"/>
    <w:qFormat/>
    <w:rsid w:val="008938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2169</Words>
  <Characters>2170</Characters>
  <Application>Microsoft Office Word</Application>
  <DocSecurity>0</DocSecurity>
  <Lines>2170</Lines>
  <Paragraphs>2169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2026-02-19T18:43:00Z</dcterms:created>
  <dcterms:modified xsi:type="dcterms:W3CDTF">2026-02-19T21:16:00Z</dcterms:modified>
</cp:coreProperties>
</file>