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EDE5" w14:textId="4A10CF45" w:rsidR="001554D9" w:rsidRDefault="00F97625">
      <w:r>
        <w:t>Fricker Notes</w:t>
      </w:r>
    </w:p>
    <w:p w14:paraId="65120954" w14:textId="77777777" w:rsidR="00F97625" w:rsidRDefault="00F97625"/>
    <w:p w14:paraId="56FC94BD" w14:textId="77777777" w:rsidR="00F97625" w:rsidRDefault="00F97625" w:rsidP="00F97625">
      <w:pPr>
        <w:pStyle w:val="font-claude-response-body"/>
      </w:pPr>
      <w:r>
        <w:t xml:space="preserve">Fricker distinguishes two forms of epistemic injustice, both of which wrong someone </w:t>
      </w:r>
      <w:r>
        <w:rPr>
          <w:rStyle w:val="Emphasis"/>
          <w:rFonts w:eastAsiaTheme="majorEastAsia"/>
        </w:rPr>
        <w:t>in their capacity as a knower</w:t>
      </w:r>
      <w:r>
        <w:t xml:space="preserve"> — not incidentally but fundamentally. This is the key move that makes her framework distinctively epistemic rather than just another distributive concern:</w:t>
      </w:r>
    </w:p>
    <w:p w14:paraId="32E2EBDB" w14:textId="77777777" w:rsidR="00F97625" w:rsidRDefault="00F97625" w:rsidP="00F97625">
      <w:pPr>
        <w:pStyle w:val="whitespace-normal"/>
        <w:numPr>
          <w:ilvl w:val="0"/>
          <w:numId w:val="1"/>
        </w:numPr>
      </w:pPr>
      <w:r>
        <w:rPr>
          <w:rStyle w:val="Strong"/>
          <w:rFonts w:eastAsiaTheme="majorEastAsia"/>
        </w:rPr>
        <w:t>Testimonial injustice</w:t>
      </w:r>
      <w:r>
        <w:t xml:space="preserve">: Prejudice causes a hearer to assign deflated credibility to a speaker's word. The central case is </w:t>
      </w:r>
      <w:r>
        <w:rPr>
          <w:rStyle w:val="Emphasis"/>
          <w:rFonts w:eastAsiaTheme="majorEastAsia"/>
        </w:rPr>
        <w:t>identity-prejudicial credibility deficit</w:t>
      </w:r>
      <w:r>
        <w:t xml:space="preserve"> — where the credibility deflation tracks the speaker's social identity (e.g., not being believed because you are Black). This is the form most directly picked up by Pottle (2025) when he talks about incarcerated people being constructed as "uncredible" knowers.</w:t>
      </w:r>
    </w:p>
    <w:p w14:paraId="467EF831" w14:textId="77777777" w:rsidR="00F97625" w:rsidRDefault="00F97625" w:rsidP="00F97625">
      <w:pPr>
        <w:pStyle w:val="whitespace-normal"/>
        <w:numPr>
          <w:ilvl w:val="0"/>
          <w:numId w:val="1"/>
        </w:numPr>
      </w:pPr>
      <w:r>
        <w:rPr>
          <w:rStyle w:val="Strong"/>
          <w:rFonts w:eastAsiaTheme="majorEastAsia"/>
        </w:rPr>
        <w:t>Hermeneutical injustice</w:t>
      </w:r>
      <w:r>
        <w:t xml:space="preserve">: A </w:t>
      </w:r>
      <w:r>
        <w:rPr>
          <w:rStyle w:val="Emphasis"/>
          <w:rFonts w:eastAsiaTheme="majorEastAsia"/>
        </w:rPr>
        <w:t>prior-stage</w:t>
      </w:r>
      <w:r>
        <w:t xml:space="preserve"> problem — gaps in collective interpretive resources put someone at an unfair disadvantage in making sense of their own social experiences. The canonical example is suffering sexual harassment before that concept exists. This maps onto what you're describing when carceral citizens' "dual knowledge" of state power has no available interpretive frame within legislative discourse.</w:t>
      </w:r>
    </w:p>
    <w:p w14:paraId="10043C28" w14:textId="77777777" w:rsidR="00F97625" w:rsidRDefault="00F97625" w:rsidP="00F97625">
      <w:pPr>
        <w:pStyle w:val="font-claude-response-body"/>
      </w:pPr>
      <w:r>
        <w:rPr>
          <w:rStyle w:val="Strong"/>
          <w:rFonts w:eastAsiaTheme="majorEastAsia"/>
        </w:rPr>
        <w:t>What's Most Useful for Your Framework</w:t>
      </w:r>
    </w:p>
    <w:p w14:paraId="0D848188" w14:textId="77777777" w:rsidR="00F97625" w:rsidRDefault="00F97625" w:rsidP="00F97625">
      <w:pPr>
        <w:pStyle w:val="font-claude-response-body"/>
      </w:pPr>
      <w:r>
        <w:t>A few things jumped out as directly relevant to your tiered framework (symbolic inclusion → epistemic inclusion → responsiveness):</w:t>
      </w:r>
    </w:p>
    <w:p w14:paraId="2F69FE52" w14:textId="77777777" w:rsidR="00F97625" w:rsidRDefault="00F97625" w:rsidP="00F97625">
      <w:pPr>
        <w:pStyle w:val="font-claude-response-body"/>
      </w:pPr>
      <w:r>
        <w:rPr>
          <w:rStyle w:val="Emphasis"/>
          <w:rFonts w:eastAsiaTheme="majorEastAsia"/>
        </w:rPr>
        <w:t>The "capacity as a knower" framing.</w:t>
      </w:r>
      <w:r>
        <w:t xml:space="preserve"> Fricker insists that epistemic injustice wrongs someone in a capacity "essential to human value." This gives you philosophical grounding for why the distinction between symbolic recognition (acknowledging existence) and epistemic inclusion (treating someone as a knower) matters normatively. When legislators invoke incarcerated people as policy objects rather than as epistemic contributors, Fricker would characterize this as a wrong done to them </w:t>
      </w:r>
      <w:r>
        <w:rPr>
          <w:rStyle w:val="Emphasis"/>
          <w:rFonts w:eastAsiaTheme="majorEastAsia"/>
        </w:rPr>
        <w:t>as knowers</w:t>
      </w:r>
      <w:r>
        <w:t xml:space="preserve"> — not just a political failure but a harm to something essential about their personhood. This strengthens the stakes of your coding distinction between "explicit" and "implicit" recognition types.</w:t>
      </w:r>
    </w:p>
    <w:p w14:paraId="104E674F" w14:textId="77777777" w:rsidR="00F97625" w:rsidRDefault="00F97625" w:rsidP="00F97625">
      <w:pPr>
        <w:pStyle w:val="font-claude-response-body"/>
      </w:pPr>
      <w:r>
        <w:rPr>
          <w:rStyle w:val="Emphasis"/>
          <w:rFonts w:eastAsiaTheme="majorEastAsia"/>
        </w:rPr>
        <w:t>The structural vs. individual distinction.</w:t>
      </w:r>
      <w:r>
        <w:t xml:space="preserve"> Fricker is careful to note that hermeneutical injustice is </w:t>
      </w:r>
      <w:r>
        <w:rPr>
          <w:rStyle w:val="Emphasis"/>
          <w:rFonts w:eastAsiaTheme="majorEastAsia"/>
        </w:rPr>
        <w:t>not perpetrated by individuals</w:t>
      </w:r>
      <w:r>
        <w:t xml:space="preserve"> — it emerges from structural gaps in collective interpretive resources. This parallels your argument (via Pottle) that epistemic exclusion of carceral citizens is path-dependent and structurally embedded in electoral incentives rather than a matter of individual legislator prejudice. It also supports your move to examine institutional venues and district-level variation rather than just individual legislator behavior.</w:t>
      </w:r>
    </w:p>
    <w:p w14:paraId="2ADDFB2C" w14:textId="77777777" w:rsidR="00F97625" w:rsidRDefault="00F97625" w:rsidP="00F97625">
      <w:pPr>
        <w:pStyle w:val="font-claude-response-body"/>
      </w:pPr>
      <w:r>
        <w:rPr>
          <w:rStyle w:val="Emphasis"/>
          <w:rFonts w:eastAsiaTheme="majorEastAsia"/>
        </w:rPr>
        <w:t>The "socially situated" epistemology.</w:t>
      </w:r>
      <w:r>
        <w:t xml:space="preserve"> Fricker's methodological commitment — conceiving participants "not in abstraction from relations of social power... but as operating as social types who stand in relations of power to one another" — is essentially the theoretical posture your entire project adopts. She's arguing against the abstracted rational individualism of traditional epistemology; you're arguing against the abstracted rational individualism of traditional </w:t>
      </w:r>
      <w:r>
        <w:lastRenderedPageBreak/>
        <w:t>representation theory (where legislators are assumed to be able to perceive constituent interests neutrally). This is a nice parallel worth noting.</w:t>
      </w:r>
    </w:p>
    <w:p w14:paraId="20F986AD" w14:textId="77777777" w:rsidR="00F97625" w:rsidRDefault="00F97625" w:rsidP="00F97625">
      <w:pPr>
        <w:pStyle w:val="font-claude-response-body"/>
      </w:pPr>
      <w:r>
        <w:rPr>
          <w:rStyle w:val="Emphasis"/>
          <w:rFonts w:eastAsiaTheme="majorEastAsia"/>
        </w:rPr>
        <w:t>Identity power.</w:t>
      </w:r>
      <w:r>
        <w:t xml:space="preserve"> Fricker defines a subspecies of social power she calls "identity power" — power directly dependent on shared social-imaginative conceptions of social identities. This concept is relevant to your analysis of how racialized frames and imaginations shape legislative perception of carceral citizens. The stigmatization and racialization of criminality you discuss (via Smiley 2016, Weaver and Hinton 2020) operates precisely through Fricker's identity power.</w:t>
      </w:r>
    </w:p>
    <w:p w14:paraId="1FB05D76" w14:textId="77777777" w:rsidR="00F97625" w:rsidRDefault="00F97625" w:rsidP="00F97625">
      <w:pPr>
        <w:pStyle w:val="font-claude-response-body"/>
      </w:pPr>
      <w:r>
        <w:rPr>
          <w:rStyle w:val="Strong"/>
          <w:rFonts w:eastAsiaTheme="majorEastAsia"/>
        </w:rPr>
        <w:t>Connections to Your "Constitutive" Move via Disch</w:t>
      </w:r>
    </w:p>
    <w:p w14:paraId="4BFE3DB3" w14:textId="77777777" w:rsidR="00F97625" w:rsidRDefault="00F97625" w:rsidP="00F97625">
      <w:pPr>
        <w:pStyle w:val="font-claude-response-body"/>
      </w:pPr>
      <w:r>
        <w:t xml:space="preserve">There's a productive tension here worth thinking through. Fricker's framework largely assumes a </w:t>
      </w:r>
      <w:r>
        <w:rPr>
          <w:rStyle w:val="Emphasis"/>
          <w:rFonts w:eastAsiaTheme="majorEastAsia"/>
        </w:rPr>
        <w:t>pre-existing</w:t>
      </w:r>
      <w:r>
        <w:t xml:space="preserve"> knower who is then wronged through credibility deflation or hermeneutical exclusion. Your Disch-influenced framework goes further by arguing that the act of representation </w:t>
      </w:r>
      <w:r>
        <w:rPr>
          <w:rStyle w:val="Emphasis"/>
          <w:rFonts w:eastAsiaTheme="majorEastAsia"/>
        </w:rPr>
        <w:t>constitutes</w:t>
      </w:r>
      <w:r>
        <w:t xml:space="preserve"> who counts as a political subject in the first place. So for carceral citizens, the question isn't just "are they given proper credibility when they speak?" (testimonial injustice) or "do they lack interpretive resources?" (hermeneutical injustice) — it's whether the representational act itself constructs them as </w:t>
      </w:r>
      <w:r>
        <w:rPr>
          <w:rStyle w:val="Emphasis"/>
          <w:rFonts w:eastAsiaTheme="majorEastAsia"/>
        </w:rPr>
        <w:t>within the political community at all</w:t>
      </w:r>
      <w:r>
        <w:t>. Your Tier 1 question (whether legislators constitute carceral citizens in their representational imaginary) is actually logically prior to both of Fricker's forms. That's a strong theoretical contribution to flag.</w:t>
      </w:r>
    </w:p>
    <w:p w14:paraId="7391E0F4" w14:textId="77777777" w:rsidR="00F97625" w:rsidRDefault="00F97625" w:rsidP="00F97625">
      <w:pPr>
        <w:pStyle w:val="font-claude-response-body"/>
      </w:pPr>
      <w:r>
        <w:rPr>
          <w:rStyle w:val="Strong"/>
          <w:rFonts w:eastAsiaTheme="majorEastAsia"/>
        </w:rPr>
        <w:t>The Virtue Framework — Less Directly Relevant but Worth Noting</w:t>
      </w:r>
    </w:p>
    <w:p w14:paraId="3E6FE42E" w14:textId="77777777" w:rsidR="00F97625" w:rsidRDefault="00F97625" w:rsidP="00F97625">
      <w:pPr>
        <w:pStyle w:val="font-claude-response-body"/>
      </w:pPr>
      <w:r>
        <w:t xml:space="preserve">Much of the introduction previews Fricker's virtue epistemology framework (the "virtuous hearer" who corrects for prejudice, the virtues of testimonial and hermeneutical justice). This is less directly applicable to your project, which focuses on structural and institutional dynamics rather than individual ethical dispositions. However, her concept of the </w:t>
      </w:r>
      <w:r>
        <w:rPr>
          <w:rStyle w:val="Emphasis"/>
          <w:rFonts w:eastAsiaTheme="majorEastAsia"/>
        </w:rPr>
        <w:t>virtue of hermeneutical justice</w:t>
      </w:r>
      <w:r>
        <w:t xml:space="preserve"> — where a hearer exercises "reflexive critical sensitivity to any reduced intelligibility incurred by the speaker owing to a gap in collective hermeneutical resources" — does describe something like what Pressley and Miranda are doing when they actively seek out carceral community knowledge and center it in their legislative work. They're exercising something very close to Fricker's hermeneutical justice as a representational practice.</w:t>
      </w:r>
    </w:p>
    <w:p w14:paraId="659195FF" w14:textId="77777777" w:rsidR="00F97625" w:rsidRDefault="00F97625" w:rsidP="00F97625">
      <w:pPr>
        <w:pStyle w:val="font-claude-response-body"/>
      </w:pPr>
      <w:r>
        <w:rPr>
          <w:rStyle w:val="Strong"/>
          <w:rFonts w:eastAsiaTheme="majorEastAsia"/>
        </w:rPr>
        <w:t>Closing Observation for Your Theory Chapter</w:t>
      </w:r>
    </w:p>
    <w:p w14:paraId="1D3436F3" w14:textId="77777777" w:rsidR="00F97625" w:rsidRDefault="00F97625" w:rsidP="00F97625">
      <w:pPr>
        <w:pStyle w:val="font-claude-response-body"/>
      </w:pPr>
      <w:r>
        <w:t>Fricker closes by noting that individual virtues have limits when "the root cause of epistemic injustice is structures of unequal power and the systemic prejudices they generate" — eradication requires "collective social political change." This mirrors the structural logic of your project: even if individual legislators like Pressley exercise epistemic virtues, the electoral incentive structure systematically produces epistemic exclusion of low-strategic-value groups. The ethical is political, as Fricker says — and in your case, the political is institutional.</w:t>
      </w:r>
    </w:p>
    <w:p w14:paraId="4FA8EA9A"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 xml:space="preserve">1. Weaver, Prowse &amp; Piston (2019) — </w:t>
      </w:r>
      <w:r w:rsidRPr="00F97625">
        <w:rPr>
          <w:rFonts w:ascii="Times New Roman" w:eastAsia="Times New Roman" w:hAnsi="Times New Roman" w:cs="Times New Roman"/>
          <w:b/>
          <w:bCs/>
          <w:i/>
          <w:iCs/>
          <w:kern w:val="36"/>
          <w:sz w:val="48"/>
          <w:szCs w:val="48"/>
          <w14:ligatures w14:val="none"/>
        </w:rPr>
        <w:t>Too Much Knowledge, Too Little Power</w:t>
      </w:r>
    </w:p>
    <w:p w14:paraId="1E3CEC44"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lastRenderedPageBreak/>
        <w:t>What the article actually argues (clean summary)</w:t>
      </w:r>
    </w:p>
    <w:p w14:paraId="2240A9C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piece directly strengthens your </w:t>
      </w:r>
      <w:r w:rsidRPr="00F97625">
        <w:rPr>
          <w:rFonts w:ascii="Times New Roman" w:eastAsia="Times New Roman" w:hAnsi="Times New Roman" w:cs="Times New Roman"/>
          <w:b/>
          <w:bCs/>
          <w:kern w:val="0"/>
          <w14:ligatures w14:val="none"/>
        </w:rPr>
        <w:t>epistemic inclusion</w:t>
      </w:r>
      <w:r w:rsidRPr="00F97625">
        <w:rPr>
          <w:rFonts w:ascii="Times New Roman" w:eastAsia="Times New Roman" w:hAnsi="Times New Roman" w:cs="Times New Roman"/>
          <w:kern w:val="0"/>
          <w14:ligatures w14:val="none"/>
        </w:rPr>
        <w:t xml:space="preserve"> frame. Its core contributions:</w:t>
      </w:r>
    </w:p>
    <w:p w14:paraId="25BDC5D5"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A. Dual Knowledge</w:t>
      </w:r>
    </w:p>
    <w:p w14:paraId="7C5B38F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Residents of highly policed communities hold </w:t>
      </w:r>
      <w:r w:rsidRPr="00F97625">
        <w:rPr>
          <w:rFonts w:ascii="Times New Roman" w:eastAsia="Times New Roman" w:hAnsi="Times New Roman" w:cs="Times New Roman"/>
          <w:i/>
          <w:iCs/>
          <w:kern w:val="0"/>
          <w14:ligatures w14:val="none"/>
        </w:rPr>
        <w:t>two</w:t>
      </w:r>
      <w:r w:rsidRPr="00F97625">
        <w:rPr>
          <w:rFonts w:ascii="Times New Roman" w:eastAsia="Times New Roman" w:hAnsi="Times New Roman" w:cs="Times New Roman"/>
          <w:kern w:val="0"/>
          <w14:ligatures w14:val="none"/>
        </w:rPr>
        <w:t xml:space="preserve"> forms of political knowledge:</w:t>
      </w:r>
    </w:p>
    <w:p w14:paraId="52A66674" w14:textId="77777777" w:rsidR="00F97625" w:rsidRPr="00F97625" w:rsidRDefault="00F97625" w:rsidP="00F976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Official / formal rules</w:t>
      </w:r>
      <w:r w:rsidRPr="00F97625">
        <w:rPr>
          <w:rFonts w:ascii="Times New Roman" w:eastAsia="Times New Roman" w:hAnsi="Times New Roman" w:cs="Times New Roman"/>
          <w:kern w:val="0"/>
          <w14:ligatures w14:val="none"/>
        </w:rPr>
        <w:t xml:space="preserve"> of democratic governance </w:t>
      </w:r>
    </w:p>
    <w:p w14:paraId="54B5457C" w14:textId="77777777" w:rsidR="00F97625" w:rsidRPr="00F97625" w:rsidRDefault="00F97625" w:rsidP="00F976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Lived / experiential rules</w:t>
      </w:r>
      <w:r w:rsidRPr="00F97625">
        <w:rPr>
          <w:rFonts w:ascii="Times New Roman" w:eastAsia="Times New Roman" w:hAnsi="Times New Roman" w:cs="Times New Roman"/>
          <w:kern w:val="0"/>
          <w14:ligatures w14:val="none"/>
        </w:rPr>
        <w:t xml:space="preserve"> (“the hidden curriculum”) — i.e., how the state </w:t>
      </w:r>
      <w:r w:rsidRPr="00F97625">
        <w:rPr>
          <w:rFonts w:ascii="Times New Roman" w:eastAsia="Times New Roman" w:hAnsi="Times New Roman" w:cs="Times New Roman"/>
          <w:i/>
          <w:iCs/>
          <w:kern w:val="0"/>
          <w14:ligatures w14:val="none"/>
        </w:rPr>
        <w:t>actually</w:t>
      </w:r>
      <w:r w:rsidRPr="00F97625">
        <w:rPr>
          <w:rFonts w:ascii="Times New Roman" w:eastAsia="Times New Roman" w:hAnsi="Times New Roman" w:cs="Times New Roman"/>
          <w:kern w:val="0"/>
          <w14:ligatures w14:val="none"/>
        </w:rPr>
        <w:t xml:space="preserve"> operates for them </w:t>
      </w:r>
    </w:p>
    <w:p w14:paraId="49377B9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“dual knowledge” is:</w:t>
      </w:r>
    </w:p>
    <w:p w14:paraId="708E2081" w14:textId="77777777" w:rsidR="00F97625" w:rsidRPr="00F97625" w:rsidRDefault="00F97625" w:rsidP="00F976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involuntarily acquired </w:t>
      </w:r>
    </w:p>
    <w:p w14:paraId="1781F957" w14:textId="77777777" w:rsidR="00F97625" w:rsidRPr="00F97625" w:rsidRDefault="00F97625" w:rsidP="00F976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precise and detailed </w:t>
      </w:r>
    </w:p>
    <w:p w14:paraId="70473779" w14:textId="77777777" w:rsidR="00F97625" w:rsidRPr="00F97625" w:rsidRDefault="00F97625" w:rsidP="00F976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often more accurate about </w:t>
      </w:r>
      <w:r w:rsidRPr="00F97625">
        <w:rPr>
          <w:rFonts w:ascii="Times New Roman" w:eastAsia="Times New Roman" w:hAnsi="Times New Roman" w:cs="Times New Roman"/>
          <w:i/>
          <w:iCs/>
          <w:kern w:val="0"/>
          <w14:ligatures w14:val="none"/>
        </w:rPr>
        <w:t>street-level governance</w:t>
      </w:r>
      <w:r w:rsidRPr="00F97625">
        <w:rPr>
          <w:rFonts w:ascii="Times New Roman" w:eastAsia="Times New Roman" w:hAnsi="Times New Roman" w:cs="Times New Roman"/>
          <w:kern w:val="0"/>
          <w14:ligatures w14:val="none"/>
        </w:rPr>
        <w:t xml:space="preserve"> than the forms of civic knowledge political scientists typically valorize </w:t>
      </w:r>
    </w:p>
    <w:p w14:paraId="772817FC"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 Knowledge Produced Through Coercive Contact, Not Civic Inclusion</w:t>
      </w:r>
    </w:p>
    <w:p w14:paraId="582D287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Knowledge in policed communities emerges through:</w:t>
      </w:r>
    </w:p>
    <w:p w14:paraId="57772CAF" w14:textId="77777777" w:rsidR="00F97625" w:rsidRPr="00F97625" w:rsidRDefault="00F97625" w:rsidP="00F976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stops, searches, arrest, detention </w:t>
      </w:r>
    </w:p>
    <w:p w14:paraId="11FA1749" w14:textId="77777777" w:rsidR="00F97625" w:rsidRPr="00F97625" w:rsidRDefault="00F97625" w:rsidP="00F976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witnessing or vicariously experiencing police violence </w:t>
      </w:r>
    </w:p>
    <w:p w14:paraId="425BF99A" w14:textId="77777777" w:rsidR="00F97625" w:rsidRPr="00F97625" w:rsidRDefault="00F97625" w:rsidP="00F976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bureaucratic exposure (complaint systems, hearings, courtrooms) </w:t>
      </w:r>
    </w:p>
    <w:p w14:paraId="5D83579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is policy feedback </w:t>
      </w:r>
      <w:r w:rsidRPr="00F97625">
        <w:rPr>
          <w:rFonts w:ascii="Times New Roman" w:eastAsia="Times New Roman" w:hAnsi="Times New Roman" w:cs="Times New Roman"/>
          <w:i/>
          <w:iCs/>
          <w:kern w:val="0"/>
          <w14:ligatures w14:val="none"/>
        </w:rPr>
        <w:t>of the carceral state</w:t>
      </w:r>
      <w:r w:rsidRPr="00F97625">
        <w:rPr>
          <w:rFonts w:ascii="Times New Roman" w:eastAsia="Times New Roman" w:hAnsi="Times New Roman" w:cs="Times New Roman"/>
          <w:kern w:val="0"/>
          <w14:ligatures w14:val="none"/>
        </w:rPr>
        <w:t>: the state teaches people what kind of state it is.</w:t>
      </w:r>
    </w:p>
    <w:p w14:paraId="12C53DF7"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C. Knowledge Used for Self-Protection, Not Participation</w:t>
      </w:r>
    </w:p>
    <w:p w14:paraId="33E6DFF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your strongest theoretical bridge.</w:t>
      </w:r>
    </w:p>
    <w:p w14:paraId="3B2B835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Residents use political knowledge to:</w:t>
      </w:r>
    </w:p>
    <w:p w14:paraId="0F5979D2" w14:textId="77777777" w:rsidR="00F97625" w:rsidRPr="00F97625" w:rsidRDefault="00F97625" w:rsidP="00F976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avoid the state </w:t>
      </w:r>
    </w:p>
    <w:p w14:paraId="76A31406" w14:textId="77777777" w:rsidR="00F97625" w:rsidRPr="00F97625" w:rsidRDefault="00F97625" w:rsidP="00F976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navigate threat </w:t>
      </w:r>
    </w:p>
    <w:p w14:paraId="694426DC" w14:textId="77777777" w:rsidR="00F97625" w:rsidRPr="00F97625" w:rsidRDefault="00F97625" w:rsidP="00F976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survive encounters </w:t>
      </w:r>
    </w:p>
    <w:p w14:paraId="7693A95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Not to:</w:t>
      </w:r>
    </w:p>
    <w:p w14:paraId="19D4BCF6" w14:textId="77777777" w:rsidR="00F97625" w:rsidRPr="00F97625" w:rsidRDefault="00F97625" w:rsidP="00F976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form preferences to be transmitted to officials </w:t>
      </w:r>
    </w:p>
    <w:p w14:paraId="1161E5FD" w14:textId="77777777" w:rsidR="00F97625" w:rsidRPr="00F97625" w:rsidRDefault="00F97625" w:rsidP="00F976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express voice </w:t>
      </w:r>
    </w:p>
    <w:p w14:paraId="73C0CC5C" w14:textId="77777777" w:rsidR="00F97625" w:rsidRPr="00F97625" w:rsidRDefault="00F97625" w:rsidP="00F976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influence policy </w:t>
      </w:r>
    </w:p>
    <w:p w14:paraId="466CE12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 xml:space="preserve">This aligns beautifully with your </w:t>
      </w:r>
      <w:r w:rsidRPr="00F97625">
        <w:rPr>
          <w:rFonts w:ascii="Times New Roman" w:eastAsia="Times New Roman" w:hAnsi="Times New Roman" w:cs="Times New Roman"/>
          <w:i/>
          <w:iCs/>
          <w:kern w:val="0"/>
          <w14:ligatures w14:val="none"/>
        </w:rPr>
        <w:t>epistemic exclusion</w:t>
      </w:r>
      <w:r w:rsidRPr="00F97625">
        <w:rPr>
          <w:rFonts w:ascii="Times New Roman" w:eastAsia="Times New Roman" w:hAnsi="Times New Roman" w:cs="Times New Roman"/>
          <w:kern w:val="0"/>
          <w14:ligatures w14:val="none"/>
        </w:rPr>
        <w:t xml:space="preserve"> argument: they have “too much knowledge, too little power.”</w:t>
      </w:r>
    </w:p>
    <w:p w14:paraId="5A0584A1"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D. Implications for Representation</w:t>
      </w:r>
    </w:p>
    <w:p w14:paraId="20BE05E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 article implicitly argues:</w:t>
      </w:r>
    </w:p>
    <w:p w14:paraId="34F65573" w14:textId="77777777" w:rsidR="00F97625" w:rsidRPr="00F97625" w:rsidRDefault="00F97625" w:rsidP="00F976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Existing measures of political knowledge miss entire domains that matter for democratic inclusion. </w:t>
      </w:r>
    </w:p>
    <w:p w14:paraId="6938FC62" w14:textId="77777777" w:rsidR="00F97625" w:rsidRPr="00F97625" w:rsidRDefault="00F97625" w:rsidP="00F976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Scholars and policymakers ignore the experiential epistemic authority of marginalized communities. </w:t>
      </w:r>
    </w:p>
    <w:p w14:paraId="4A37331D" w14:textId="77777777" w:rsidR="00F97625" w:rsidRPr="00F97625" w:rsidRDefault="00F97625" w:rsidP="00F976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creates a second-order democratic deficit: highly informed citizens are structurally prevented from being recognized as knowers. </w:t>
      </w:r>
    </w:p>
    <w:p w14:paraId="42B0AE8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gives you a powerful justification for studying </w:t>
      </w:r>
      <w:r w:rsidRPr="00F97625">
        <w:rPr>
          <w:rFonts w:ascii="Times New Roman" w:eastAsia="Times New Roman" w:hAnsi="Times New Roman" w:cs="Times New Roman"/>
          <w:b/>
          <w:bCs/>
          <w:kern w:val="0"/>
          <w14:ligatures w14:val="none"/>
        </w:rPr>
        <w:t>epistemic justice and representation</w:t>
      </w:r>
      <w:r w:rsidRPr="00F97625">
        <w:rPr>
          <w:rFonts w:ascii="Times New Roman" w:eastAsia="Times New Roman" w:hAnsi="Times New Roman" w:cs="Times New Roman"/>
          <w:kern w:val="0"/>
          <w14:ligatures w14:val="none"/>
        </w:rPr>
        <w:t xml:space="preserve"> in the context of incarceration.</w:t>
      </w:r>
    </w:p>
    <w:p w14:paraId="0F239C4D"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3A8B491E">
          <v:rect id="_x0000_i1025" style="width:0;height:1.5pt" o:hralign="center" o:hrstd="t" o:hr="t" fillcolor="#a0a0a0" stroked="f"/>
        </w:pict>
      </w:r>
    </w:p>
    <w:p w14:paraId="642FFF1A"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How you can use this article in your pitch</w:t>
      </w:r>
    </w:p>
    <w:p w14:paraId="205A6D14"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Stakes Paragraph</w:t>
      </w:r>
    </w:p>
    <w:p w14:paraId="4817499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say:</w:t>
      </w:r>
    </w:p>
    <w:p w14:paraId="406E2D72" w14:textId="77777777" w:rsidR="00F97625" w:rsidRPr="00F97625" w:rsidRDefault="00F97625" w:rsidP="00F976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Democracy relies on constituents being recognized as </w:t>
      </w:r>
      <w:r w:rsidRPr="00F97625">
        <w:rPr>
          <w:rFonts w:ascii="Times New Roman" w:eastAsia="Times New Roman" w:hAnsi="Times New Roman" w:cs="Times New Roman"/>
          <w:i/>
          <w:iCs/>
          <w:kern w:val="0"/>
          <w14:ligatures w14:val="none"/>
        </w:rPr>
        <w:t>legitimate knowers</w:t>
      </w:r>
      <w:r w:rsidRPr="00F97625">
        <w:rPr>
          <w:rFonts w:ascii="Times New Roman" w:eastAsia="Times New Roman" w:hAnsi="Times New Roman" w:cs="Times New Roman"/>
          <w:kern w:val="0"/>
          <w14:ligatures w14:val="none"/>
        </w:rPr>
        <w:t xml:space="preserve"> whose experiences structure what representatives see as relevant. </w:t>
      </w:r>
    </w:p>
    <w:p w14:paraId="5DD24C39" w14:textId="77777777" w:rsidR="00F97625" w:rsidRPr="00F97625" w:rsidRDefault="00F97625" w:rsidP="00F976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Yet carceral contact generates political knowledge through domination, not democratic participation. </w:t>
      </w:r>
    </w:p>
    <w:p w14:paraId="67C3106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Puzzle / Gap Section</w:t>
      </w:r>
    </w:p>
    <w:p w14:paraId="415A311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We have systematic evidence (Weaver et al.) that:</w:t>
      </w:r>
    </w:p>
    <w:p w14:paraId="3C1B079E" w14:textId="77777777" w:rsidR="00F97625" w:rsidRPr="00F97625" w:rsidRDefault="00F97625" w:rsidP="00F976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highly policed communities possess well-developed political interpretations </w:t>
      </w:r>
    </w:p>
    <w:p w14:paraId="74000951" w14:textId="77777777" w:rsidR="00F97625" w:rsidRPr="00F97625" w:rsidRDefault="00F97625" w:rsidP="00F976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but legislators have no mechanisms or incentives to treat these interpretations as authoritative </w:t>
      </w:r>
    </w:p>
    <w:p w14:paraId="40726F39" w14:textId="77777777" w:rsidR="00F97625" w:rsidRPr="00F97625" w:rsidRDefault="00F97625" w:rsidP="00F9762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and virtually no scholarship asks whether such communities are recognized as political constituents at all </w:t>
      </w:r>
    </w:p>
    <w:p w14:paraId="0121AED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 can frame symbolic and epistemic exclusion of incarcerated people as a </w:t>
      </w:r>
      <w:r w:rsidRPr="00F97625">
        <w:rPr>
          <w:rFonts w:ascii="Times New Roman" w:eastAsia="Times New Roman" w:hAnsi="Times New Roman" w:cs="Times New Roman"/>
          <w:b/>
          <w:bCs/>
          <w:kern w:val="0"/>
          <w14:ligatures w14:val="none"/>
        </w:rPr>
        <w:t>natural extension of the same pattern</w:t>
      </w:r>
      <w:r w:rsidRPr="00F97625">
        <w:rPr>
          <w:rFonts w:ascii="Times New Roman" w:eastAsia="Times New Roman" w:hAnsi="Times New Roman" w:cs="Times New Roman"/>
          <w:kern w:val="0"/>
          <w14:ligatures w14:val="none"/>
        </w:rPr>
        <w:t xml:space="preserve"> Weaver et al. document.</w:t>
      </w:r>
    </w:p>
    <w:p w14:paraId="043DD689"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Your Theory Section</w:t>
      </w:r>
    </w:p>
    <w:p w14:paraId="535C0A7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You can cite Weaver et al. to argue:</w:t>
      </w:r>
    </w:p>
    <w:p w14:paraId="0D0AE552" w14:textId="77777777" w:rsidR="00F97625" w:rsidRPr="00F97625" w:rsidRDefault="00F97625" w:rsidP="00F976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“epistemic inclusion” is not simply whether legislators </w:t>
      </w:r>
      <w:r w:rsidRPr="00F97625">
        <w:rPr>
          <w:rFonts w:ascii="Times New Roman" w:eastAsia="Times New Roman" w:hAnsi="Times New Roman" w:cs="Times New Roman"/>
          <w:i/>
          <w:iCs/>
          <w:kern w:val="0"/>
          <w14:ligatures w14:val="none"/>
        </w:rPr>
        <w:t>hear from</w:t>
      </w:r>
      <w:r w:rsidRPr="00F97625">
        <w:rPr>
          <w:rFonts w:ascii="Times New Roman" w:eastAsia="Times New Roman" w:hAnsi="Times New Roman" w:cs="Times New Roman"/>
          <w:kern w:val="0"/>
          <w14:ligatures w14:val="none"/>
        </w:rPr>
        <w:t xml:space="preserve"> a group, but whether they treat them as political </w:t>
      </w:r>
      <w:r w:rsidRPr="00F97625">
        <w:rPr>
          <w:rFonts w:ascii="Times New Roman" w:eastAsia="Times New Roman" w:hAnsi="Times New Roman" w:cs="Times New Roman"/>
          <w:i/>
          <w:iCs/>
          <w:kern w:val="0"/>
          <w14:ligatures w14:val="none"/>
        </w:rPr>
        <w:t>agents</w:t>
      </w:r>
      <w:r w:rsidRPr="00F97625">
        <w:rPr>
          <w:rFonts w:ascii="Times New Roman" w:eastAsia="Times New Roman" w:hAnsi="Times New Roman" w:cs="Times New Roman"/>
          <w:kern w:val="0"/>
          <w14:ligatures w14:val="none"/>
        </w:rPr>
        <w:t xml:space="preserve"> capable of generating relevant knowledge. </w:t>
      </w:r>
    </w:p>
    <w:p w14:paraId="760C2160" w14:textId="77777777" w:rsidR="00F97625" w:rsidRPr="00F97625" w:rsidRDefault="00F97625" w:rsidP="00F9762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Incorporating carceral citizens’ voices disrupts racialized “hidden curricula” legislators implicitly rely on. </w:t>
      </w:r>
    </w:p>
    <w:p w14:paraId="4A694E9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Your Methods Section</w:t>
      </w:r>
    </w:p>
    <w:p w14:paraId="44F9EF1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Weaver et al. justify focusing on </w:t>
      </w:r>
      <w:r w:rsidRPr="00F97625">
        <w:rPr>
          <w:rFonts w:ascii="Times New Roman" w:eastAsia="Times New Roman" w:hAnsi="Times New Roman" w:cs="Times New Roman"/>
          <w:i/>
          <w:iCs/>
          <w:kern w:val="0"/>
          <w14:ligatures w14:val="none"/>
        </w:rPr>
        <w:t>legislator-coded speech</w:t>
      </w:r>
      <w:r w:rsidRPr="00F97625">
        <w:rPr>
          <w:rFonts w:ascii="Times New Roman" w:eastAsia="Times New Roman" w:hAnsi="Times New Roman" w:cs="Times New Roman"/>
          <w:kern w:val="0"/>
          <w14:ligatures w14:val="none"/>
        </w:rPr>
        <w:t xml:space="preserve"> as a site of epistemic politics.</w:t>
      </w:r>
      <w:r w:rsidRPr="00F97625">
        <w:rPr>
          <w:rFonts w:ascii="Times New Roman" w:eastAsia="Times New Roman" w:hAnsi="Times New Roman" w:cs="Times New Roman"/>
          <w:kern w:val="0"/>
          <w14:ligatures w14:val="none"/>
        </w:rPr>
        <w:br/>
        <w:t>They demonstrate that:</w:t>
      </w:r>
    </w:p>
    <w:p w14:paraId="4355600D" w14:textId="77777777" w:rsidR="00F97625" w:rsidRPr="00F97625" w:rsidRDefault="00F97625" w:rsidP="00F976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recognition and knowledge transmission happen in everyday talk </w:t>
      </w:r>
    </w:p>
    <w:p w14:paraId="3D52BCBF" w14:textId="77777777" w:rsidR="00F97625" w:rsidRPr="00F97625" w:rsidRDefault="00F97625" w:rsidP="00F9762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public speech is a key site where the state’s two “faces” are performed </w:t>
      </w:r>
    </w:p>
    <w:p w14:paraId="2A1FC60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Thus your coding of symbolic, distancing, and centering recognition plugs directly into their conceptual apparatus.</w:t>
      </w:r>
    </w:p>
    <w:p w14:paraId="1FFDB252"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0C80D31A">
          <v:rect id="_x0000_i1026" style="width:0;height:1.5pt" o:hralign="center" o:hrstd="t" o:hr="t" fillcolor="#a0a0a0" stroked="f"/>
        </w:pict>
      </w:r>
    </w:p>
    <w:p w14:paraId="62AEC635"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Language elements you can borrow to appeal to non-specialists</w:t>
      </w:r>
    </w:p>
    <w:p w14:paraId="65F6D7F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Weaver et al. write with:</w:t>
      </w:r>
    </w:p>
    <w:p w14:paraId="49C7EA1C" w14:textId="77777777" w:rsidR="00F97625" w:rsidRPr="00F97625" w:rsidRDefault="00F97625" w:rsidP="00F976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short, declarative sentences </w:t>
      </w:r>
    </w:p>
    <w:p w14:paraId="156D03AC" w14:textId="77777777" w:rsidR="00F97625" w:rsidRPr="00F97625" w:rsidRDefault="00F97625" w:rsidP="00F976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minimal jargon </w:t>
      </w:r>
    </w:p>
    <w:p w14:paraId="1232AC9D" w14:textId="77777777" w:rsidR="00F97625" w:rsidRPr="00F97625" w:rsidRDefault="00F97625" w:rsidP="00F976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morally clear stakes </w:t>
      </w:r>
    </w:p>
    <w:p w14:paraId="3D14AF51" w14:textId="77777777" w:rsidR="00F97625" w:rsidRPr="00F97625" w:rsidRDefault="00F97625" w:rsidP="00F9762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rich description grounded in lived experience </w:t>
      </w:r>
    </w:p>
    <w:p w14:paraId="5D969DA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emulate:</w:t>
      </w:r>
    </w:p>
    <w:p w14:paraId="762BDB39" w14:textId="77777777" w:rsidR="00F97625" w:rsidRPr="00F97625" w:rsidRDefault="00F97625" w:rsidP="00F976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“dual knowledge,” </w:t>
      </w:r>
    </w:p>
    <w:p w14:paraId="0B8610B2" w14:textId="77777777" w:rsidR="00F97625" w:rsidRPr="00F97625" w:rsidRDefault="00F97625" w:rsidP="00F976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 hidden curriculum,” </w:t>
      </w:r>
    </w:p>
    <w:p w14:paraId="313B413A" w14:textId="77777777" w:rsidR="00F97625" w:rsidRPr="00F97625" w:rsidRDefault="00F97625" w:rsidP="00F976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the state actually operates,” </w:t>
      </w:r>
    </w:p>
    <w:p w14:paraId="49420943" w14:textId="77777777" w:rsidR="00F97625" w:rsidRPr="00F97625" w:rsidRDefault="00F97625" w:rsidP="00F976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“knowledge imposed rather than invited,” </w:t>
      </w:r>
    </w:p>
    <w:p w14:paraId="056A3C37" w14:textId="77777777" w:rsidR="00F97625" w:rsidRPr="00F97625" w:rsidRDefault="00F97625" w:rsidP="00F9762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“too much knowledge, too little power.” </w:t>
      </w:r>
    </w:p>
    <w:p w14:paraId="5794BA8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These resonate strongly with grant audiences.</w:t>
      </w:r>
    </w:p>
    <w:p w14:paraId="7FC4E837"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452F3FB2">
          <v:rect id="_x0000_i1027" style="width:0;height:1.5pt" o:hralign="center" o:hrstd="t" o:hr="t" fillcolor="#a0a0a0" stroked="f"/>
        </w:pict>
      </w:r>
    </w:p>
    <w:p w14:paraId="400D8D00"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lastRenderedPageBreak/>
        <w:t xml:space="preserve">2. Carnes &amp; Lupu (2023) — </w:t>
      </w:r>
      <w:r w:rsidRPr="00F97625">
        <w:rPr>
          <w:rFonts w:ascii="Times New Roman" w:eastAsia="Times New Roman" w:hAnsi="Times New Roman" w:cs="Times New Roman"/>
          <w:b/>
          <w:bCs/>
          <w:i/>
          <w:iCs/>
          <w:kern w:val="36"/>
          <w:sz w:val="48"/>
          <w:szCs w:val="48"/>
          <w14:ligatures w14:val="none"/>
        </w:rPr>
        <w:t>The Economic Backgrounds of Politicians</w:t>
      </w:r>
    </w:p>
    <w:p w14:paraId="62E71EFA"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What the article actually argues (clean summary)</w:t>
      </w:r>
    </w:p>
    <w:p w14:paraId="579C3ED3"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A. Legislators Around the World Are Dramatically More Affluent Than Their Constituents</w:t>
      </w:r>
    </w:p>
    <w:p w14:paraId="202314F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Across every country studied:</w:t>
      </w:r>
    </w:p>
    <w:p w14:paraId="7CE852A5" w14:textId="77777777" w:rsidR="00F97625" w:rsidRPr="00F97625" w:rsidRDefault="00F97625" w:rsidP="00F976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politicians are more educated </w:t>
      </w:r>
    </w:p>
    <w:p w14:paraId="77B77B00" w14:textId="77777777" w:rsidR="00F97625" w:rsidRPr="00F97625" w:rsidRDefault="00F97625" w:rsidP="00F976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wealthier </w:t>
      </w:r>
    </w:p>
    <w:p w14:paraId="54F6A0F7" w14:textId="77777777" w:rsidR="00F97625" w:rsidRPr="00F97625" w:rsidRDefault="00F97625" w:rsidP="00F976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more white-collar </w:t>
      </w:r>
    </w:p>
    <w:p w14:paraId="148A0836" w14:textId="77777777" w:rsidR="00F97625" w:rsidRPr="00F97625" w:rsidRDefault="00F97625" w:rsidP="00F9762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more advantaged in every measure of economic background</w:t>
      </w:r>
      <w:r w:rsidRPr="00F97625">
        <w:rPr>
          <w:rFonts w:ascii="Times New Roman" w:eastAsia="Times New Roman" w:hAnsi="Times New Roman" w:cs="Times New Roman"/>
          <w:kern w:val="0"/>
          <w14:ligatures w14:val="none"/>
        </w:rPr>
        <w:br/>
        <w:t xml:space="preserve">than the populations they represent. </w:t>
      </w:r>
    </w:p>
    <w:p w14:paraId="0E69C95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is a </w:t>
      </w:r>
      <w:r w:rsidRPr="00F97625">
        <w:rPr>
          <w:rFonts w:ascii="Times New Roman" w:eastAsia="Times New Roman" w:hAnsi="Times New Roman" w:cs="Times New Roman"/>
          <w:i/>
          <w:iCs/>
          <w:kern w:val="0"/>
          <w14:ligatures w14:val="none"/>
        </w:rPr>
        <w:t>universal pattern</w:t>
      </w:r>
      <w:r w:rsidRPr="00F97625">
        <w:rPr>
          <w:rFonts w:ascii="Times New Roman" w:eastAsia="Times New Roman" w:hAnsi="Times New Roman" w:cs="Times New Roman"/>
          <w:kern w:val="0"/>
          <w14:ligatures w14:val="none"/>
        </w:rPr>
        <w:t>.</w:t>
      </w:r>
    </w:p>
    <w:p w14:paraId="0B5E2AFC"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 Economic Background Shapes How Politicians Think and Act</w:t>
      </w:r>
    </w:p>
    <w:p w14:paraId="36A3BC3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They review extensive evidence that:</w:t>
      </w:r>
    </w:p>
    <w:p w14:paraId="4279874A" w14:textId="77777777" w:rsidR="00F97625" w:rsidRPr="00F97625" w:rsidRDefault="00F97625" w:rsidP="00F976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class background predicts policy positions </w:t>
      </w:r>
    </w:p>
    <w:p w14:paraId="4B4809E2" w14:textId="77777777" w:rsidR="00F97625" w:rsidRPr="00F97625" w:rsidRDefault="00F97625" w:rsidP="00F976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particularly on economic and redistributive issues </w:t>
      </w:r>
    </w:p>
    <w:p w14:paraId="25B00170" w14:textId="77777777" w:rsidR="00F97625" w:rsidRPr="00F97625" w:rsidRDefault="00F97625" w:rsidP="00F9762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and these effects appear where legislators have discretion (e.g., bill sponsorship, agenda setting) </w:t>
      </w:r>
    </w:p>
    <w:p w14:paraId="6C33F376"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C. Structural Barriers Explain the Lack of Working-Class Representation</w:t>
      </w:r>
    </w:p>
    <w:p w14:paraId="200FE48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Key point for your project:</w:t>
      </w:r>
      <w:r w:rsidRPr="00F97625">
        <w:rPr>
          <w:rFonts w:ascii="Times New Roman" w:eastAsia="Times New Roman" w:hAnsi="Times New Roman" w:cs="Times New Roman"/>
          <w:kern w:val="0"/>
          <w14:ligatures w14:val="none"/>
        </w:rPr>
        <w:br/>
        <w:t xml:space="preserve">Working-class and economically marginalized people </w:t>
      </w:r>
      <w:r w:rsidRPr="00F97625">
        <w:rPr>
          <w:rFonts w:ascii="Times New Roman" w:eastAsia="Times New Roman" w:hAnsi="Times New Roman" w:cs="Times New Roman"/>
          <w:b/>
          <w:bCs/>
          <w:kern w:val="0"/>
          <w14:ligatures w14:val="none"/>
        </w:rPr>
        <w:t>are not underrepresented because voters dislike them</w:t>
      </w:r>
      <w:r w:rsidRPr="00F97625">
        <w:rPr>
          <w:rFonts w:ascii="Times New Roman" w:eastAsia="Times New Roman" w:hAnsi="Times New Roman" w:cs="Times New Roman"/>
          <w:kern w:val="0"/>
          <w14:ligatures w14:val="none"/>
        </w:rPr>
        <w:t>.</w:t>
      </w:r>
      <w:r w:rsidRPr="00F97625">
        <w:rPr>
          <w:rFonts w:ascii="Times New Roman" w:eastAsia="Times New Roman" w:hAnsi="Times New Roman" w:cs="Times New Roman"/>
          <w:kern w:val="0"/>
          <w14:ligatures w14:val="none"/>
        </w:rPr>
        <w:br/>
        <w:t>They are underrepresented because:</w:t>
      </w:r>
    </w:p>
    <w:p w14:paraId="1CBF408D" w14:textId="77777777" w:rsidR="00F97625" w:rsidRPr="00F97625" w:rsidRDefault="00F97625" w:rsidP="00F976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parties, donors, and gatekeepers prefer advantaged candidates </w:t>
      </w:r>
    </w:p>
    <w:p w14:paraId="701C2076" w14:textId="77777777" w:rsidR="00F97625" w:rsidRPr="00F97625" w:rsidRDefault="00F97625" w:rsidP="00F976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structural and institutional barriers filter out disadvantaged candidates early </w:t>
      </w:r>
    </w:p>
    <w:p w14:paraId="02163466" w14:textId="77777777" w:rsidR="00F97625" w:rsidRPr="00F97625" w:rsidRDefault="00F97625" w:rsidP="00F9762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elites monopolize the pathways into office </w:t>
      </w:r>
    </w:p>
    <w:p w14:paraId="28E4E554"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D. The Literature Neglects Intersectionality</w:t>
      </w:r>
    </w:p>
    <w:p w14:paraId="703E8AC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Carnes &amp; Lupu explicitly call for research on the </w:t>
      </w:r>
      <w:r w:rsidRPr="00F97625">
        <w:rPr>
          <w:rFonts w:ascii="Times New Roman" w:eastAsia="Times New Roman" w:hAnsi="Times New Roman" w:cs="Times New Roman"/>
          <w:i/>
          <w:iCs/>
          <w:kern w:val="0"/>
          <w14:ligatures w14:val="none"/>
        </w:rPr>
        <w:t>intersection</w:t>
      </w:r>
      <w:r w:rsidRPr="00F97625">
        <w:rPr>
          <w:rFonts w:ascii="Times New Roman" w:eastAsia="Times New Roman" w:hAnsi="Times New Roman" w:cs="Times New Roman"/>
          <w:kern w:val="0"/>
          <w14:ligatures w14:val="none"/>
        </w:rPr>
        <w:t xml:space="preserve"> of class with:</w:t>
      </w:r>
    </w:p>
    <w:p w14:paraId="2A5FCFAA" w14:textId="77777777" w:rsidR="00F97625" w:rsidRPr="00F97625" w:rsidRDefault="00F97625" w:rsidP="00F976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race </w:t>
      </w:r>
    </w:p>
    <w:p w14:paraId="38AE6388" w14:textId="77777777" w:rsidR="00F97625" w:rsidRPr="00F97625" w:rsidRDefault="00F97625" w:rsidP="00F976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 xml:space="preserve">gender </w:t>
      </w:r>
    </w:p>
    <w:p w14:paraId="152D29C8" w14:textId="77777777" w:rsidR="00F97625" w:rsidRPr="00F97625" w:rsidRDefault="00F97625" w:rsidP="00F9762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other marginalized statuses </w:t>
      </w:r>
    </w:p>
    <w:p w14:paraId="00A89B2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 can position incarcerated or justice-impacted identity as </w:t>
      </w:r>
      <w:r w:rsidRPr="00F97625">
        <w:rPr>
          <w:rFonts w:ascii="Times New Roman" w:eastAsia="Times New Roman" w:hAnsi="Times New Roman" w:cs="Times New Roman"/>
          <w:i/>
          <w:iCs/>
          <w:kern w:val="0"/>
          <w14:ligatures w14:val="none"/>
        </w:rPr>
        <w:t>exactly</w:t>
      </w:r>
      <w:r w:rsidRPr="00F97625">
        <w:rPr>
          <w:rFonts w:ascii="Times New Roman" w:eastAsia="Times New Roman" w:hAnsi="Times New Roman" w:cs="Times New Roman"/>
          <w:kern w:val="0"/>
          <w14:ligatures w14:val="none"/>
        </w:rPr>
        <w:t xml:space="preserve"> such a neglected intersectional axis.</w:t>
      </w:r>
    </w:p>
    <w:p w14:paraId="5F55C5B1"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E. Descriptive Representation Has Consequences</w:t>
      </w:r>
    </w:p>
    <w:p w14:paraId="788E07E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Descriptive underrepresentation contributes to:</w:t>
      </w:r>
    </w:p>
    <w:p w14:paraId="7BD2A7E5" w14:textId="77777777" w:rsidR="00F97625" w:rsidRPr="00F97625" w:rsidRDefault="00F97625" w:rsidP="00F976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unequal responsiveness </w:t>
      </w:r>
    </w:p>
    <w:p w14:paraId="5B800130" w14:textId="77777777" w:rsidR="00F97625" w:rsidRPr="00F97625" w:rsidRDefault="00F97625" w:rsidP="00F976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policy biases </w:t>
      </w:r>
    </w:p>
    <w:p w14:paraId="58BA7829" w14:textId="77777777" w:rsidR="00F97625" w:rsidRPr="00F97625" w:rsidRDefault="00F97625" w:rsidP="00F976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representational blind spots </w:t>
      </w:r>
    </w:p>
    <w:p w14:paraId="04A0A20D" w14:textId="77777777" w:rsidR="00F97625" w:rsidRPr="00F97625" w:rsidRDefault="00F97625" w:rsidP="00F9762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gaps in whose experiences and needs are politically legible </w:t>
      </w:r>
    </w:p>
    <w:p w14:paraId="2175887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your link to constituent invisibility.</w:t>
      </w:r>
    </w:p>
    <w:p w14:paraId="350027F9"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51D172BF">
          <v:rect id="_x0000_i1064" alt="" style="width:468pt;height:.05pt;mso-width-percent:0;mso-height-percent:0;mso-width-percent:0;mso-height-percent:0" o:hralign="center" o:hrstd="t" o:hr="t" fillcolor="#a0a0a0" stroked="f"/>
        </w:pict>
      </w:r>
    </w:p>
    <w:p w14:paraId="620A5BE3"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How you can use this article in your pitch</w:t>
      </w:r>
    </w:p>
    <w:p w14:paraId="42740AE7"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Stakes Paragraph</w:t>
      </w:r>
    </w:p>
    <w:p w14:paraId="78D307E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argue:</w:t>
      </w:r>
    </w:p>
    <w:p w14:paraId="52E3D7ED" w14:textId="77777777" w:rsidR="00F97625" w:rsidRPr="00F97625" w:rsidRDefault="00F97625" w:rsidP="00F976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Legislatures are dramatically non-representative not only along race and gender, but class. </w:t>
      </w:r>
    </w:p>
    <w:p w14:paraId="09DF8E38" w14:textId="77777777" w:rsidR="00F97625" w:rsidRPr="00F97625" w:rsidRDefault="00F97625" w:rsidP="00F976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These inequalities matter for policy and democratic legitimacy (Carnes &amp; Lupu). </w:t>
      </w:r>
    </w:p>
    <w:p w14:paraId="605FBC2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allows you to connect </w:t>
      </w:r>
      <w:r w:rsidRPr="00F97625">
        <w:rPr>
          <w:rFonts w:ascii="Times New Roman" w:eastAsia="Times New Roman" w:hAnsi="Times New Roman" w:cs="Times New Roman"/>
          <w:i/>
          <w:iCs/>
          <w:kern w:val="0"/>
          <w14:ligatures w14:val="none"/>
        </w:rPr>
        <w:t>race-class subjugation</w:t>
      </w:r>
      <w:r w:rsidRPr="00F97625">
        <w:rPr>
          <w:rFonts w:ascii="Times New Roman" w:eastAsia="Times New Roman" w:hAnsi="Times New Roman" w:cs="Times New Roman"/>
          <w:kern w:val="0"/>
          <w14:ligatures w14:val="none"/>
        </w:rPr>
        <w:t xml:space="preserve"> (Weaver et al.) with </w:t>
      </w:r>
      <w:r w:rsidRPr="00F97625">
        <w:rPr>
          <w:rFonts w:ascii="Times New Roman" w:eastAsia="Times New Roman" w:hAnsi="Times New Roman" w:cs="Times New Roman"/>
          <w:i/>
          <w:iCs/>
          <w:kern w:val="0"/>
          <w14:ligatures w14:val="none"/>
        </w:rPr>
        <w:t>elite insulation</w:t>
      </w:r>
      <w:r w:rsidRPr="00F97625">
        <w:rPr>
          <w:rFonts w:ascii="Times New Roman" w:eastAsia="Times New Roman" w:hAnsi="Times New Roman" w:cs="Times New Roman"/>
          <w:kern w:val="0"/>
          <w14:ligatures w14:val="none"/>
        </w:rPr>
        <w:t xml:space="preserve"> (Carnes &amp; Lupu).</w:t>
      </w:r>
    </w:p>
    <w:p w14:paraId="53C12A42"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Literature + Gap Section</w:t>
      </w:r>
    </w:p>
    <w:p w14:paraId="347F11E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article supports three critical claims:</w:t>
      </w:r>
    </w:p>
    <w:p w14:paraId="09DD876F" w14:textId="77777777" w:rsidR="00F97625" w:rsidRPr="00F97625" w:rsidRDefault="00F97625" w:rsidP="00F976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Scholars show X (Fenno, Miler)</w:t>
      </w:r>
      <w:r w:rsidRPr="00F97625">
        <w:rPr>
          <w:rFonts w:ascii="Times New Roman" w:eastAsia="Times New Roman" w:hAnsi="Times New Roman" w:cs="Times New Roman"/>
          <w:kern w:val="0"/>
          <w14:ligatures w14:val="none"/>
        </w:rPr>
        <w:t xml:space="preserve"> → legislators respond to the constituencies they “see.” </w:t>
      </w:r>
    </w:p>
    <w:p w14:paraId="12A164A0" w14:textId="77777777" w:rsidR="00F97625" w:rsidRPr="00F97625" w:rsidRDefault="00F97625" w:rsidP="00F976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But these assume Y</w:t>
      </w:r>
      <w:r w:rsidRPr="00F97625">
        <w:rPr>
          <w:rFonts w:ascii="Times New Roman" w:eastAsia="Times New Roman" w:hAnsi="Times New Roman" w:cs="Times New Roman"/>
          <w:kern w:val="0"/>
          <w14:ligatures w14:val="none"/>
        </w:rPr>
        <w:t xml:space="preserve"> → that constituencies have access, recognition, and socio-political power. </w:t>
      </w:r>
    </w:p>
    <w:p w14:paraId="549E038C" w14:textId="77777777" w:rsidR="00F97625" w:rsidRPr="00F97625" w:rsidRDefault="00F97625" w:rsidP="00F976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Incarcerated groups face Z</w:t>
      </w:r>
      <w:r w:rsidRPr="00F97625">
        <w:rPr>
          <w:rFonts w:ascii="Times New Roman" w:eastAsia="Times New Roman" w:hAnsi="Times New Roman" w:cs="Times New Roman"/>
          <w:kern w:val="0"/>
          <w14:ligatures w14:val="none"/>
        </w:rPr>
        <w:t xml:space="preserve"> → they are structurally prevented from entering representational pipelines (Carnes &amp; Lupu: descriptive inequalities rooted in structural barriers). </w:t>
      </w:r>
    </w:p>
    <w:p w14:paraId="4CFAFF41" w14:textId="77777777" w:rsidR="00F97625" w:rsidRPr="00F97625" w:rsidRDefault="00F97625" w:rsidP="00F9762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 Gap</w:t>
      </w:r>
      <w:r w:rsidRPr="00F97625">
        <w:rPr>
          <w:rFonts w:ascii="Times New Roman" w:eastAsia="Times New Roman" w:hAnsi="Times New Roman" w:cs="Times New Roman"/>
          <w:kern w:val="0"/>
          <w14:ligatures w14:val="none"/>
        </w:rPr>
        <w:t xml:space="preserve">: We know little about whether legislators even symbolically recognize them as a constituency. </w:t>
      </w:r>
    </w:p>
    <w:p w14:paraId="541F41F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This is an especially neat bridge for your “assume Y” line.</w:t>
      </w:r>
    </w:p>
    <w:p w14:paraId="4E31B8E1"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Methods / Feasibility Section</w:t>
      </w:r>
    </w:p>
    <w:p w14:paraId="648E730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Use Carnes &amp; Lupu to justify collecting:</w:t>
      </w:r>
    </w:p>
    <w:p w14:paraId="47DF5424" w14:textId="77777777" w:rsidR="00F97625" w:rsidRPr="00F97625" w:rsidRDefault="00F97625" w:rsidP="00F976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legislator background info </w:t>
      </w:r>
    </w:p>
    <w:p w14:paraId="5DABD44D" w14:textId="77777777" w:rsidR="00F97625" w:rsidRPr="00F97625" w:rsidRDefault="00F97625" w:rsidP="00F976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direct-impact indicators (race, class, police/prison exposure) </w:t>
      </w:r>
    </w:p>
    <w:p w14:paraId="23FC650B" w14:textId="77777777" w:rsidR="00F97625" w:rsidRPr="00F97625" w:rsidRDefault="00F97625" w:rsidP="00F9762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experience-based predictors of symbolic and epistemic inclusion </w:t>
      </w:r>
    </w:p>
    <w:p w14:paraId="24BD0D0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shows you are placing your project directly inside an active research frontier identified by senior scholars.</w:t>
      </w:r>
    </w:p>
    <w:p w14:paraId="03A9513C"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In the Contribution Paragraph</w:t>
      </w:r>
    </w:p>
    <w:p w14:paraId="119E2B2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say:</w:t>
      </w:r>
    </w:p>
    <w:p w14:paraId="7BEA9EDB" w14:textId="77777777" w:rsidR="00F97625" w:rsidRPr="00F97625" w:rsidRDefault="00F97625" w:rsidP="00F976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Existing scholarship demands intersectional research on descriptive representation (Carnes &amp; Lupu). </w:t>
      </w:r>
    </w:p>
    <w:p w14:paraId="72DD2507" w14:textId="77777777" w:rsidR="00F97625" w:rsidRPr="00F97625" w:rsidRDefault="00F97625" w:rsidP="00F9762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My project is the first to systematically examine how incarcerated status and carceral contact shape symbolic and epistemic representation — a dimension entirely absent from the current literature. </w:t>
      </w:r>
    </w:p>
    <w:p w14:paraId="28E265EB"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51231165">
          <v:rect id="_x0000_i1063" alt="" style="width:468pt;height:.05pt;mso-width-percent:0;mso-height-percent:0;mso-width-percent:0;mso-height-percent:0" o:hralign="center" o:hrstd="t" o:hr="t" fillcolor="#a0a0a0" stroked="f"/>
        </w:pict>
      </w:r>
    </w:p>
    <w:p w14:paraId="106CC343"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Language elements you can borrow</w:t>
      </w:r>
    </w:p>
    <w:p w14:paraId="378BA17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Carnes &amp; Lupu are clear, professional, and accessible.</w:t>
      </w:r>
      <w:r w:rsidRPr="00F97625">
        <w:rPr>
          <w:rFonts w:ascii="Times New Roman" w:eastAsia="Times New Roman" w:hAnsi="Times New Roman" w:cs="Times New Roman"/>
          <w:kern w:val="0"/>
          <w14:ligatures w14:val="none"/>
        </w:rPr>
        <w:br/>
        <w:t>Useful phrases:</w:t>
      </w:r>
    </w:p>
    <w:p w14:paraId="02BEB1BF" w14:textId="77777777" w:rsidR="00F97625" w:rsidRPr="00F97625" w:rsidRDefault="00F97625" w:rsidP="00F976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“descriptive inequalities in political institutions” </w:t>
      </w:r>
    </w:p>
    <w:p w14:paraId="68B5997E" w14:textId="77777777" w:rsidR="00F97625" w:rsidRPr="00F97625" w:rsidRDefault="00F97625" w:rsidP="00F976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“representational blind spots” </w:t>
      </w:r>
    </w:p>
    <w:p w14:paraId="19CE5DF4" w14:textId="77777777" w:rsidR="00F97625" w:rsidRPr="00F97625" w:rsidRDefault="00F97625" w:rsidP="00F976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 economic makeup of legislatures” </w:t>
      </w:r>
    </w:p>
    <w:p w14:paraId="1CF728B1" w14:textId="77777777" w:rsidR="00F97625" w:rsidRPr="00F97625" w:rsidRDefault="00F97625" w:rsidP="00F976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“structural barriers in candidate pipelines” </w:t>
      </w:r>
    </w:p>
    <w:p w14:paraId="50E0D9FA" w14:textId="77777777" w:rsidR="00F97625" w:rsidRPr="00F97625" w:rsidRDefault="00F97625" w:rsidP="00F9762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“intersecting axes of disadvantage” </w:t>
      </w:r>
    </w:p>
    <w:p w14:paraId="5D17373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These will read well to generalist reviewers.</w:t>
      </w:r>
    </w:p>
    <w:p w14:paraId="50C06134"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I. Integrating Israel-Trummel et al. into Your Front Matter</w:t>
      </w:r>
    </w:p>
    <w:p w14:paraId="7F5DEF9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 article is valuable to you in two ways:</w:t>
      </w:r>
    </w:p>
    <w:p w14:paraId="51BD5CA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lastRenderedPageBreak/>
        <w:t>1. It gives you a clean empirical precedent for your underlying claim:</w:t>
      </w:r>
    </w:p>
    <w:p w14:paraId="68995D8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People with criminal convictions—even those living in the community—face measurable representational discrimination from legislators.</w:t>
      </w:r>
      <w:r w:rsidRPr="00F97625">
        <w:rPr>
          <w:rFonts w:ascii="Times New Roman" w:eastAsia="Times New Roman" w:hAnsi="Times New Roman" w:cs="Times New Roman"/>
          <w:kern w:val="0"/>
          <w14:ligatures w14:val="none"/>
        </w:rPr>
        <w:br/>
        <w:t xml:space="preserve">That is not symbolic representation, but </w:t>
      </w:r>
      <w:r w:rsidRPr="00F97625">
        <w:rPr>
          <w:rFonts w:ascii="Times New Roman" w:eastAsia="Times New Roman" w:hAnsi="Times New Roman" w:cs="Times New Roman"/>
          <w:b/>
          <w:bCs/>
          <w:kern w:val="0"/>
          <w14:ligatures w14:val="none"/>
        </w:rPr>
        <w:t>service responsiveness</w:t>
      </w:r>
      <w:r w:rsidRPr="00F97625">
        <w:rPr>
          <w:rFonts w:ascii="Times New Roman" w:eastAsia="Times New Roman" w:hAnsi="Times New Roman" w:cs="Times New Roman"/>
          <w:kern w:val="0"/>
          <w14:ligatures w14:val="none"/>
        </w:rPr>
        <w:t xml:space="preserve">, and it sets up your broader claim: </w:t>
      </w:r>
      <w:r w:rsidRPr="00F97625">
        <w:rPr>
          <w:rFonts w:ascii="Times New Roman" w:eastAsia="Times New Roman" w:hAnsi="Times New Roman" w:cs="Times New Roman"/>
          <w:i/>
          <w:iCs/>
          <w:kern w:val="0"/>
          <w14:ligatures w14:val="none"/>
        </w:rPr>
        <w:t>if this is true for community-dwelling people with convictions, we have even less reason to expect that legislators symbolically recognize incarcerated people.</w:t>
      </w:r>
    </w:p>
    <w:p w14:paraId="5EA691A2"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2. It helps you justify why you cannot assume electoral incentives alone explain representation.</w:t>
      </w:r>
    </w:p>
    <w:p w14:paraId="372DE28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Their findings show representational inequality toward a group </w:t>
      </w:r>
      <w:r w:rsidRPr="00F97625">
        <w:rPr>
          <w:rFonts w:ascii="Times New Roman" w:eastAsia="Times New Roman" w:hAnsi="Times New Roman" w:cs="Times New Roman"/>
          <w:i/>
          <w:iCs/>
          <w:kern w:val="0"/>
          <w14:ligatures w14:val="none"/>
        </w:rPr>
        <w:t>that includes many eligible voters</w:t>
      </w:r>
      <w:r w:rsidRPr="00F97625">
        <w:rPr>
          <w:rFonts w:ascii="Times New Roman" w:eastAsia="Times New Roman" w:hAnsi="Times New Roman" w:cs="Times New Roman"/>
          <w:kern w:val="0"/>
          <w14:ligatures w14:val="none"/>
        </w:rPr>
        <w:t xml:space="preserve">. That undercuts a standard assumption in Mayhew/Fenno logic, helping you argue that incarcerated people’s invisibility is not simply a function of non-voting but also of </w:t>
      </w:r>
      <w:r w:rsidRPr="00F97625">
        <w:rPr>
          <w:rFonts w:ascii="Times New Roman" w:eastAsia="Times New Roman" w:hAnsi="Times New Roman" w:cs="Times New Roman"/>
          <w:b/>
          <w:bCs/>
          <w:kern w:val="0"/>
          <w14:ligatures w14:val="none"/>
        </w:rPr>
        <w:t>stigma, institutional biases, and epistemic boundaries.</w:t>
      </w:r>
    </w:p>
    <w:p w14:paraId="7657ED04"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Recommended Integrations Into Your Front Matter</w:t>
      </w:r>
    </w:p>
    <w:p w14:paraId="262CB774"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t>A. In your opening stakes section (after the first or second paragraph):</w:t>
      </w:r>
    </w:p>
    <w:p w14:paraId="1C86A08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Insert something like:</w:t>
      </w:r>
    </w:p>
    <w:p w14:paraId="73C833A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Recent experimental evidence shows that even community-dwelling citizens with felony convictions—many of whom are eligible voters—receive systematically lower-quality constituent service from legislators’ offices (Israel-Trummel et al. forthcoming). This suggests that criminal legal contact functions as a powerful representational boundary: legislators discount the political relevance of people marked by the criminal legal system even when they reside in their districts and request routine assistance. If this diminished recognition characterizes eligible voters, the representational horizons for currently incarcerated people—geographically isolated, legally excluded, and heavily stigmatized—are almost certainly narrower.</w:t>
      </w:r>
    </w:p>
    <w:p w14:paraId="62726FB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gives your project </w:t>
      </w:r>
      <w:r w:rsidRPr="00F97625">
        <w:rPr>
          <w:rFonts w:ascii="Times New Roman" w:eastAsia="Times New Roman" w:hAnsi="Times New Roman" w:cs="Times New Roman"/>
          <w:b/>
          <w:bCs/>
          <w:kern w:val="0"/>
          <w14:ligatures w14:val="none"/>
        </w:rPr>
        <w:t>empirical urgency</w:t>
      </w:r>
      <w:r w:rsidRPr="00F97625">
        <w:rPr>
          <w:rFonts w:ascii="Times New Roman" w:eastAsia="Times New Roman" w:hAnsi="Times New Roman" w:cs="Times New Roman"/>
          <w:kern w:val="0"/>
          <w14:ligatures w14:val="none"/>
        </w:rPr>
        <w:t xml:space="preserve"> without overclaiming.</w:t>
      </w:r>
    </w:p>
    <w:p w14:paraId="5B35E9BF"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t>B. In the puzzle section (right before or after your research question):</w:t>
      </w:r>
    </w:p>
    <w:p w14:paraId="3E552BC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 want to show </w:t>
      </w:r>
      <w:r w:rsidRPr="00F97625">
        <w:rPr>
          <w:rFonts w:ascii="Times New Roman" w:eastAsia="Times New Roman" w:hAnsi="Times New Roman" w:cs="Times New Roman"/>
          <w:b/>
          <w:bCs/>
          <w:kern w:val="0"/>
          <w14:ligatures w14:val="none"/>
        </w:rPr>
        <w:t>the puzzle is larger than electoral incentives</w:t>
      </w:r>
      <w:r w:rsidRPr="00F97625">
        <w:rPr>
          <w:rFonts w:ascii="Times New Roman" w:eastAsia="Times New Roman" w:hAnsi="Times New Roman" w:cs="Times New Roman"/>
          <w:kern w:val="0"/>
          <w14:ligatures w14:val="none"/>
        </w:rPr>
        <w:t>:</w:t>
      </w:r>
    </w:p>
    <w:p w14:paraId="647DB15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 logic of electoral connection alone cannot account for the representational patterns we observe. Legislators are less responsive even to eligible, reentering citizens with felony records (Israel-Trummel et al.). This indicates that stigma, perceived undeservingness, and assumptions about political irrelevance shape responsiveness beyond formal eligibility. These same dynamics, amplified by incarceration’s spatial and institutional separation, raise foundational questions about whether legislators recognize incarcerated people as constituents at all.</w:t>
      </w:r>
    </w:p>
    <w:p w14:paraId="4508F89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tightens your pivot to symbolic representation without adding pages.</w:t>
      </w:r>
    </w:p>
    <w:p w14:paraId="0436D770"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lastRenderedPageBreak/>
        <w:t>C. In the literature section (“Symbolic representation is structured by incentives…”)</w:t>
      </w:r>
    </w:p>
    <w:p w14:paraId="46F397D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currently write:</w:t>
      </w:r>
    </w:p>
    <w:p w14:paraId="0A14D6C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model breaks down for incarcerated people… who are demographically large but politically erased…</w:t>
      </w:r>
    </w:p>
    <w:p w14:paraId="5C7FF7D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Add:</w:t>
      </w:r>
    </w:p>
    <w:p w14:paraId="3454D13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Evidence that legislators deprioritize even </w:t>
      </w:r>
      <w:r w:rsidRPr="00F97625">
        <w:rPr>
          <w:rFonts w:ascii="Times New Roman" w:eastAsia="Times New Roman" w:hAnsi="Times New Roman" w:cs="Times New Roman"/>
          <w:i/>
          <w:iCs/>
          <w:kern w:val="0"/>
          <w14:ligatures w14:val="none"/>
        </w:rPr>
        <w:t>non-incarcerated</w:t>
      </w:r>
      <w:r w:rsidRPr="00F97625">
        <w:rPr>
          <w:rFonts w:ascii="Times New Roman" w:eastAsia="Times New Roman" w:hAnsi="Times New Roman" w:cs="Times New Roman"/>
          <w:kern w:val="0"/>
          <w14:ligatures w14:val="none"/>
        </w:rPr>
        <w:t xml:space="preserve"> people with felony convictions (Israel-Trummel et al. forthcoming) underscores how carceral contact functions as a representational liability. It suggests that symbolic erasure is not simply a byproduct of non-voting status but reflects deeper beliefs about which groups can make legitimate claims on representatives.</w:t>
      </w:r>
    </w:p>
    <w:p w14:paraId="34EC304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shows your contribution as extending a known representational deficit into an unstudied domain.</w:t>
      </w:r>
    </w:p>
    <w:p w14:paraId="6406190B"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t>D. In your “Gap” section (this is where the article is most helpful)</w:t>
      </w:r>
    </w:p>
    <w:p w14:paraId="58FBACB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flagged this sentence:</w:t>
      </w:r>
    </w:p>
    <w:p w14:paraId="4A1E9E2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To my knowledge, no existing study systematically examines symbolic recognition of incarcerated people across legislative venues…</w:t>
      </w:r>
    </w:p>
    <w:p w14:paraId="13A65A0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 can strengthen the justification by tying Israel-Trummel to your claim that </w:t>
      </w:r>
      <w:r w:rsidRPr="00F97625">
        <w:rPr>
          <w:rFonts w:ascii="Times New Roman" w:eastAsia="Times New Roman" w:hAnsi="Times New Roman" w:cs="Times New Roman"/>
          <w:i/>
          <w:iCs/>
          <w:kern w:val="0"/>
          <w14:ligatures w14:val="none"/>
        </w:rPr>
        <w:t>we know almost nothing beyond responsiveness to email requests.</w:t>
      </w:r>
    </w:p>
    <w:p w14:paraId="6FD8447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Here is a revised, tighter, more powerful version:</w:t>
      </w:r>
    </w:p>
    <w:p w14:paraId="56C74A1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Replace your current explanation with:</w:t>
      </w:r>
    </w:p>
    <w:p w14:paraId="36734647"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We lack any systematic account of whether legislators treat incarcerated people as constituents at all. Existing work on criminal-legal contact and representation has examined only one dimension—constituent service—and finds that legislators are less responsive even to community-dwelling people with felony records (Israel-Trummel et al. forthcoming). Yet symbolic recognition and epistemic inclusion operate in entirely different venues: speeches, hearings, newsletters, and deliberation. No study has traced how legislators publicly name, frame, or draw on the experiences of incarcerated people across these communicative sites. This gap is consequential because states—which administer most criminal legal policy and where democratic backsliding is increasingly pronounced (Grumbach 2022)—set the representational environment affecting over 90% of incarcerated Americans.</w:t>
      </w:r>
    </w:p>
    <w:p w14:paraId="7F5BE26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replaces your original paragraph with something more polished, precise, and theoretically grounded.</w:t>
      </w:r>
    </w:p>
    <w:p w14:paraId="0309E76F"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pict w14:anchorId="2C1D7EB1">
          <v:rect id="_x0000_i1035" style="width:0;height:1.5pt" o:hralign="center" o:hrstd="t" o:hr="t" fillcolor="#a0a0a0" stroked="f"/>
        </w:pict>
      </w:r>
    </w:p>
    <w:p w14:paraId="2E004898"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II. Integrating Grumbach (2022) Into the Front Matter</w:t>
      </w:r>
    </w:p>
    <w:p w14:paraId="5BEDBCB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Grumbach helps you make </w:t>
      </w:r>
      <w:r w:rsidRPr="00F97625">
        <w:rPr>
          <w:rFonts w:ascii="Times New Roman" w:eastAsia="Times New Roman" w:hAnsi="Times New Roman" w:cs="Times New Roman"/>
          <w:b/>
          <w:bCs/>
          <w:kern w:val="0"/>
          <w14:ligatures w14:val="none"/>
        </w:rPr>
        <w:t>two key moves</w:t>
      </w:r>
      <w:r w:rsidRPr="00F97625">
        <w:rPr>
          <w:rFonts w:ascii="Times New Roman" w:eastAsia="Times New Roman" w:hAnsi="Times New Roman" w:cs="Times New Roman"/>
          <w:kern w:val="0"/>
          <w14:ligatures w14:val="none"/>
        </w:rPr>
        <w:t>:</w:t>
      </w:r>
    </w:p>
    <w:p w14:paraId="4A6CE276"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1. Why the STATES matter.</w:t>
      </w:r>
    </w:p>
    <w:p w14:paraId="4E38B4F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asked specifically for improved language here — this article gives you a robust empirical grounding.</w:t>
      </w:r>
    </w:p>
    <w:p w14:paraId="70842BD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Grumbach demonstrates that:</w:t>
      </w:r>
    </w:p>
    <w:p w14:paraId="1993DB50" w14:textId="77777777" w:rsidR="00F97625" w:rsidRPr="00F97625" w:rsidRDefault="00F97625" w:rsidP="00F976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States vary dramatically in democratic performance (p. 1–2). </w:t>
      </w:r>
    </w:p>
    <w:p w14:paraId="585142AF" w14:textId="77777777" w:rsidR="00F97625" w:rsidRPr="00F97625" w:rsidRDefault="00F97625" w:rsidP="00F976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State governments increasingly function as “laboratories of democratic backsliding” (p. 1–2). </w:t>
      </w:r>
    </w:p>
    <w:p w14:paraId="40781D60" w14:textId="77777777" w:rsidR="00F97625" w:rsidRPr="00F97625" w:rsidRDefault="00F97625" w:rsidP="00F976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State-level policies governing participation—including felon disenfranchisement—are central to democratic inclusion/exclusion (p. 1, p. 4). </w:t>
      </w:r>
    </w:p>
    <w:p w14:paraId="5B0BB1A2" w14:textId="77777777" w:rsidR="00F97625" w:rsidRPr="00F97625" w:rsidRDefault="00F97625" w:rsidP="00F9762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State-level partisan control has profound effects on whether marginalized groups can participate or be recognized. </w:t>
      </w:r>
    </w:p>
    <w:p w14:paraId="6AAA71CF"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2. Why state variation matters for your project:</w:t>
      </w:r>
    </w:p>
    <w:p w14:paraId="27DD09D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Your project is fundamentally about </w:t>
      </w:r>
      <w:r w:rsidRPr="00F97625">
        <w:rPr>
          <w:rFonts w:ascii="Times New Roman" w:eastAsia="Times New Roman" w:hAnsi="Times New Roman" w:cs="Times New Roman"/>
          <w:b/>
          <w:bCs/>
          <w:kern w:val="0"/>
          <w14:ligatures w14:val="none"/>
        </w:rPr>
        <w:t>representation</w:t>
      </w:r>
      <w:r w:rsidRPr="00F97625">
        <w:rPr>
          <w:rFonts w:ascii="Times New Roman" w:eastAsia="Times New Roman" w:hAnsi="Times New Roman" w:cs="Times New Roman"/>
          <w:kern w:val="0"/>
          <w14:ligatures w14:val="none"/>
        </w:rPr>
        <w:t>, and representation is deeply shaped by:</w:t>
      </w:r>
    </w:p>
    <w:p w14:paraId="65D019D5" w14:textId="77777777" w:rsidR="00F97625" w:rsidRPr="00F97625" w:rsidRDefault="00F97625" w:rsidP="00F976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subnational political opportunity structures </w:t>
      </w:r>
    </w:p>
    <w:p w14:paraId="7B7BE335" w14:textId="77777777" w:rsidR="00F97625" w:rsidRPr="00F97625" w:rsidRDefault="00F97625" w:rsidP="00F976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divergent state rules around suffrage, gerrymandering, incarceration, and policing </w:t>
      </w:r>
    </w:p>
    <w:p w14:paraId="5AC8587F" w14:textId="77777777" w:rsidR="00F97625" w:rsidRPr="00F97625" w:rsidRDefault="00F97625" w:rsidP="00F9762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partisan incentives within states (e.g., after 2010, NC and WI shift dramatically; see Fig. 3). </w:t>
      </w:r>
    </w:p>
    <w:p w14:paraId="52F7DDB9"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Recommended Integrations Into Your Front Matter</w:t>
      </w:r>
    </w:p>
    <w:p w14:paraId="0A01D708"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t>A. Replace the line you flagged with a stronger, article-informed version:</w:t>
      </w:r>
    </w:p>
    <w:p w14:paraId="03A2F2B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Your current version:</w:t>
      </w:r>
    </w:p>
    <w:p w14:paraId="1D4577A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While although this kind of study across state legislatures is challenging, it is particularly important as the vast majority of carceral citizens are in state corrections, it is the level at which criminal legal policy is decidedly “in play,” and state and local level electeds are important for carceral constituency services or service responsiveness.</w:t>
      </w:r>
    </w:p>
    <w:p w14:paraId="0D0AEA4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Improved version using Grumbach (precise, academically grounded, non-duplicative):</w:t>
      </w:r>
    </w:p>
    <w:p w14:paraId="76C96AC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Conducting a systematic study across state legislatures is challenging but essential. States are the primary architects of the criminal legal system and hold broad authority over incarceration, suffrage, districting, and the administration of democracy (Grumbach 2022). State governments also vary dramatically in democratic performance and have become key sites of democratic contraction, particularly through policies that shape who participates and whose voices are institutionally legible. Because over 90% of incarcerated people are held in state facilities, and because their political visibility depends on subnational representational practices, understanding symbolic and epistemic inclusion requires a state-level analysis rather than a federal proxy.</w:t>
      </w:r>
    </w:p>
    <w:p w14:paraId="2811F96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grounds your choice of venue </w:t>
      </w:r>
      <w:r w:rsidRPr="00F97625">
        <w:rPr>
          <w:rFonts w:ascii="Times New Roman" w:eastAsia="Times New Roman" w:hAnsi="Times New Roman" w:cs="Times New Roman"/>
          <w:i/>
          <w:iCs/>
          <w:kern w:val="0"/>
          <w14:ligatures w14:val="none"/>
        </w:rPr>
        <w:t>directly</w:t>
      </w:r>
      <w:r w:rsidRPr="00F97625">
        <w:rPr>
          <w:rFonts w:ascii="Times New Roman" w:eastAsia="Times New Roman" w:hAnsi="Times New Roman" w:cs="Times New Roman"/>
          <w:kern w:val="0"/>
          <w14:ligatures w14:val="none"/>
        </w:rPr>
        <w:t xml:space="preserve"> in cutting-edge scholarship.</w:t>
      </w:r>
    </w:p>
    <w:p w14:paraId="5498FB25" w14:textId="77777777" w:rsidR="00F97625" w:rsidRPr="00F97625" w:rsidRDefault="00F97625" w:rsidP="00F9762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7625">
        <w:rPr>
          <w:rFonts w:ascii="Times New Roman" w:eastAsia="Times New Roman" w:hAnsi="Times New Roman" w:cs="Times New Roman"/>
          <w:b/>
          <w:bCs/>
          <w:kern w:val="0"/>
          <w14:ligatures w14:val="none"/>
        </w:rPr>
        <w:t>B. Later in the gap section:</w:t>
      </w:r>
    </w:p>
    <w:p w14:paraId="0BE78C6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Add a short, one-sentence synthesis:</w:t>
      </w:r>
    </w:p>
    <w:p w14:paraId="4D028D6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Moreover, as state-level democratic performance diverges (Grumbach 2022), symbolic recognition may vary not only by legislator identity or district context but by broader state political environments that differentially structure the visibility of marginalized groups.</w:t>
      </w:r>
    </w:p>
    <w:p w14:paraId="75F7B2E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helps set up your eventual modeling strategy.</w:t>
      </w:r>
    </w:p>
    <w:p w14:paraId="3A967BB7"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364403C9">
          <v:rect id="_x0000_i1062" alt="" style="width:468pt;height:.05pt;mso-width-percent:0;mso-height-percent:0;mso-width-percent:0;mso-height-percent:0" o:hralign="center" o:hrstd="t" o:hr="t" fillcolor="#a0a0a0" stroked="f"/>
        </w:pict>
      </w:r>
    </w:p>
    <w:p w14:paraId="3A14FFCF"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III. Integrations Into Your Proposed Methods</w:t>
      </w:r>
    </w:p>
    <w:p w14:paraId="52A68A5B"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A. Use Israel-Trummel et al. to motivate analyzing multiple representational “sites.”</w:t>
      </w:r>
    </w:p>
    <w:p w14:paraId="5A169CF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add a concise methodological justification:</w:t>
      </w:r>
    </w:p>
    <w:p w14:paraId="308FF297"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Existing audit studies capture only service responsiveness, a single, high-cost dimension of representation. Israel-Trummel et al. (forthcoming) show that legislators discriminate against constituents with felony histories in this domain, but service responsiveness reveals nothing about how legislators publicly construct constituencies, whether they acknowledge carceral communities, or whether they treat them as political knowers. My mixed-textual approach directly targets these other dimensions.</w:t>
      </w:r>
    </w:p>
    <w:p w14:paraId="1D5A5C4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 Use Grumbach to justify your focus on states and your multilevel design.</w:t>
      </w:r>
    </w:p>
    <w:p w14:paraId="2E93E0D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Add:</w:t>
      </w:r>
    </w:p>
    <w:p w14:paraId="7A24B2E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Because state governments administer elections, draw districts, set incarceration policy, and have experienced substantial democratic divergence over the past two decades (Grumbach 2022), a state-level analysis is required to detect how symbolic and epistemic inclusion vary across </w:t>
      </w:r>
      <w:r w:rsidRPr="00F97625">
        <w:rPr>
          <w:rFonts w:ascii="Times New Roman" w:eastAsia="Times New Roman" w:hAnsi="Times New Roman" w:cs="Times New Roman"/>
          <w:kern w:val="0"/>
          <w14:ligatures w14:val="none"/>
        </w:rPr>
        <w:lastRenderedPageBreak/>
        <w:t>political environments. My design therefore situates legislative speech and communication within broader subnational democratic contexts.</w:t>
      </w:r>
    </w:p>
    <w:p w14:paraId="6CEF2C5D"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C. Use both articles to justify including variables on:</w:t>
      </w:r>
    </w:p>
    <w:p w14:paraId="2E85E8B1" w14:textId="77777777" w:rsidR="00F97625" w:rsidRPr="00F97625" w:rsidRDefault="00F97625" w:rsidP="00F976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Felon disenfranchisement regime</w:t>
      </w:r>
      <w:r w:rsidRPr="00F97625">
        <w:rPr>
          <w:rFonts w:ascii="Times New Roman" w:eastAsia="Times New Roman" w:hAnsi="Times New Roman" w:cs="Times New Roman"/>
          <w:kern w:val="0"/>
          <w14:ligatures w14:val="none"/>
        </w:rPr>
        <w:t xml:space="preserve"> (Israel-Trummel; Grumbach indicator set includes felon disenfranchisement). </w:t>
      </w:r>
    </w:p>
    <w:p w14:paraId="623CA058" w14:textId="77777777" w:rsidR="00F97625" w:rsidRPr="00F97625" w:rsidRDefault="00F97625" w:rsidP="00F976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State democratic performance</w:t>
      </w:r>
      <w:r w:rsidRPr="00F97625">
        <w:rPr>
          <w:rFonts w:ascii="Times New Roman" w:eastAsia="Times New Roman" w:hAnsi="Times New Roman" w:cs="Times New Roman"/>
          <w:kern w:val="0"/>
          <w14:ligatures w14:val="none"/>
        </w:rPr>
        <w:t xml:space="preserve"> (Grumbach’s State Democracy Index). </w:t>
      </w:r>
    </w:p>
    <w:p w14:paraId="4AE04C33" w14:textId="77777777" w:rsidR="00F97625" w:rsidRPr="00F97625" w:rsidRDefault="00F97625" w:rsidP="00F976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District incarceration rates</w:t>
      </w:r>
      <w:r w:rsidRPr="00F97625">
        <w:rPr>
          <w:rFonts w:ascii="Times New Roman" w:eastAsia="Times New Roman" w:hAnsi="Times New Roman" w:cs="Times New Roman"/>
          <w:kern w:val="0"/>
          <w14:ligatures w14:val="none"/>
        </w:rPr>
        <w:t xml:space="preserve"> (your existing plan). </w:t>
      </w:r>
    </w:p>
    <w:p w14:paraId="19D82083" w14:textId="77777777" w:rsidR="00F97625" w:rsidRPr="00F97625" w:rsidRDefault="00F97625" w:rsidP="00F9762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Legislator identity/political incentives</w:t>
      </w:r>
      <w:r w:rsidRPr="00F97625">
        <w:rPr>
          <w:rFonts w:ascii="Times New Roman" w:eastAsia="Times New Roman" w:hAnsi="Times New Roman" w:cs="Times New Roman"/>
          <w:kern w:val="0"/>
          <w14:ligatures w14:val="none"/>
        </w:rPr>
        <w:t xml:space="preserve"> (supported by Carnes &amp; Lupu + Israel-Trummel’s evidence of discrimination). </w:t>
      </w:r>
    </w:p>
    <w:p w14:paraId="13640F3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You don’t need to measure symbolic rep using their measures — but you can use their </w:t>
      </w:r>
      <w:r w:rsidRPr="00F97625">
        <w:rPr>
          <w:rFonts w:ascii="Times New Roman" w:eastAsia="Times New Roman" w:hAnsi="Times New Roman" w:cs="Times New Roman"/>
          <w:i/>
          <w:iCs/>
          <w:kern w:val="0"/>
          <w14:ligatures w14:val="none"/>
        </w:rPr>
        <w:t>logic</w:t>
      </w:r>
      <w:r w:rsidRPr="00F97625">
        <w:rPr>
          <w:rFonts w:ascii="Times New Roman" w:eastAsia="Times New Roman" w:hAnsi="Times New Roman" w:cs="Times New Roman"/>
          <w:kern w:val="0"/>
          <w14:ligatures w14:val="none"/>
        </w:rPr>
        <w:t>:</w:t>
      </w:r>
    </w:p>
    <w:p w14:paraId="00A891B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Their framework underscores that representational exclusion is structured by stigma, institutional rules, and partisan incentives, all of which vary systematically across states. This variation shapes the representational terrain my measures of symbolic and epistemic inclusion will be applied to.</w:t>
      </w:r>
    </w:p>
    <w:p w14:paraId="5DEAE01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a strong justification for including state-level covariates in later causal models.</w:t>
      </w:r>
    </w:p>
    <w:p w14:paraId="16A2A3B4"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17F543DB">
          <v:rect id="_x0000_i1061" alt="" style="width:468pt;height:.05pt;mso-width-percent:0;mso-height-percent:0;mso-width-percent:0;mso-height-percent:0" o:hralign="center" o:hrstd="t" o:hr="t" fillcolor="#a0a0a0" stroked="f"/>
        </w:pict>
      </w:r>
    </w:p>
    <w:p w14:paraId="786EDFD1"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IV. Final Suggested Replacement for Your Flagged Sentence</w:t>
      </w:r>
    </w:p>
    <w:p w14:paraId="508D544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Best, tightest version (use this verbatim if you like):</w:t>
      </w:r>
    </w:p>
    <w:p w14:paraId="58E8061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No existing work examines whether legislators symbolically recognize incarcerated people as constituents across the communicative venues where representation is performed. This omission is particularly consequential because states—which administer nearly all criminal legal policy and exhibit stark variation in democratic performance and participation rules (Grumbach 2022)—form the institutional environment in which most carceral citizens are governed. And while recent research shows that legislators provide lower-quality constituent service to community-dwelling people with felony convictions (Israel-Trummel et al. forthcoming), we know nothing about whether incarcerated people appear within legislators’ symbolic or epistemic horizons at all.</w:t>
      </w:r>
    </w:p>
    <w:p w14:paraId="583E33F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clean, coherent, grant-appropriate, and grounded.</w:t>
      </w:r>
    </w:p>
    <w:p w14:paraId="24B48263"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Reading Guide: Political Theory for an Empirical Scholar</w:t>
      </w:r>
    </w:p>
    <w:p w14:paraId="3BFAD59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i/>
          <w:iCs/>
          <w:kern w:val="0"/>
          <w14:ligatures w14:val="none"/>
        </w:rPr>
        <w:lastRenderedPageBreak/>
        <w:t>(Using Pottle 2025 as the example)</w:t>
      </w:r>
    </w:p>
    <w:p w14:paraId="20E0386E"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1. What Political Theory Papers Are Doing (That May Be New If You're Not a Theorist)</w:t>
      </w:r>
    </w:p>
    <w:p w14:paraId="54E1872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Most political theory (especially democratic theory) papers do three things:</w:t>
      </w:r>
    </w:p>
    <w:p w14:paraId="6B0A25E0"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a. Diagnose a problem</w:t>
      </w:r>
    </w:p>
    <w:p w14:paraId="7F5BEC3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They identify something normatively troubling in political life—inequality, power, domination, epistemic injustice—and name it or conceptualize it.</w:t>
      </w:r>
    </w:p>
    <w:p w14:paraId="0483200E"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 Provide a conceptual explanation</w:t>
      </w:r>
    </w:p>
    <w:p w14:paraId="3571739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They introduce a </w:t>
      </w:r>
      <w:r w:rsidRPr="00F97625">
        <w:rPr>
          <w:rFonts w:ascii="Times New Roman" w:eastAsia="Times New Roman" w:hAnsi="Times New Roman" w:cs="Times New Roman"/>
          <w:b/>
          <w:bCs/>
          <w:kern w:val="0"/>
          <w14:ligatures w14:val="none"/>
        </w:rPr>
        <w:t>conceptual mechanism</w:t>
      </w:r>
      <w:r w:rsidRPr="00F97625">
        <w:rPr>
          <w:rFonts w:ascii="Times New Roman" w:eastAsia="Times New Roman" w:hAnsi="Times New Roman" w:cs="Times New Roman"/>
          <w:kern w:val="0"/>
          <w14:ligatures w14:val="none"/>
        </w:rPr>
        <w:t xml:space="preserve">, often built from philosophy (Fricker, Anderson, Mills, Young, etc.), to explain what the problem </w:t>
      </w:r>
      <w:r w:rsidRPr="00F97625">
        <w:rPr>
          <w:rFonts w:ascii="Times New Roman" w:eastAsia="Times New Roman" w:hAnsi="Times New Roman" w:cs="Times New Roman"/>
          <w:i/>
          <w:iCs/>
          <w:kern w:val="0"/>
          <w14:ligatures w14:val="none"/>
        </w:rPr>
        <w:t>is</w:t>
      </w:r>
      <w:r w:rsidRPr="00F97625">
        <w:rPr>
          <w:rFonts w:ascii="Times New Roman" w:eastAsia="Times New Roman" w:hAnsi="Times New Roman" w:cs="Times New Roman"/>
          <w:kern w:val="0"/>
          <w14:ligatures w14:val="none"/>
        </w:rPr>
        <w:t xml:space="preserve"> and </w:t>
      </w:r>
      <w:r w:rsidRPr="00F97625">
        <w:rPr>
          <w:rFonts w:ascii="Times New Roman" w:eastAsia="Times New Roman" w:hAnsi="Times New Roman" w:cs="Times New Roman"/>
          <w:i/>
          <w:iCs/>
          <w:kern w:val="0"/>
          <w14:ligatures w14:val="none"/>
        </w:rPr>
        <w:t>why it is objectionable</w:t>
      </w:r>
      <w:r w:rsidRPr="00F97625">
        <w:rPr>
          <w:rFonts w:ascii="Times New Roman" w:eastAsia="Times New Roman" w:hAnsi="Times New Roman" w:cs="Times New Roman"/>
          <w:kern w:val="0"/>
          <w14:ligatures w14:val="none"/>
        </w:rPr>
        <w:t xml:space="preserve"> on democratic or moral grounds.</w:t>
      </w:r>
    </w:p>
    <w:p w14:paraId="5C6CD5D4"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c. Make institutional, empirical, or normative claims</w:t>
      </w:r>
    </w:p>
    <w:p w14:paraId="5653FBA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They argue what institutions ought to do, or what researchers ought to study, given that conceptual diagnosis.</w:t>
      </w:r>
    </w:p>
    <w:p w14:paraId="6EEA4D7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Political theorists are </w:t>
      </w:r>
      <w:r w:rsidRPr="00F97625">
        <w:rPr>
          <w:rFonts w:ascii="Times New Roman" w:eastAsia="Times New Roman" w:hAnsi="Times New Roman" w:cs="Times New Roman"/>
          <w:i/>
          <w:iCs/>
          <w:kern w:val="0"/>
          <w14:ligatures w14:val="none"/>
        </w:rPr>
        <w:t>not</w:t>
      </w:r>
      <w:r w:rsidRPr="00F97625">
        <w:rPr>
          <w:rFonts w:ascii="Times New Roman" w:eastAsia="Times New Roman" w:hAnsi="Times New Roman" w:cs="Times New Roman"/>
          <w:kern w:val="0"/>
          <w14:ligatures w14:val="none"/>
        </w:rPr>
        <w:t xml:space="preserve"> proving empirical causality. They’re building a </w:t>
      </w:r>
      <w:r w:rsidRPr="00F97625">
        <w:rPr>
          <w:rFonts w:ascii="Times New Roman" w:eastAsia="Times New Roman" w:hAnsi="Times New Roman" w:cs="Times New Roman"/>
          <w:b/>
          <w:bCs/>
          <w:kern w:val="0"/>
          <w14:ligatures w14:val="none"/>
        </w:rPr>
        <w:t>normative framework</w:t>
      </w:r>
      <w:r w:rsidRPr="00F97625">
        <w:rPr>
          <w:rFonts w:ascii="Times New Roman" w:eastAsia="Times New Roman" w:hAnsi="Times New Roman" w:cs="Times New Roman"/>
          <w:kern w:val="0"/>
          <w14:ligatures w14:val="none"/>
        </w:rPr>
        <w:t xml:space="preserve"> that empirical scholars (like you) can test, adapt, or critique.</w:t>
      </w:r>
    </w:p>
    <w:p w14:paraId="2DAAF4F3"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26391F32">
          <v:rect id="_x0000_i1041" style="width:0;height:1.5pt" o:hralign="center" o:hrstd="t" o:hr="t" fillcolor="#a0a0a0" stroked="f"/>
        </w:pict>
      </w:r>
    </w:p>
    <w:p w14:paraId="1283C79A"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2. Core Concepts &amp; Terms in Pottle (Translated Into Empirical-Political-Science Language)</w:t>
      </w:r>
    </w:p>
    <w:p w14:paraId="648D10B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 paper sits at the intersection of </w:t>
      </w:r>
      <w:r w:rsidRPr="00F97625">
        <w:rPr>
          <w:rFonts w:ascii="Times New Roman" w:eastAsia="Times New Roman" w:hAnsi="Times New Roman" w:cs="Times New Roman"/>
          <w:b/>
          <w:bCs/>
          <w:kern w:val="0"/>
          <w14:ligatures w14:val="none"/>
        </w:rPr>
        <w:t>policy responsiveness</w:t>
      </w:r>
      <w:r w:rsidRPr="00F97625">
        <w:rPr>
          <w:rFonts w:ascii="Times New Roman" w:eastAsia="Times New Roman" w:hAnsi="Times New Roman" w:cs="Times New Roman"/>
          <w:kern w:val="0"/>
          <w14:ligatures w14:val="none"/>
        </w:rPr>
        <w:t xml:space="preserve">, </w:t>
      </w:r>
      <w:r w:rsidRPr="00F97625">
        <w:rPr>
          <w:rFonts w:ascii="Times New Roman" w:eastAsia="Times New Roman" w:hAnsi="Times New Roman" w:cs="Times New Roman"/>
          <w:b/>
          <w:bCs/>
          <w:kern w:val="0"/>
          <w14:ligatures w14:val="none"/>
        </w:rPr>
        <w:t>political inequality</w:t>
      </w:r>
      <w:r w:rsidRPr="00F97625">
        <w:rPr>
          <w:rFonts w:ascii="Times New Roman" w:eastAsia="Times New Roman" w:hAnsi="Times New Roman" w:cs="Times New Roman"/>
          <w:kern w:val="0"/>
          <w14:ligatures w14:val="none"/>
        </w:rPr>
        <w:t xml:space="preserve">, and </w:t>
      </w:r>
      <w:r w:rsidRPr="00F97625">
        <w:rPr>
          <w:rFonts w:ascii="Times New Roman" w:eastAsia="Times New Roman" w:hAnsi="Times New Roman" w:cs="Times New Roman"/>
          <w:b/>
          <w:bCs/>
          <w:kern w:val="0"/>
          <w14:ligatures w14:val="none"/>
        </w:rPr>
        <w:t>epistemic injustice</w:t>
      </w:r>
      <w:r w:rsidRPr="00F97625">
        <w:rPr>
          <w:rFonts w:ascii="Times New Roman" w:eastAsia="Times New Roman" w:hAnsi="Times New Roman" w:cs="Times New Roman"/>
          <w:kern w:val="0"/>
          <w14:ligatures w14:val="none"/>
        </w:rPr>
        <w:t>. Here are the key terms you’ll want to master:</w:t>
      </w:r>
    </w:p>
    <w:p w14:paraId="12C66DE2"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1. Strategic value</w:t>
      </w:r>
    </w:p>
    <w:p w14:paraId="61723C2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In Pottle’s theory, voters have unequal </w:t>
      </w:r>
      <w:r w:rsidRPr="00F97625">
        <w:rPr>
          <w:rFonts w:ascii="Times New Roman" w:eastAsia="Times New Roman" w:hAnsi="Times New Roman" w:cs="Times New Roman"/>
          <w:b/>
          <w:bCs/>
          <w:kern w:val="0"/>
          <w14:ligatures w14:val="none"/>
        </w:rPr>
        <w:t>strategic value</w:t>
      </w:r>
      <w:r w:rsidRPr="00F97625">
        <w:rPr>
          <w:rFonts w:ascii="Times New Roman" w:eastAsia="Times New Roman" w:hAnsi="Times New Roman" w:cs="Times New Roman"/>
          <w:kern w:val="0"/>
          <w14:ligatures w14:val="none"/>
        </w:rPr>
        <w:t xml:space="preserve"> to politicians depending on their importance to reelection.</w:t>
      </w:r>
      <w:r w:rsidRPr="00F97625">
        <w:rPr>
          <w:rFonts w:ascii="Times New Roman" w:eastAsia="Times New Roman" w:hAnsi="Times New Roman" w:cs="Times New Roman"/>
          <w:kern w:val="0"/>
          <w14:ligatures w14:val="none"/>
        </w:rPr>
        <w:br/>
        <w:t>This aligns with:</w:t>
      </w:r>
    </w:p>
    <w:p w14:paraId="767BC30B" w14:textId="77777777" w:rsidR="00F97625" w:rsidRPr="00F97625" w:rsidRDefault="00F97625" w:rsidP="00F976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Fenno’s concentric circles </w:t>
      </w:r>
    </w:p>
    <w:p w14:paraId="04F67363" w14:textId="77777777" w:rsidR="00F97625" w:rsidRPr="00F97625" w:rsidRDefault="00F97625" w:rsidP="00F976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 xml:space="preserve">Miller &amp; Stokes </w:t>
      </w:r>
    </w:p>
    <w:p w14:paraId="7DB55023" w14:textId="77777777" w:rsidR="00F97625" w:rsidRPr="00F97625" w:rsidRDefault="00F97625" w:rsidP="00F976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Broockman &amp; Skovron (misperceptions of public opinion) </w:t>
      </w:r>
    </w:p>
    <w:p w14:paraId="2FD0513E" w14:textId="77777777" w:rsidR="00F97625" w:rsidRPr="00F97625" w:rsidRDefault="00F97625" w:rsidP="00F9762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Electoral capture (Frymer) </w:t>
      </w:r>
    </w:p>
    <w:p w14:paraId="65C97B0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Pottle’s twist: </w:t>
      </w:r>
      <w:r w:rsidRPr="00F97625">
        <w:rPr>
          <w:rFonts w:ascii="Times New Roman" w:eastAsia="Times New Roman" w:hAnsi="Times New Roman" w:cs="Times New Roman"/>
          <w:b/>
          <w:bCs/>
          <w:kern w:val="0"/>
          <w14:ligatures w14:val="none"/>
        </w:rPr>
        <w:t xml:space="preserve">strategic value shapes not only policy outputs, but what elites </w:t>
      </w:r>
      <w:r w:rsidRPr="00F97625">
        <w:rPr>
          <w:rFonts w:ascii="Times New Roman" w:eastAsia="Times New Roman" w:hAnsi="Times New Roman" w:cs="Times New Roman"/>
          <w:b/>
          <w:bCs/>
          <w:i/>
          <w:iCs/>
          <w:kern w:val="0"/>
          <w14:ligatures w14:val="none"/>
        </w:rPr>
        <w:t>say</w:t>
      </w:r>
      <w:r w:rsidRPr="00F97625">
        <w:rPr>
          <w:rFonts w:ascii="Times New Roman" w:eastAsia="Times New Roman" w:hAnsi="Times New Roman" w:cs="Times New Roman"/>
          <w:b/>
          <w:bCs/>
          <w:kern w:val="0"/>
          <w14:ligatures w14:val="none"/>
        </w:rPr>
        <w:t xml:space="preserve"> and therefore what citizens learn.</w:t>
      </w:r>
    </w:p>
    <w:p w14:paraId="7D81D4FE"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786E765C">
          <v:rect id="_x0000_i1042" style="width:0;height:1.5pt" o:hralign="center" o:hrstd="t" o:hr="t" fillcolor="#a0a0a0" stroked="f"/>
        </w:pict>
      </w:r>
    </w:p>
    <w:p w14:paraId="78D51479"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2. Elite cues as epistemic infrastructure</w:t>
      </w:r>
    </w:p>
    <w:p w14:paraId="217F5E1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Elite rhetoric = a </w:t>
      </w:r>
      <w:r w:rsidRPr="00F97625">
        <w:rPr>
          <w:rFonts w:ascii="Times New Roman" w:eastAsia="Times New Roman" w:hAnsi="Times New Roman" w:cs="Times New Roman"/>
          <w:b/>
          <w:bCs/>
          <w:kern w:val="0"/>
          <w14:ligatures w14:val="none"/>
        </w:rPr>
        <w:t>knowledge-distribution mechanism</w:t>
      </w:r>
      <w:r w:rsidRPr="00F97625">
        <w:rPr>
          <w:rFonts w:ascii="Times New Roman" w:eastAsia="Times New Roman" w:hAnsi="Times New Roman" w:cs="Times New Roman"/>
          <w:kern w:val="0"/>
          <w14:ligatures w14:val="none"/>
        </w:rPr>
        <w:t xml:space="preserve"> in democracy.</w:t>
      </w:r>
      <w:r w:rsidRPr="00F97625">
        <w:rPr>
          <w:rFonts w:ascii="Times New Roman" w:eastAsia="Times New Roman" w:hAnsi="Times New Roman" w:cs="Times New Roman"/>
          <w:kern w:val="0"/>
          <w14:ligatures w14:val="none"/>
        </w:rPr>
        <w:br/>
        <w:t>This mirrors Zaller/Lupia models but adds a normative claim:</w:t>
      </w:r>
    </w:p>
    <w:p w14:paraId="2E48929C" w14:textId="77777777" w:rsidR="00F97625" w:rsidRPr="00F97625" w:rsidRDefault="00F97625" w:rsidP="00F9762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If elite cues systematically ignore or misrepresent disadvantaged groups, that’s a </w:t>
      </w:r>
      <w:r w:rsidRPr="00F97625">
        <w:rPr>
          <w:rFonts w:ascii="Times New Roman" w:eastAsia="Times New Roman" w:hAnsi="Times New Roman" w:cs="Times New Roman"/>
          <w:i/>
          <w:iCs/>
          <w:kern w:val="0"/>
          <w14:ligatures w14:val="none"/>
        </w:rPr>
        <w:t>distinct</w:t>
      </w:r>
      <w:r w:rsidRPr="00F97625">
        <w:rPr>
          <w:rFonts w:ascii="Times New Roman" w:eastAsia="Times New Roman" w:hAnsi="Times New Roman" w:cs="Times New Roman"/>
          <w:kern w:val="0"/>
          <w14:ligatures w14:val="none"/>
        </w:rPr>
        <w:t xml:space="preserve"> form of political inequality. </w:t>
      </w:r>
    </w:p>
    <w:p w14:paraId="312D3BBF"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40BFA647">
          <v:rect id="_x0000_i1043" style="width:0;height:1.5pt" o:hralign="center" o:hrstd="t" o:hr="t" fillcolor="#a0a0a0" stroked="f"/>
        </w:pict>
      </w:r>
    </w:p>
    <w:p w14:paraId="2F59D665"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3. Hermeneutic injustice</w:t>
      </w:r>
    </w:p>
    <w:p w14:paraId="2482A98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 Fricker term.</w:t>
      </w:r>
      <w:r w:rsidRPr="00F97625">
        <w:rPr>
          <w:rFonts w:ascii="Times New Roman" w:eastAsia="Times New Roman" w:hAnsi="Times New Roman" w:cs="Times New Roman"/>
          <w:kern w:val="0"/>
          <w14:ligatures w14:val="none"/>
        </w:rPr>
        <w:br/>
        <w:t xml:space="preserve">Meaning: Some groups cannot </w:t>
      </w:r>
      <w:r w:rsidRPr="00F97625">
        <w:rPr>
          <w:rFonts w:ascii="Times New Roman" w:eastAsia="Times New Roman" w:hAnsi="Times New Roman" w:cs="Times New Roman"/>
          <w:i/>
          <w:iCs/>
          <w:kern w:val="0"/>
          <w14:ligatures w14:val="none"/>
        </w:rPr>
        <w:t>make sense</w:t>
      </w:r>
      <w:r w:rsidRPr="00F97625">
        <w:rPr>
          <w:rFonts w:ascii="Times New Roman" w:eastAsia="Times New Roman" w:hAnsi="Times New Roman" w:cs="Times New Roman"/>
          <w:kern w:val="0"/>
          <w14:ligatures w14:val="none"/>
        </w:rPr>
        <w:t xml:space="preserve"> of their experiences in collective discourse because the discursive resources are missing or biased.</w:t>
      </w:r>
    </w:p>
    <w:p w14:paraId="43AE426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Translated for empiricists:</w:t>
      </w:r>
    </w:p>
    <w:p w14:paraId="0F37847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When political discourse lacks the concepts needed to understand a group’s lived experience, that group can’t get traction in public debate.</w:t>
      </w:r>
    </w:p>
    <w:p w14:paraId="5FE2023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Pottle uses examples such as:</w:t>
      </w:r>
    </w:p>
    <w:p w14:paraId="7C7C56F7" w14:textId="77777777" w:rsidR="00F97625" w:rsidRPr="00F97625" w:rsidRDefault="00F97625" w:rsidP="00F976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Defund policing rhetoric being suppressed </w:t>
      </w:r>
    </w:p>
    <w:p w14:paraId="49213126" w14:textId="77777777" w:rsidR="00F97625" w:rsidRPr="00F97625" w:rsidRDefault="00F97625" w:rsidP="00F976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Dog-whistling </w:t>
      </w:r>
    </w:p>
    <w:p w14:paraId="19675C8B" w14:textId="77777777" w:rsidR="00F97625" w:rsidRPr="00F97625" w:rsidRDefault="00F97625" w:rsidP="00F976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White moderates’ interpretive dominance </w:t>
      </w:r>
    </w:p>
    <w:p w14:paraId="2D55FCE4"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135AB934">
          <v:rect id="_x0000_i1044" style="width:0;height:1.5pt" o:hralign="center" o:hrstd="t" o:hr="t" fillcolor="#a0a0a0" stroked="f"/>
        </w:pict>
      </w:r>
    </w:p>
    <w:p w14:paraId="56D379BD"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4. Testimonial injustice</w:t>
      </w:r>
    </w:p>
    <w:p w14:paraId="09F2295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Another Fricker concept meaning:</w:t>
      </w:r>
    </w:p>
    <w:p w14:paraId="2A29CF9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A speaker is not believed </w:t>
      </w:r>
      <w:r w:rsidRPr="00F97625">
        <w:rPr>
          <w:rFonts w:ascii="Times New Roman" w:eastAsia="Times New Roman" w:hAnsi="Times New Roman" w:cs="Times New Roman"/>
          <w:i/>
          <w:iCs/>
          <w:kern w:val="0"/>
          <w14:ligatures w14:val="none"/>
        </w:rPr>
        <w:t>because</w:t>
      </w:r>
      <w:r w:rsidRPr="00F97625">
        <w:rPr>
          <w:rFonts w:ascii="Times New Roman" w:eastAsia="Times New Roman" w:hAnsi="Times New Roman" w:cs="Times New Roman"/>
          <w:kern w:val="0"/>
          <w14:ligatures w14:val="none"/>
        </w:rPr>
        <w:t xml:space="preserve"> of who they are.</w:t>
      </w:r>
    </w:p>
    <w:p w14:paraId="210DC8E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 xml:space="preserve">Pottle’s move: electoral incentives lead elites to effectively treat some groups’ testimony as </w:t>
      </w:r>
      <w:r w:rsidRPr="00F97625">
        <w:rPr>
          <w:rFonts w:ascii="Times New Roman" w:eastAsia="Times New Roman" w:hAnsi="Times New Roman" w:cs="Times New Roman"/>
          <w:b/>
          <w:bCs/>
          <w:kern w:val="0"/>
          <w14:ligatures w14:val="none"/>
        </w:rPr>
        <w:t>less credible or less useful</w:t>
      </w:r>
      <w:r w:rsidRPr="00F97625">
        <w:rPr>
          <w:rFonts w:ascii="Times New Roman" w:eastAsia="Times New Roman" w:hAnsi="Times New Roman" w:cs="Times New Roman"/>
          <w:kern w:val="0"/>
          <w14:ligatures w14:val="none"/>
        </w:rPr>
        <w:t>.</w:t>
      </w:r>
      <w:r w:rsidRPr="00F97625">
        <w:rPr>
          <w:rFonts w:ascii="Times New Roman" w:eastAsia="Times New Roman" w:hAnsi="Times New Roman" w:cs="Times New Roman"/>
          <w:kern w:val="0"/>
          <w14:ligatures w14:val="none"/>
        </w:rPr>
        <w:br/>
        <w:t>This produces:</w:t>
      </w:r>
    </w:p>
    <w:p w14:paraId="28E0C864" w14:textId="77777777" w:rsidR="00F97625" w:rsidRPr="00F97625" w:rsidRDefault="00F97625" w:rsidP="00F976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distorted media coverage </w:t>
      </w:r>
    </w:p>
    <w:p w14:paraId="52747DF1" w14:textId="77777777" w:rsidR="00F97625" w:rsidRPr="00F97625" w:rsidRDefault="00F97625" w:rsidP="00F976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elite reinforcement of stereotypes </w:t>
      </w:r>
    </w:p>
    <w:p w14:paraId="5A1069AE" w14:textId="77777777" w:rsidR="00F97625" w:rsidRPr="00F97625" w:rsidRDefault="00F97625" w:rsidP="00F976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delegation of “knowledge production” to advantaged groups </w:t>
      </w:r>
    </w:p>
    <w:p w14:paraId="42B31DF7"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1A7FB757">
          <v:rect id="_x0000_i1045" style="width:0;height:1.5pt" o:hralign="center" o:hrstd="t" o:hr="t" fillcolor="#a0a0a0" stroked="f"/>
        </w:pict>
      </w:r>
    </w:p>
    <w:p w14:paraId="6C9159D4"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5. Epistemic inequality as a democratic problem</w:t>
      </w:r>
    </w:p>
    <w:p w14:paraId="1F3016B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Political scientists normally emphasize </w:t>
      </w:r>
      <w:r w:rsidRPr="00F97625">
        <w:rPr>
          <w:rFonts w:ascii="Times New Roman" w:eastAsia="Times New Roman" w:hAnsi="Times New Roman" w:cs="Times New Roman"/>
          <w:i/>
          <w:iCs/>
          <w:kern w:val="0"/>
          <w14:ligatures w14:val="none"/>
        </w:rPr>
        <w:t>unequal policy influence</w:t>
      </w:r>
      <w:r w:rsidRPr="00F97625">
        <w:rPr>
          <w:rFonts w:ascii="Times New Roman" w:eastAsia="Times New Roman" w:hAnsi="Times New Roman" w:cs="Times New Roman"/>
          <w:kern w:val="0"/>
          <w14:ligatures w14:val="none"/>
        </w:rPr>
        <w:t>.</w:t>
      </w:r>
      <w:r w:rsidRPr="00F97625">
        <w:rPr>
          <w:rFonts w:ascii="Times New Roman" w:eastAsia="Times New Roman" w:hAnsi="Times New Roman" w:cs="Times New Roman"/>
          <w:kern w:val="0"/>
          <w14:ligatures w14:val="none"/>
        </w:rPr>
        <w:br/>
        <w:t>Pottle adds a second axis:</w:t>
      </w:r>
    </w:p>
    <w:p w14:paraId="12E38E1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Unequal influence on the collective meaning-making that informs political judgment.</w:t>
      </w:r>
    </w:p>
    <w:p w14:paraId="3ECF09FB"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the paper’s originality.</w:t>
      </w:r>
    </w:p>
    <w:p w14:paraId="27BEC52A"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30A947F8">
          <v:rect id="_x0000_i1046" style="width:0;height:1.5pt" o:hralign="center" o:hrstd="t" o:hr="t" fillcolor="#a0a0a0" stroked="f"/>
        </w:pict>
      </w:r>
    </w:p>
    <w:p w14:paraId="5C9EB413"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3. How to Read a Political Theory Paper Like This</w:t>
      </w:r>
    </w:p>
    <w:p w14:paraId="4F6F123F"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Step 1: Identify the empirical hook</w:t>
      </w:r>
    </w:p>
    <w:p w14:paraId="731BD07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Start with the puzzle:</w:t>
      </w:r>
    </w:p>
    <w:p w14:paraId="0D18DC9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Electoral incentives make politicians cater rhetorically to strategically valuable constituencies.</w:t>
      </w:r>
      <w:r w:rsidRPr="00F97625">
        <w:rPr>
          <w:rFonts w:ascii="Times New Roman" w:eastAsia="Times New Roman" w:hAnsi="Times New Roman" w:cs="Times New Roman"/>
          <w:kern w:val="0"/>
          <w14:ligatures w14:val="none"/>
        </w:rPr>
        <w:br/>
        <w:t>This distorts how political knowledge is created and circulated.</w:t>
      </w:r>
    </w:p>
    <w:p w14:paraId="0DD4513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your bridge into the paper.</w:t>
      </w:r>
    </w:p>
    <w:p w14:paraId="253CB78C"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693AB3E2">
          <v:rect id="_x0000_i1047" style="width:0;height:1.5pt" o:hralign="center" o:hrstd="t" o:hr="t" fillcolor="#a0a0a0" stroked="f"/>
        </w:pict>
      </w:r>
    </w:p>
    <w:p w14:paraId="255A4669"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Step 2: Track the conceptual machinery</w:t>
      </w:r>
    </w:p>
    <w:p w14:paraId="134BE7BD"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Political theory deploys concepts like tools. For each one, ask:</w:t>
      </w:r>
    </w:p>
    <w:p w14:paraId="6205FCF9" w14:textId="77777777" w:rsidR="00F97625" w:rsidRPr="00F97625" w:rsidRDefault="00F97625" w:rsidP="00F976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What does it explain? </w:t>
      </w:r>
    </w:p>
    <w:p w14:paraId="1AC6C8F5" w14:textId="77777777" w:rsidR="00F97625" w:rsidRPr="00F97625" w:rsidRDefault="00F97625" w:rsidP="00F976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Why is it needed? </w:t>
      </w:r>
    </w:p>
    <w:p w14:paraId="57181314" w14:textId="77777777" w:rsidR="00F97625" w:rsidRPr="00F97625" w:rsidRDefault="00F97625" w:rsidP="00F976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What phenomenon in the real world does it map onto? </w:t>
      </w:r>
    </w:p>
    <w:p w14:paraId="51A0C95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In this case:</w:t>
      </w:r>
      <w:r w:rsidRPr="00F97625">
        <w:rPr>
          <w:rFonts w:ascii="Times New Roman" w:eastAsia="Times New Roman" w:hAnsi="Times New Roman" w:cs="Times New Roman"/>
          <w:kern w:val="0"/>
          <w14:ligatures w14:val="none"/>
        </w:rPr>
        <w:br/>
        <w:t xml:space="preserve">Strategic value → distorted rhetoric → </w:t>
      </w:r>
      <w:r w:rsidRPr="00F97625">
        <w:rPr>
          <w:rFonts w:ascii="Times New Roman" w:eastAsia="Times New Roman" w:hAnsi="Times New Roman" w:cs="Times New Roman"/>
          <w:i/>
          <w:iCs/>
          <w:kern w:val="0"/>
          <w14:ligatures w14:val="none"/>
        </w:rPr>
        <w:t>hermeneutic injustice</w:t>
      </w:r>
      <w:r w:rsidRPr="00F97625">
        <w:rPr>
          <w:rFonts w:ascii="Times New Roman" w:eastAsia="Times New Roman" w:hAnsi="Times New Roman" w:cs="Times New Roman"/>
          <w:kern w:val="0"/>
          <w14:ligatures w14:val="none"/>
        </w:rPr>
        <w:t xml:space="preserve"> + </w:t>
      </w:r>
      <w:r w:rsidRPr="00F97625">
        <w:rPr>
          <w:rFonts w:ascii="Times New Roman" w:eastAsia="Times New Roman" w:hAnsi="Times New Roman" w:cs="Times New Roman"/>
          <w:i/>
          <w:iCs/>
          <w:kern w:val="0"/>
          <w14:ligatures w14:val="none"/>
        </w:rPr>
        <w:t>testimonial injustice</w:t>
      </w:r>
      <w:r w:rsidRPr="00F97625">
        <w:rPr>
          <w:rFonts w:ascii="Times New Roman" w:eastAsia="Times New Roman" w:hAnsi="Times New Roman" w:cs="Times New Roman"/>
          <w:kern w:val="0"/>
          <w14:ligatures w14:val="none"/>
        </w:rPr>
        <w:t xml:space="preserve"> → degraded democratic knowledge → worse representation</w:t>
      </w:r>
    </w:p>
    <w:p w14:paraId="20582D93"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0C13C730">
          <v:rect id="_x0000_i1048" style="width:0;height:1.5pt" o:hralign="center" o:hrstd="t" o:hr="t" fillcolor="#a0a0a0" stroked="f"/>
        </w:pict>
      </w:r>
    </w:p>
    <w:p w14:paraId="71D9319F"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Step 3: Separate the normative claims from the empirical ones</w:t>
      </w:r>
    </w:p>
    <w:p w14:paraId="34519D1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Pottle does </w:t>
      </w:r>
      <w:r w:rsidRPr="00F97625">
        <w:rPr>
          <w:rFonts w:ascii="Times New Roman" w:eastAsia="Times New Roman" w:hAnsi="Times New Roman" w:cs="Times New Roman"/>
          <w:i/>
          <w:iCs/>
          <w:kern w:val="0"/>
          <w14:ligatures w14:val="none"/>
        </w:rPr>
        <w:t>not</w:t>
      </w:r>
      <w:r w:rsidRPr="00F97625">
        <w:rPr>
          <w:rFonts w:ascii="Times New Roman" w:eastAsia="Times New Roman" w:hAnsi="Times New Roman" w:cs="Times New Roman"/>
          <w:kern w:val="0"/>
          <w14:ligatures w14:val="none"/>
        </w:rPr>
        <w:t xml:space="preserve"> claim:</w:t>
      </w:r>
    </w:p>
    <w:p w14:paraId="3A037C34" w14:textId="77777777" w:rsidR="00F97625" w:rsidRPr="00F97625" w:rsidRDefault="00F97625" w:rsidP="00F9762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that elites always behave this way </w:t>
      </w:r>
    </w:p>
    <w:p w14:paraId="32C0A75D" w14:textId="77777777" w:rsidR="00F97625" w:rsidRPr="00F97625" w:rsidRDefault="00F97625" w:rsidP="00F9762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that rhetoric measurably produces policy change </w:t>
      </w:r>
    </w:p>
    <w:p w14:paraId="23E177C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He does claim:</w:t>
      </w:r>
    </w:p>
    <w:p w14:paraId="1BBCAA5E" w14:textId="77777777" w:rsidR="00F97625" w:rsidRPr="00F97625" w:rsidRDefault="00F97625" w:rsidP="00F9762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that unequal influence in discourse is a normative wrong </w:t>
      </w:r>
    </w:p>
    <w:p w14:paraId="2FE09DE8" w14:textId="77777777" w:rsidR="00F97625" w:rsidRPr="00F97625" w:rsidRDefault="00F97625" w:rsidP="00F9762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that electoral institutions can worsen or alleviate this injustice </w:t>
      </w:r>
    </w:p>
    <w:p w14:paraId="5716AB3E" w14:textId="77777777" w:rsidR="00F97625" w:rsidRPr="00F97625" w:rsidRDefault="00F97625" w:rsidP="00F9762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that empirical researchers should test how electoral reforms shift rhetorical incentives </w:t>
      </w:r>
    </w:p>
    <w:p w14:paraId="1BB43AD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For you: note where he invites empirical work.</w:t>
      </w:r>
    </w:p>
    <w:p w14:paraId="6C416733"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6DCD26FF">
          <v:rect id="_x0000_i1049" style="width:0;height:1.5pt" o:hralign="center" o:hrstd="t" o:hr="t" fillcolor="#a0a0a0" stroked="f"/>
        </w:pict>
      </w:r>
    </w:p>
    <w:p w14:paraId="2420F25C"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Step 4: Anchor the paper to your domain</w:t>
      </w:r>
    </w:p>
    <w:p w14:paraId="1EFE7D61"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should constantly ask:</w:t>
      </w:r>
    </w:p>
    <w:p w14:paraId="241CB06E" w14:textId="77777777" w:rsidR="00F97625" w:rsidRPr="00F97625" w:rsidRDefault="00F97625" w:rsidP="00F9762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does incarcerated/nonvoting populations map onto “strategically irrelevant constituencies”? </w:t>
      </w:r>
    </w:p>
    <w:p w14:paraId="7BA93CA8" w14:textId="77777777" w:rsidR="00F97625" w:rsidRPr="00F97625" w:rsidRDefault="00F97625" w:rsidP="00F9762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does mass incarceration generate hermeneutic lacunae? </w:t>
      </w:r>
    </w:p>
    <w:p w14:paraId="2688EAED" w14:textId="77777777" w:rsidR="00F97625" w:rsidRPr="00F97625" w:rsidRDefault="00F97625" w:rsidP="00F9762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does your work on deservingness and political psychology intersect with epistemic marginalization? </w:t>
      </w:r>
    </w:p>
    <w:p w14:paraId="6DA93D2B"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725DE511">
          <v:rect id="_x0000_i1050" style="width:0;height:1.5pt" o:hralign="center" o:hrstd="t" o:hr="t" fillcolor="#a0a0a0" stroked="f"/>
        </w:pict>
      </w:r>
    </w:p>
    <w:p w14:paraId="109C87DF"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4. Section-by-Section Guide to the Paper</w:t>
      </w:r>
    </w:p>
    <w:p w14:paraId="6015230B"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I. Introduction</w:t>
      </w:r>
    </w:p>
    <w:p w14:paraId="25EE3D3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Pottle stakes his claim:</w:t>
      </w:r>
    </w:p>
    <w:p w14:paraId="3FAED66C" w14:textId="77777777" w:rsidR="00F97625" w:rsidRPr="00F97625" w:rsidRDefault="00F97625" w:rsidP="00F9762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Elite rhetoric is unequally responsive because of electoral incentives. </w:t>
      </w:r>
    </w:p>
    <w:p w14:paraId="3164C19B" w14:textId="77777777" w:rsidR="00F97625" w:rsidRPr="00F97625" w:rsidRDefault="00F97625" w:rsidP="00F9762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This produces </w:t>
      </w:r>
      <w:r w:rsidRPr="00F97625">
        <w:rPr>
          <w:rFonts w:ascii="Times New Roman" w:eastAsia="Times New Roman" w:hAnsi="Times New Roman" w:cs="Times New Roman"/>
          <w:b/>
          <w:bCs/>
          <w:kern w:val="0"/>
          <w14:ligatures w14:val="none"/>
        </w:rPr>
        <w:t>epistemic injustice</w:t>
      </w:r>
      <w:r w:rsidRPr="00F97625">
        <w:rPr>
          <w:rFonts w:ascii="Times New Roman" w:eastAsia="Times New Roman" w:hAnsi="Times New Roman" w:cs="Times New Roman"/>
          <w:kern w:val="0"/>
          <w14:ligatures w14:val="none"/>
        </w:rPr>
        <w:t>, not just unequal policy representation.</w:t>
      </w:r>
    </w:p>
    <w:p w14:paraId="01641F0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lastRenderedPageBreak/>
        <w:t>Reading tip:</w:t>
      </w:r>
      <w:r w:rsidRPr="00F97625">
        <w:rPr>
          <w:rFonts w:ascii="Times New Roman" w:eastAsia="Times New Roman" w:hAnsi="Times New Roman" w:cs="Times New Roman"/>
          <w:kern w:val="0"/>
          <w14:ligatures w14:val="none"/>
        </w:rPr>
        <w:br/>
        <w:t>Take this as the map. Every later claim plugs into this.</w:t>
      </w:r>
    </w:p>
    <w:p w14:paraId="7906AFC5"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1729B4B0">
          <v:rect id="_x0000_i1051" style="width:0;height:1.5pt" o:hralign="center" o:hrstd="t" o:hr="t" fillcolor="#a0a0a0" stroked="f"/>
        </w:pict>
      </w:r>
    </w:p>
    <w:p w14:paraId="1092182C"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II. How Electoral Representation Shapes Rhetoric</w:t>
      </w:r>
    </w:p>
    <w:p w14:paraId="4FB61BBC"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Key idea:</w:t>
      </w:r>
    </w:p>
    <w:p w14:paraId="1852EDA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Politicians craft messages that </w:t>
      </w:r>
      <w:r w:rsidRPr="00F97625">
        <w:rPr>
          <w:rFonts w:ascii="Times New Roman" w:eastAsia="Times New Roman" w:hAnsi="Times New Roman" w:cs="Times New Roman"/>
          <w:i/>
          <w:iCs/>
          <w:kern w:val="0"/>
          <w14:ligatures w14:val="none"/>
        </w:rPr>
        <w:t>resonate</w:t>
      </w:r>
      <w:r w:rsidRPr="00F97625">
        <w:rPr>
          <w:rFonts w:ascii="Times New Roman" w:eastAsia="Times New Roman" w:hAnsi="Times New Roman" w:cs="Times New Roman"/>
          <w:kern w:val="0"/>
          <w14:ligatures w14:val="none"/>
        </w:rPr>
        <w:t xml:space="preserve"> with strategically valuable voters.</w:t>
      </w:r>
      <w:r w:rsidRPr="00F97625">
        <w:rPr>
          <w:rFonts w:ascii="Times New Roman" w:eastAsia="Times New Roman" w:hAnsi="Times New Roman" w:cs="Times New Roman"/>
          <w:kern w:val="0"/>
          <w14:ligatures w14:val="none"/>
        </w:rPr>
        <w:br/>
        <w:t>(Aristotle → resonance → Zaller → Grimmer)</w:t>
      </w:r>
    </w:p>
    <w:p w14:paraId="4073671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Important for you:</w:t>
      </w:r>
      <w:r w:rsidRPr="00F97625">
        <w:rPr>
          <w:rFonts w:ascii="Times New Roman" w:eastAsia="Times New Roman" w:hAnsi="Times New Roman" w:cs="Times New Roman"/>
          <w:kern w:val="0"/>
          <w14:ligatures w14:val="none"/>
        </w:rPr>
        <w:br/>
        <w:t xml:space="preserve">This is about </w:t>
      </w:r>
      <w:r w:rsidRPr="00F97625">
        <w:rPr>
          <w:rFonts w:ascii="Times New Roman" w:eastAsia="Times New Roman" w:hAnsi="Times New Roman" w:cs="Times New Roman"/>
          <w:i/>
          <w:iCs/>
          <w:kern w:val="0"/>
          <w14:ligatures w14:val="none"/>
        </w:rPr>
        <w:t>representational style</w:t>
      </w:r>
      <w:r w:rsidRPr="00F97625">
        <w:rPr>
          <w:rFonts w:ascii="Times New Roman" w:eastAsia="Times New Roman" w:hAnsi="Times New Roman" w:cs="Times New Roman"/>
          <w:kern w:val="0"/>
          <w14:ligatures w14:val="none"/>
        </w:rPr>
        <w:t xml:space="preserve"> as much as policy.</w:t>
      </w:r>
    </w:p>
    <w:p w14:paraId="2646FE9A"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360592FD">
          <v:rect id="_x0000_i1052" style="width:0;height:1.5pt" o:hralign="center" o:hrstd="t" o:hr="t" fillcolor="#a0a0a0" stroked="f"/>
        </w:pict>
      </w:r>
    </w:p>
    <w:p w14:paraId="0CA22F98"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III. From Electoral Incentives to Epistemic Injustice</w:t>
      </w:r>
    </w:p>
    <w:p w14:paraId="45087EE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Core argument:</w:t>
      </w:r>
    </w:p>
    <w:p w14:paraId="71FA70CF" w14:textId="77777777" w:rsidR="00F97625" w:rsidRPr="00F97625" w:rsidRDefault="00F97625" w:rsidP="00F9762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Unequal turnout, resources, racial hierarchies → unequal strategic value </w:t>
      </w:r>
    </w:p>
    <w:p w14:paraId="2FC6BB2C" w14:textId="77777777" w:rsidR="00F97625" w:rsidRPr="00F97625" w:rsidRDefault="00F97625" w:rsidP="00F9762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Unequal strategic value → elites privilege advantaged groups’ perspectives </w:t>
      </w:r>
    </w:p>
    <w:p w14:paraId="76075821" w14:textId="77777777" w:rsidR="00F97625" w:rsidRPr="00F97625" w:rsidRDefault="00F97625" w:rsidP="00F9762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Privileging → epistemic injustice (hermeneutic + testimonial)</w:t>
      </w:r>
    </w:p>
    <w:p w14:paraId="12CCDF5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the section to read slowly.</w:t>
      </w:r>
    </w:p>
    <w:p w14:paraId="58A05E39"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0EE4BF97">
          <v:rect id="_x0000_i1053" style="width:0;height:1.5pt" o:hralign="center" o:hrstd="t" o:hr="t" fillcolor="#a0a0a0" stroked="f"/>
        </w:pict>
      </w:r>
    </w:p>
    <w:p w14:paraId="1B4BA034"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IV. The Hermeneutic Economy of Electoral Politics</w:t>
      </w:r>
    </w:p>
    <w:p w14:paraId="3F4DA92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The section shows </w:t>
      </w:r>
      <w:r w:rsidRPr="00F97625">
        <w:rPr>
          <w:rFonts w:ascii="Times New Roman" w:eastAsia="Times New Roman" w:hAnsi="Times New Roman" w:cs="Times New Roman"/>
          <w:i/>
          <w:iCs/>
          <w:kern w:val="0"/>
          <w14:ligatures w14:val="none"/>
        </w:rPr>
        <w:t>how</w:t>
      </w:r>
      <w:r w:rsidRPr="00F97625">
        <w:rPr>
          <w:rFonts w:ascii="Times New Roman" w:eastAsia="Times New Roman" w:hAnsi="Times New Roman" w:cs="Times New Roman"/>
          <w:kern w:val="0"/>
          <w14:ligatures w14:val="none"/>
        </w:rPr>
        <w:t xml:space="preserve"> this works:</w:t>
      </w:r>
    </w:p>
    <w:p w14:paraId="215F3B33"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Agenda setting </w:t>
      </w:r>
    </w:p>
    <w:p w14:paraId="5D6EDAEF"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Framing </w:t>
      </w:r>
    </w:p>
    <w:p w14:paraId="00D1E0A3"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Concept formation </w:t>
      </w:r>
    </w:p>
    <w:p w14:paraId="0EA39094"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Dog whistling </w:t>
      </w:r>
    </w:p>
    <w:p w14:paraId="33EE3C8F"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Racial distancing (Stephens-Dougan) </w:t>
      </w:r>
    </w:p>
    <w:p w14:paraId="5596012B" w14:textId="77777777" w:rsidR="00F97625" w:rsidRPr="00F97625" w:rsidRDefault="00F97625" w:rsidP="00F9762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Obama’s racial balancing</w:t>
      </w:r>
    </w:p>
    <w:p w14:paraId="76B7AE30"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Your work:</w:t>
      </w:r>
      <w:r w:rsidRPr="00F97625">
        <w:rPr>
          <w:rFonts w:ascii="Times New Roman" w:eastAsia="Times New Roman" w:hAnsi="Times New Roman" w:cs="Times New Roman"/>
          <w:kern w:val="0"/>
          <w14:ligatures w14:val="none"/>
        </w:rPr>
        <w:br/>
        <w:t>This framework applies directly to how legislators “see” or fail to see incarcerated people as part of their district.</w:t>
      </w:r>
    </w:p>
    <w:p w14:paraId="7FA26EAE"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7896C8DC">
          <v:rect id="_x0000_i1054" style="width:0;height:1.5pt" o:hralign="center" o:hrstd="t" o:hr="t" fillcolor="#a0a0a0" stroked="f"/>
        </w:pict>
      </w:r>
    </w:p>
    <w:p w14:paraId="157D042C"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lastRenderedPageBreak/>
        <w:t>V. Political Inequality’s Epistemic Cost</w:t>
      </w:r>
    </w:p>
    <w:p w14:paraId="7815C24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Key takeaway:</w:t>
      </w:r>
    </w:p>
    <w:p w14:paraId="75CC1E9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Unequal discourse produces bad policy </w:t>
      </w:r>
      <w:r w:rsidRPr="00F97625">
        <w:rPr>
          <w:rFonts w:ascii="Times New Roman" w:eastAsia="Times New Roman" w:hAnsi="Times New Roman" w:cs="Times New Roman"/>
          <w:i/>
          <w:iCs/>
          <w:kern w:val="0"/>
          <w14:ligatures w14:val="none"/>
        </w:rPr>
        <w:t>because</w:t>
      </w:r>
      <w:r w:rsidRPr="00F97625">
        <w:rPr>
          <w:rFonts w:ascii="Times New Roman" w:eastAsia="Times New Roman" w:hAnsi="Times New Roman" w:cs="Times New Roman"/>
          <w:kern w:val="0"/>
          <w14:ligatures w14:val="none"/>
        </w:rPr>
        <w:t xml:space="preserve"> elites and publics share distorted understandings.</w:t>
      </w:r>
    </w:p>
    <w:p w14:paraId="32BFB65E"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It also undermines accountability because citizens evaluate policy through elite-shaped lenses.</w:t>
      </w:r>
    </w:p>
    <w:p w14:paraId="7FC410AE"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4BA4AB4A">
          <v:rect id="_x0000_i1055" style="width:0;height:1.5pt" o:hralign="center" o:hrstd="t" o:hr="t" fillcolor="#a0a0a0" stroked="f"/>
        </w:pict>
      </w:r>
    </w:p>
    <w:p w14:paraId="1FC0EFEE" w14:textId="77777777" w:rsidR="00F97625" w:rsidRPr="00F97625" w:rsidRDefault="00F97625" w:rsidP="00F97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7625">
        <w:rPr>
          <w:rFonts w:ascii="Times New Roman" w:eastAsia="Times New Roman" w:hAnsi="Times New Roman" w:cs="Times New Roman"/>
          <w:b/>
          <w:bCs/>
          <w:kern w:val="0"/>
          <w:sz w:val="36"/>
          <w:szCs w:val="36"/>
          <w14:ligatures w14:val="none"/>
        </w:rPr>
        <w:t>VI. Can Elections Address Epistemic Injustice?</w:t>
      </w:r>
    </w:p>
    <w:p w14:paraId="47C1359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Pottle pushes against sortition and argues instead for:</w:t>
      </w:r>
    </w:p>
    <w:p w14:paraId="5A3170D7" w14:textId="77777777" w:rsidR="00F97625" w:rsidRPr="00F97625" w:rsidRDefault="00F97625" w:rsidP="00F9762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electoral reform </w:t>
      </w:r>
    </w:p>
    <w:p w14:paraId="35C2CE89" w14:textId="77777777" w:rsidR="00F97625" w:rsidRPr="00F97625" w:rsidRDefault="00F97625" w:rsidP="00F9762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structural adjustments </w:t>
      </w:r>
    </w:p>
    <w:p w14:paraId="0D7A1CDD" w14:textId="77777777" w:rsidR="00F97625" w:rsidRPr="00F97625" w:rsidRDefault="00F97625" w:rsidP="00F9762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evaluating reforms on their </w:t>
      </w:r>
      <w:r w:rsidRPr="00F97625">
        <w:rPr>
          <w:rFonts w:ascii="Times New Roman" w:eastAsia="Times New Roman" w:hAnsi="Times New Roman" w:cs="Times New Roman"/>
          <w:i/>
          <w:iCs/>
          <w:kern w:val="0"/>
          <w14:ligatures w14:val="none"/>
        </w:rPr>
        <w:t>discursive</w:t>
      </w:r>
      <w:r w:rsidRPr="00F97625">
        <w:rPr>
          <w:rFonts w:ascii="Times New Roman" w:eastAsia="Times New Roman" w:hAnsi="Times New Roman" w:cs="Times New Roman"/>
          <w:kern w:val="0"/>
          <w14:ligatures w14:val="none"/>
        </w:rPr>
        <w:t xml:space="preserve"> consequences, not just mechanical fairness </w:t>
      </w:r>
    </w:p>
    <w:p w14:paraId="20B1FB8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is where he issues hypotheses for empirical scholars.</w:t>
      </w:r>
    </w:p>
    <w:p w14:paraId="670AB764" w14:textId="77777777" w:rsidR="00F97625" w:rsidRPr="00F97625" w:rsidRDefault="00F97625" w:rsidP="00F97625">
      <w:pPr>
        <w:spacing w:after="0"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pict w14:anchorId="074C0A08">
          <v:rect id="_x0000_i1056" style="width:0;height:1.5pt" o:hralign="center" o:hrstd="t" o:hr="t" fillcolor="#a0a0a0" stroked="f"/>
        </w:pict>
      </w:r>
    </w:p>
    <w:p w14:paraId="212A5943"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5. How This Paper Connects to Your Research on Carceral Politics</w:t>
      </w:r>
    </w:p>
    <w:p w14:paraId="70AF2253"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If you strip out the theoretical language, Pottle is basically describing:</w:t>
      </w:r>
    </w:p>
    <w:p w14:paraId="09C4B2D5"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Why legislators like Finegold didn’t “see” incarcerated people as real constituents.</w:t>
      </w:r>
    </w:p>
    <w:p w14:paraId="5A0D3F6A"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Because they are:</w:t>
      </w:r>
    </w:p>
    <w:p w14:paraId="49469B86"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low turnout </w:t>
      </w:r>
    </w:p>
    <w:p w14:paraId="34C9519A"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low strategic value </w:t>
      </w:r>
    </w:p>
    <w:p w14:paraId="2A4C4655"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racially marginalized </w:t>
      </w:r>
    </w:p>
    <w:p w14:paraId="4B32E5FF"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spatially segregated (prison gerrymandering) </w:t>
      </w:r>
    </w:p>
    <w:p w14:paraId="7AAE4D89"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stigmatized </w:t>
      </w:r>
    </w:p>
    <w:p w14:paraId="0BE1822D" w14:textId="77777777" w:rsidR="00F97625" w:rsidRPr="00F97625" w:rsidRDefault="00F97625" w:rsidP="00F9762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perceived as “nonpublic” </w:t>
      </w:r>
    </w:p>
    <w:p w14:paraId="654BA022"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And this means:</w:t>
      </w:r>
    </w:p>
    <w:p w14:paraId="214B2380"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They are discursively erased.</w:t>
      </w:r>
    </w:p>
    <w:p w14:paraId="5A9DB599"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 xml:space="preserve">This is </w:t>
      </w:r>
      <w:r w:rsidRPr="00F97625">
        <w:rPr>
          <w:rFonts w:ascii="Times New Roman" w:eastAsia="Times New Roman" w:hAnsi="Times New Roman" w:cs="Times New Roman"/>
          <w:i/>
          <w:iCs/>
          <w:kern w:val="0"/>
          <w14:ligatures w14:val="none"/>
        </w:rPr>
        <w:t>exactly</w:t>
      </w:r>
      <w:r w:rsidRPr="00F97625">
        <w:rPr>
          <w:rFonts w:ascii="Times New Roman" w:eastAsia="Times New Roman" w:hAnsi="Times New Roman" w:cs="Times New Roman"/>
          <w:kern w:val="0"/>
          <w14:ligatures w14:val="none"/>
        </w:rPr>
        <w:t xml:space="preserve"> the epistemic injustice claim you are raising in your lit review.</w:t>
      </w:r>
    </w:p>
    <w:p w14:paraId="6F4C8F16"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7A1AE8B9">
          <v:rect id="_x0000_i1060" alt="" style="width:468pt;height:.05pt;mso-width-percent:0;mso-height-percent:0;mso-width-percent:0;mso-height-percent:0" o:hralign="center" o:hrstd="t" o:hr="t" fillcolor="#a0a0a0" stroked="f"/>
        </w:pict>
      </w:r>
    </w:p>
    <w:p w14:paraId="671A3D65"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6. What to Extract for Your Proposal (Practical Notes)</w:t>
      </w:r>
    </w:p>
    <w:p w14:paraId="74B23603"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A. Useful conceptual vocabulary</w:t>
      </w:r>
    </w:p>
    <w:p w14:paraId="73CF07A0"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strategic irrelevance </w:t>
      </w:r>
    </w:p>
    <w:p w14:paraId="68646C99"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discursive marginalization </w:t>
      </w:r>
    </w:p>
    <w:p w14:paraId="6FA723F0"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hermeneutic erasure </w:t>
      </w:r>
    </w:p>
    <w:p w14:paraId="7A1A9FC7"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testimonial discrediting </w:t>
      </w:r>
    </w:p>
    <w:p w14:paraId="6A707D37"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discursive power </w:t>
      </w:r>
    </w:p>
    <w:p w14:paraId="7880A4C8"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epistemic costs of mass incarceration </w:t>
      </w:r>
    </w:p>
    <w:p w14:paraId="7A3E8BE2" w14:textId="77777777" w:rsidR="00F97625" w:rsidRPr="00F97625" w:rsidRDefault="00F97625" w:rsidP="00F9762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representational invisibility </w:t>
      </w:r>
    </w:p>
    <w:p w14:paraId="4C89474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These will help you frame your normative justification for studying incarcerated constituencies.</w:t>
      </w:r>
    </w:p>
    <w:p w14:paraId="4980311B"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7AAF5B8B">
          <v:rect id="_x0000_i1059" alt="" style="width:468pt;height:.05pt;mso-width-percent:0;mso-height-percent:0;mso-width-percent:0;mso-height-percent:0" o:hralign="center" o:hrstd="t" o:hr="t" fillcolor="#a0a0a0" stroked="f"/>
        </w:pict>
      </w:r>
    </w:p>
    <w:p w14:paraId="55E8A921"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B. Methodological implications you can run with</w:t>
      </w:r>
    </w:p>
    <w:p w14:paraId="59AD4C66"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Pottle directly invites empirical work on:</w:t>
      </w:r>
    </w:p>
    <w:p w14:paraId="6858D718" w14:textId="77777777" w:rsidR="00F97625" w:rsidRPr="00F97625" w:rsidRDefault="00F97625" w:rsidP="00F976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Measuring whose perspectives appear in elite communication </w:t>
      </w:r>
    </w:p>
    <w:p w14:paraId="33409F18" w14:textId="77777777" w:rsidR="00F97625" w:rsidRPr="00F97625" w:rsidRDefault="00F97625" w:rsidP="00F976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electoral systems change rhetorical incentives </w:t>
      </w:r>
    </w:p>
    <w:p w14:paraId="51241A5C" w14:textId="77777777" w:rsidR="00F97625" w:rsidRPr="00F97625" w:rsidRDefault="00F97625" w:rsidP="00F976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representational inequality produces interpretive inequality </w:t>
      </w:r>
    </w:p>
    <w:p w14:paraId="71140F90" w14:textId="77777777" w:rsidR="00F97625" w:rsidRPr="00F97625" w:rsidRDefault="00F97625" w:rsidP="00F9762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How disempowered groups’ testimony enters (or fails to enter) political debate </w:t>
      </w:r>
    </w:p>
    <w:p w14:paraId="29A606D8"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This dovetails with your work on:</w:t>
      </w:r>
    </w:p>
    <w:p w14:paraId="616145CA" w14:textId="77777777" w:rsidR="00F97625" w:rsidRPr="00F97625" w:rsidRDefault="00F97625" w:rsidP="00F976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deservingness </w:t>
      </w:r>
    </w:p>
    <w:p w14:paraId="6BBF2E7F" w14:textId="77777777" w:rsidR="00F97625" w:rsidRPr="00F97625" w:rsidRDefault="00F97625" w:rsidP="00F976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racialized rhetoric </w:t>
      </w:r>
    </w:p>
    <w:p w14:paraId="2067AF5B" w14:textId="77777777" w:rsidR="00F97625" w:rsidRPr="00F97625" w:rsidRDefault="00F97625" w:rsidP="00F976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contact with carceral institutions </w:t>
      </w:r>
    </w:p>
    <w:p w14:paraId="44BEFB38" w14:textId="77777777" w:rsidR="00F97625" w:rsidRPr="00F97625" w:rsidRDefault="00F97625" w:rsidP="00F9762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responsiveness to “invisible” constituencies </w:t>
      </w:r>
    </w:p>
    <w:p w14:paraId="6DB85FEB"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sidRPr="00250A57">
        <w:rPr>
          <w:rFonts w:ascii="Times New Roman" w:eastAsia="Times New Roman" w:hAnsi="Times New Roman" w:cs="Times New Roman"/>
          <w:noProof/>
          <w:kern w:val="0"/>
        </w:rPr>
        <w:pict w14:anchorId="0748561C">
          <v:rect id="_x0000_i1058" alt="" style="width:468pt;height:.05pt;mso-width-percent:0;mso-height-percent:0;mso-width-percent:0;mso-height-percent:0" o:hralign="center" o:hrstd="t" o:hr="t" fillcolor="#a0a0a0" stroked="f"/>
        </w:pict>
      </w:r>
    </w:p>
    <w:p w14:paraId="5544ACA3" w14:textId="77777777" w:rsidR="00F97625" w:rsidRPr="00F97625" w:rsidRDefault="00F97625" w:rsidP="00F97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625">
        <w:rPr>
          <w:rFonts w:ascii="Times New Roman" w:eastAsia="Times New Roman" w:hAnsi="Times New Roman" w:cs="Times New Roman"/>
          <w:b/>
          <w:bCs/>
          <w:kern w:val="0"/>
          <w:sz w:val="27"/>
          <w:szCs w:val="27"/>
          <w14:ligatures w14:val="none"/>
        </w:rPr>
        <w:t xml:space="preserve">C. How to use Pottle for your </w:t>
      </w:r>
      <w:r w:rsidRPr="00F97625">
        <w:rPr>
          <w:rFonts w:ascii="Times New Roman" w:eastAsia="Times New Roman" w:hAnsi="Times New Roman" w:cs="Times New Roman"/>
          <w:b/>
          <w:bCs/>
          <w:i/>
          <w:iCs/>
          <w:kern w:val="0"/>
          <w:sz w:val="27"/>
          <w:szCs w:val="27"/>
          <w14:ligatures w14:val="none"/>
        </w:rPr>
        <w:t>next-step research question</w:t>
      </w:r>
    </w:p>
    <w:p w14:paraId="469FC334"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Your early-stage idea likely concerns:</w:t>
      </w:r>
    </w:p>
    <w:p w14:paraId="7A10817F"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lastRenderedPageBreak/>
        <w:t>Are incarcerated people epistemically excluded from representation because they are strategically irrelevant?</w:t>
      </w:r>
    </w:p>
    <w:p w14:paraId="6644DCA5" w14:textId="77777777" w:rsidR="00F97625" w:rsidRPr="00F97625" w:rsidRDefault="00F97625" w:rsidP="00F97625">
      <w:p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You can build hypotheses directly from Pottle:</w:t>
      </w:r>
    </w:p>
    <w:p w14:paraId="7AD19B5A" w14:textId="77777777" w:rsidR="00F97625" w:rsidRPr="00F97625" w:rsidRDefault="00F97625" w:rsidP="00F976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H1: Legislators representing districts with prisons (or urban districts) use rhetoric that reinforces hermeneutic gaps about incarcerated people. </w:t>
      </w:r>
    </w:p>
    <w:p w14:paraId="5641BDBC" w14:textId="77777777" w:rsidR="00F97625" w:rsidRPr="00F97625" w:rsidRDefault="00F97625" w:rsidP="00F976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H2: Black legislators or directly impacted legislators disrupt the hermeneutic economy Pottle describes. </w:t>
      </w:r>
    </w:p>
    <w:p w14:paraId="3318C0AC" w14:textId="77777777" w:rsidR="00F97625" w:rsidRPr="00F97625" w:rsidRDefault="00F97625" w:rsidP="00F976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H3: Carceral contact increases legislators’ epistemic uptake of incarcerated people’s perspectives (ties to your work). </w:t>
      </w:r>
    </w:p>
    <w:p w14:paraId="57A44520" w14:textId="77777777" w:rsidR="00F97625" w:rsidRPr="00F97625" w:rsidRDefault="00F97625" w:rsidP="00F9762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kern w:val="0"/>
          <w14:ligatures w14:val="none"/>
        </w:rPr>
        <w:t xml:space="preserve">H4: Disenfranchisement policies worsen testimonial injustice by reducing elite exposure to incarcerated people’s testimony. </w:t>
      </w:r>
    </w:p>
    <w:p w14:paraId="53FCB0C5" w14:textId="77777777" w:rsidR="00F97625" w:rsidRPr="00F97625" w:rsidRDefault="00250A57" w:rsidP="00F97625">
      <w:pPr>
        <w:spacing w:after="0" w:line="240" w:lineRule="auto"/>
        <w:rPr>
          <w:rFonts w:ascii="Times New Roman" w:eastAsia="Times New Roman" w:hAnsi="Times New Roman" w:cs="Times New Roman"/>
          <w:kern w:val="0"/>
          <w14:ligatures w14:val="none"/>
        </w:rPr>
      </w:pPr>
      <w:r>
        <w:rPr>
          <w:noProof/>
        </w:rPr>
      </w:r>
      <w:r>
        <w:pict w14:anchorId="14BDCA71">
          <v:rect id="Horizontal Lin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164EBC" w14:textId="77777777" w:rsidR="00F97625" w:rsidRPr="00F97625" w:rsidRDefault="00F97625" w:rsidP="00F976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7625">
        <w:rPr>
          <w:rFonts w:ascii="Times New Roman" w:eastAsia="Times New Roman" w:hAnsi="Times New Roman" w:cs="Times New Roman"/>
          <w:b/>
          <w:bCs/>
          <w:kern w:val="36"/>
          <w:sz w:val="48"/>
          <w:szCs w:val="48"/>
          <w14:ligatures w14:val="none"/>
        </w:rPr>
        <w:t>7. Final Tips for Reading Political Theory Efficiently</w:t>
      </w:r>
    </w:p>
    <w:p w14:paraId="12D73B9F" w14:textId="77777777" w:rsidR="00F97625" w:rsidRPr="00F97625" w:rsidRDefault="00F97625" w:rsidP="00F976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Highlight definitions</w:t>
      </w:r>
      <w:r w:rsidRPr="00F97625">
        <w:rPr>
          <w:rFonts w:ascii="Times New Roman" w:eastAsia="Times New Roman" w:hAnsi="Times New Roman" w:cs="Times New Roman"/>
          <w:kern w:val="0"/>
          <w14:ligatures w14:val="none"/>
        </w:rPr>
        <w:t xml:space="preserve">; that’s where the “theory” lives. </w:t>
      </w:r>
    </w:p>
    <w:p w14:paraId="6616F483" w14:textId="77777777" w:rsidR="00F97625" w:rsidRPr="00F97625" w:rsidRDefault="00F97625" w:rsidP="00F976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Don’t get bogged down in the examples</w:t>
      </w:r>
      <w:r w:rsidRPr="00F97625">
        <w:rPr>
          <w:rFonts w:ascii="Times New Roman" w:eastAsia="Times New Roman" w:hAnsi="Times New Roman" w:cs="Times New Roman"/>
          <w:kern w:val="0"/>
          <w14:ligatures w14:val="none"/>
        </w:rPr>
        <w:t xml:space="preserve">—read them as intuition pumps, not evidence. </w:t>
      </w:r>
    </w:p>
    <w:p w14:paraId="19AF36CF" w14:textId="77777777" w:rsidR="00F97625" w:rsidRPr="00F97625" w:rsidRDefault="00F97625" w:rsidP="00F976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Track the argument structure</w:t>
      </w:r>
      <w:r w:rsidRPr="00F97625">
        <w:rPr>
          <w:rFonts w:ascii="Times New Roman" w:eastAsia="Times New Roman" w:hAnsi="Times New Roman" w:cs="Times New Roman"/>
          <w:kern w:val="0"/>
          <w14:ligatures w14:val="none"/>
        </w:rPr>
        <w:t xml:space="preserve"> (problem → mechanism → normative implication → institutional suggestion). </w:t>
      </w:r>
    </w:p>
    <w:p w14:paraId="71D66848" w14:textId="77777777" w:rsidR="00F97625" w:rsidRPr="00F97625" w:rsidRDefault="00F97625" w:rsidP="00F976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Translate each claim into a causal or observational claim you could test.</w:t>
      </w:r>
      <w:r w:rsidRPr="00F97625">
        <w:rPr>
          <w:rFonts w:ascii="Times New Roman" w:eastAsia="Times New Roman" w:hAnsi="Times New Roman" w:cs="Times New Roman"/>
          <w:kern w:val="0"/>
          <w14:ligatures w14:val="none"/>
        </w:rPr>
        <w:t xml:space="preserve"> </w:t>
      </w:r>
    </w:p>
    <w:p w14:paraId="496B7E21" w14:textId="77777777" w:rsidR="00F97625" w:rsidRPr="00F97625" w:rsidRDefault="00F97625" w:rsidP="00F9762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97625">
        <w:rPr>
          <w:rFonts w:ascii="Times New Roman" w:eastAsia="Times New Roman" w:hAnsi="Times New Roman" w:cs="Times New Roman"/>
          <w:b/>
          <w:bCs/>
          <w:kern w:val="0"/>
          <w14:ligatures w14:val="none"/>
        </w:rPr>
        <w:t>Pay attention to where the theorist admits empirical uncertainty.</w:t>
      </w:r>
      <w:r w:rsidRPr="00F97625">
        <w:rPr>
          <w:rFonts w:ascii="Times New Roman" w:eastAsia="Times New Roman" w:hAnsi="Times New Roman" w:cs="Times New Roman"/>
          <w:kern w:val="0"/>
          <w14:ligatures w14:val="none"/>
        </w:rPr>
        <w:br/>
        <w:t>That’s where your dissertation lives.</w:t>
      </w:r>
    </w:p>
    <w:p w14:paraId="22694BD0" w14:textId="77777777" w:rsidR="00F97625" w:rsidRDefault="00F97625"/>
    <w:sectPr w:rsidR="00F97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9ED"/>
    <w:multiLevelType w:val="multilevel"/>
    <w:tmpl w:val="78C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9FD"/>
    <w:multiLevelType w:val="multilevel"/>
    <w:tmpl w:val="A99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75E2"/>
    <w:multiLevelType w:val="multilevel"/>
    <w:tmpl w:val="7A4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740"/>
    <w:multiLevelType w:val="multilevel"/>
    <w:tmpl w:val="B8D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75E75"/>
    <w:multiLevelType w:val="multilevel"/>
    <w:tmpl w:val="172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54F70"/>
    <w:multiLevelType w:val="multilevel"/>
    <w:tmpl w:val="71D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277EE"/>
    <w:multiLevelType w:val="multilevel"/>
    <w:tmpl w:val="8AF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6A4F"/>
    <w:multiLevelType w:val="multilevel"/>
    <w:tmpl w:val="45D2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A491B"/>
    <w:multiLevelType w:val="multilevel"/>
    <w:tmpl w:val="9E6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141E9"/>
    <w:multiLevelType w:val="multilevel"/>
    <w:tmpl w:val="B4A8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D1021"/>
    <w:multiLevelType w:val="multilevel"/>
    <w:tmpl w:val="089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42D1E"/>
    <w:multiLevelType w:val="multilevel"/>
    <w:tmpl w:val="2A5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66BF0"/>
    <w:multiLevelType w:val="multilevel"/>
    <w:tmpl w:val="3F8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77B8"/>
    <w:multiLevelType w:val="multilevel"/>
    <w:tmpl w:val="469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53222"/>
    <w:multiLevelType w:val="multilevel"/>
    <w:tmpl w:val="178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BFD"/>
    <w:multiLevelType w:val="multilevel"/>
    <w:tmpl w:val="295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F1D18"/>
    <w:multiLevelType w:val="multilevel"/>
    <w:tmpl w:val="D29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12DAA"/>
    <w:multiLevelType w:val="multilevel"/>
    <w:tmpl w:val="27F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975A6"/>
    <w:multiLevelType w:val="multilevel"/>
    <w:tmpl w:val="417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A1FB6"/>
    <w:multiLevelType w:val="multilevel"/>
    <w:tmpl w:val="693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649BB"/>
    <w:multiLevelType w:val="multilevel"/>
    <w:tmpl w:val="956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74ACD"/>
    <w:multiLevelType w:val="multilevel"/>
    <w:tmpl w:val="E11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17A0A"/>
    <w:multiLevelType w:val="multilevel"/>
    <w:tmpl w:val="6C5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01E74"/>
    <w:multiLevelType w:val="multilevel"/>
    <w:tmpl w:val="E75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850EB"/>
    <w:multiLevelType w:val="multilevel"/>
    <w:tmpl w:val="1CE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A2948"/>
    <w:multiLevelType w:val="multilevel"/>
    <w:tmpl w:val="E43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70CD2"/>
    <w:multiLevelType w:val="multilevel"/>
    <w:tmpl w:val="0762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C360A"/>
    <w:multiLevelType w:val="multilevel"/>
    <w:tmpl w:val="978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57ADB"/>
    <w:multiLevelType w:val="multilevel"/>
    <w:tmpl w:val="F63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F3B16"/>
    <w:multiLevelType w:val="multilevel"/>
    <w:tmpl w:val="E7E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547DC"/>
    <w:multiLevelType w:val="multilevel"/>
    <w:tmpl w:val="10E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610DC"/>
    <w:multiLevelType w:val="multilevel"/>
    <w:tmpl w:val="D38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2707E"/>
    <w:multiLevelType w:val="multilevel"/>
    <w:tmpl w:val="D8D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D4008"/>
    <w:multiLevelType w:val="multilevel"/>
    <w:tmpl w:val="71B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B54F3"/>
    <w:multiLevelType w:val="multilevel"/>
    <w:tmpl w:val="68A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42927"/>
    <w:multiLevelType w:val="multilevel"/>
    <w:tmpl w:val="F75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D66F7"/>
    <w:multiLevelType w:val="multilevel"/>
    <w:tmpl w:val="A3B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B3C67"/>
    <w:multiLevelType w:val="multilevel"/>
    <w:tmpl w:val="14A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047A4"/>
    <w:multiLevelType w:val="multilevel"/>
    <w:tmpl w:val="491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B4B70"/>
    <w:multiLevelType w:val="multilevel"/>
    <w:tmpl w:val="BA5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17EF4"/>
    <w:multiLevelType w:val="multilevel"/>
    <w:tmpl w:val="467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C62FD"/>
    <w:multiLevelType w:val="multilevel"/>
    <w:tmpl w:val="9B1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4771A3"/>
    <w:multiLevelType w:val="multilevel"/>
    <w:tmpl w:val="B61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A7FAE"/>
    <w:multiLevelType w:val="multilevel"/>
    <w:tmpl w:val="0A0A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136593">
    <w:abstractNumId w:val="35"/>
  </w:num>
  <w:num w:numId="2" w16cid:durableId="1100494389">
    <w:abstractNumId w:val="41"/>
  </w:num>
  <w:num w:numId="3" w16cid:durableId="1263026756">
    <w:abstractNumId w:val="21"/>
  </w:num>
  <w:num w:numId="4" w16cid:durableId="2086755048">
    <w:abstractNumId w:val="34"/>
  </w:num>
  <w:num w:numId="5" w16cid:durableId="1043017207">
    <w:abstractNumId w:val="22"/>
  </w:num>
  <w:num w:numId="6" w16cid:durableId="740055717">
    <w:abstractNumId w:val="5"/>
  </w:num>
  <w:num w:numId="7" w16cid:durableId="1592541071">
    <w:abstractNumId w:val="12"/>
  </w:num>
  <w:num w:numId="8" w16cid:durableId="570891168">
    <w:abstractNumId w:val="8"/>
  </w:num>
  <w:num w:numId="9" w16cid:durableId="213658680">
    <w:abstractNumId w:val="0"/>
  </w:num>
  <w:num w:numId="10" w16cid:durableId="1907834902">
    <w:abstractNumId w:val="4"/>
  </w:num>
  <w:num w:numId="11" w16cid:durableId="31271746">
    <w:abstractNumId w:val="24"/>
  </w:num>
  <w:num w:numId="12" w16cid:durableId="714742939">
    <w:abstractNumId w:val="19"/>
  </w:num>
  <w:num w:numId="13" w16cid:durableId="1149252737">
    <w:abstractNumId w:val="15"/>
  </w:num>
  <w:num w:numId="14" w16cid:durableId="1708527964">
    <w:abstractNumId w:val="36"/>
  </w:num>
  <w:num w:numId="15" w16cid:durableId="740449608">
    <w:abstractNumId w:val="13"/>
  </w:num>
  <w:num w:numId="16" w16cid:durableId="1564177695">
    <w:abstractNumId w:val="30"/>
  </w:num>
  <w:num w:numId="17" w16cid:durableId="988168202">
    <w:abstractNumId w:val="40"/>
  </w:num>
  <w:num w:numId="18" w16cid:durableId="1890921241">
    <w:abstractNumId w:val="6"/>
  </w:num>
  <w:num w:numId="19" w16cid:durableId="1574392727">
    <w:abstractNumId w:val="11"/>
  </w:num>
  <w:num w:numId="20" w16cid:durableId="1398818380">
    <w:abstractNumId w:val="7"/>
  </w:num>
  <w:num w:numId="21" w16cid:durableId="723678568">
    <w:abstractNumId w:val="14"/>
  </w:num>
  <w:num w:numId="22" w16cid:durableId="8414290">
    <w:abstractNumId w:val="33"/>
  </w:num>
  <w:num w:numId="23" w16cid:durableId="472330669">
    <w:abstractNumId w:val="38"/>
  </w:num>
  <w:num w:numId="24" w16cid:durableId="490373030">
    <w:abstractNumId w:val="18"/>
  </w:num>
  <w:num w:numId="25" w16cid:durableId="891313330">
    <w:abstractNumId w:val="28"/>
  </w:num>
  <w:num w:numId="26" w16cid:durableId="1678119567">
    <w:abstractNumId w:val="32"/>
  </w:num>
  <w:num w:numId="27" w16cid:durableId="1171021337">
    <w:abstractNumId w:val="10"/>
  </w:num>
  <w:num w:numId="28" w16cid:durableId="31853270">
    <w:abstractNumId w:val="17"/>
  </w:num>
  <w:num w:numId="29" w16cid:durableId="1951233351">
    <w:abstractNumId w:val="39"/>
  </w:num>
  <w:num w:numId="30" w16cid:durableId="1982536028">
    <w:abstractNumId w:val="29"/>
  </w:num>
  <w:num w:numId="31" w16cid:durableId="1453668948">
    <w:abstractNumId w:val="1"/>
  </w:num>
  <w:num w:numId="32" w16cid:durableId="730619475">
    <w:abstractNumId w:val="27"/>
  </w:num>
  <w:num w:numId="33" w16cid:durableId="949896974">
    <w:abstractNumId w:val="23"/>
  </w:num>
  <w:num w:numId="34" w16cid:durableId="700324740">
    <w:abstractNumId w:val="16"/>
  </w:num>
  <w:num w:numId="35" w16cid:durableId="2040857043">
    <w:abstractNumId w:val="20"/>
  </w:num>
  <w:num w:numId="36" w16cid:durableId="614875253">
    <w:abstractNumId w:val="9"/>
  </w:num>
  <w:num w:numId="37" w16cid:durableId="1657873773">
    <w:abstractNumId w:val="2"/>
  </w:num>
  <w:num w:numId="38" w16cid:durableId="395396256">
    <w:abstractNumId w:val="3"/>
  </w:num>
  <w:num w:numId="39" w16cid:durableId="337583258">
    <w:abstractNumId w:val="31"/>
  </w:num>
  <w:num w:numId="40" w16cid:durableId="681706512">
    <w:abstractNumId w:val="37"/>
  </w:num>
  <w:num w:numId="41" w16cid:durableId="2073307293">
    <w:abstractNumId w:val="43"/>
  </w:num>
  <w:num w:numId="42" w16cid:durableId="891036246">
    <w:abstractNumId w:val="25"/>
  </w:num>
  <w:num w:numId="43" w16cid:durableId="1023019594">
    <w:abstractNumId w:val="42"/>
  </w:num>
  <w:num w:numId="44" w16cid:durableId="11024602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25"/>
    <w:rsid w:val="001554D9"/>
    <w:rsid w:val="00250A57"/>
    <w:rsid w:val="003A5267"/>
    <w:rsid w:val="008C2728"/>
    <w:rsid w:val="00B4476B"/>
    <w:rsid w:val="00CC01AD"/>
    <w:rsid w:val="00F9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EBE34C"/>
  <w15:chartTrackingRefBased/>
  <w15:docId w15:val="{7844DDA4-5233-8F42-8E75-58A8E006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7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7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7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625"/>
    <w:rPr>
      <w:rFonts w:eastAsiaTheme="majorEastAsia" w:cstheme="majorBidi"/>
      <w:color w:val="272727" w:themeColor="text1" w:themeTint="D8"/>
    </w:rPr>
  </w:style>
  <w:style w:type="paragraph" w:styleId="Title">
    <w:name w:val="Title"/>
    <w:basedOn w:val="Normal"/>
    <w:next w:val="Normal"/>
    <w:link w:val="TitleChar"/>
    <w:uiPriority w:val="10"/>
    <w:qFormat/>
    <w:rsid w:val="00F9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625"/>
    <w:pPr>
      <w:spacing w:before="160"/>
      <w:jc w:val="center"/>
    </w:pPr>
    <w:rPr>
      <w:i/>
      <w:iCs/>
      <w:color w:val="404040" w:themeColor="text1" w:themeTint="BF"/>
    </w:rPr>
  </w:style>
  <w:style w:type="character" w:customStyle="1" w:styleId="QuoteChar">
    <w:name w:val="Quote Char"/>
    <w:basedOn w:val="DefaultParagraphFont"/>
    <w:link w:val="Quote"/>
    <w:uiPriority w:val="29"/>
    <w:rsid w:val="00F97625"/>
    <w:rPr>
      <w:i/>
      <w:iCs/>
      <w:color w:val="404040" w:themeColor="text1" w:themeTint="BF"/>
    </w:rPr>
  </w:style>
  <w:style w:type="paragraph" w:styleId="ListParagraph">
    <w:name w:val="List Paragraph"/>
    <w:basedOn w:val="Normal"/>
    <w:uiPriority w:val="34"/>
    <w:qFormat/>
    <w:rsid w:val="00F97625"/>
    <w:pPr>
      <w:ind w:left="720"/>
      <w:contextualSpacing/>
    </w:pPr>
  </w:style>
  <w:style w:type="character" w:styleId="IntenseEmphasis">
    <w:name w:val="Intense Emphasis"/>
    <w:basedOn w:val="DefaultParagraphFont"/>
    <w:uiPriority w:val="21"/>
    <w:qFormat/>
    <w:rsid w:val="00F97625"/>
    <w:rPr>
      <w:i/>
      <w:iCs/>
      <w:color w:val="0F4761" w:themeColor="accent1" w:themeShade="BF"/>
    </w:rPr>
  </w:style>
  <w:style w:type="paragraph" w:styleId="IntenseQuote">
    <w:name w:val="Intense Quote"/>
    <w:basedOn w:val="Normal"/>
    <w:next w:val="Normal"/>
    <w:link w:val="IntenseQuoteChar"/>
    <w:uiPriority w:val="30"/>
    <w:qFormat/>
    <w:rsid w:val="00F9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625"/>
    <w:rPr>
      <w:i/>
      <w:iCs/>
      <w:color w:val="0F4761" w:themeColor="accent1" w:themeShade="BF"/>
    </w:rPr>
  </w:style>
  <w:style w:type="character" w:styleId="IntenseReference">
    <w:name w:val="Intense Reference"/>
    <w:basedOn w:val="DefaultParagraphFont"/>
    <w:uiPriority w:val="32"/>
    <w:qFormat/>
    <w:rsid w:val="00F97625"/>
    <w:rPr>
      <w:b/>
      <w:bCs/>
      <w:smallCaps/>
      <w:color w:val="0F4761" w:themeColor="accent1" w:themeShade="BF"/>
      <w:spacing w:val="5"/>
    </w:rPr>
  </w:style>
  <w:style w:type="paragraph" w:customStyle="1" w:styleId="font-claude-response-body">
    <w:name w:val="font-claude-response-body"/>
    <w:basedOn w:val="Normal"/>
    <w:rsid w:val="00F976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97625"/>
    <w:rPr>
      <w:i/>
      <w:iCs/>
    </w:rPr>
  </w:style>
  <w:style w:type="paragraph" w:customStyle="1" w:styleId="whitespace-normal">
    <w:name w:val="whitespace-normal"/>
    <w:basedOn w:val="Normal"/>
    <w:rsid w:val="00F976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7625"/>
    <w:rPr>
      <w:b/>
      <w:bCs/>
    </w:rPr>
  </w:style>
  <w:style w:type="paragraph" w:styleId="NormalWeb">
    <w:name w:val="Normal (Web)"/>
    <w:basedOn w:val="Normal"/>
    <w:uiPriority w:val="99"/>
    <w:semiHidden/>
    <w:unhideWhenUsed/>
    <w:rsid w:val="00F976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4559</Words>
  <Characters>28683</Characters>
  <Application>Microsoft Office Word</Application>
  <DocSecurity>0</DocSecurity>
  <Lines>392</Lines>
  <Paragraphs>101</Paragraphs>
  <ScaleCrop>false</ScaleCrop>
  <Company/>
  <LinksUpToDate>false</LinksUpToDate>
  <CharactersWithSpaces>33141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2026-04-09T17:53:00Z</dcterms:created>
  <dcterms:modified xsi:type="dcterms:W3CDTF">2026-04-09T17:57:00Z</dcterms:modified>
</cp:coreProperties>
</file>