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14:ligatures w14:val="standardContextual"/>
        </w:rPr>
        <w:id w:val="1886294055"/>
        <w:docPartObj>
          <w:docPartGallery w:val="Table of Contents"/>
          <w:docPartUnique/>
        </w:docPartObj>
      </w:sdtPr>
      <w:sdtEndPr>
        <w:rPr>
          <w:noProof/>
        </w:rPr>
      </w:sdtEndPr>
      <w:sdtContent>
        <w:p w14:paraId="7BD99310" w14:textId="27ADD5E1" w:rsidR="001B48DC" w:rsidRDefault="001B48DC">
          <w:pPr>
            <w:pStyle w:val="TOCHeading"/>
          </w:pPr>
          <w:r>
            <w:t>Table of Contents</w:t>
          </w:r>
        </w:p>
        <w:p w14:paraId="2EC8FBB3" w14:textId="130DF1D4" w:rsidR="00C27A2F" w:rsidRDefault="001B48DC">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591732" w:history="1">
            <w:r w:rsidR="00C27A2F" w:rsidRPr="0053585D">
              <w:rPr>
                <w:rStyle w:val="Hyperlink"/>
                <w:noProof/>
              </w:rPr>
              <w:t>Introduction</w:t>
            </w:r>
            <w:r w:rsidR="00C27A2F">
              <w:rPr>
                <w:noProof/>
                <w:webHidden/>
              </w:rPr>
              <w:tab/>
            </w:r>
            <w:r w:rsidR="00C27A2F">
              <w:rPr>
                <w:noProof/>
                <w:webHidden/>
              </w:rPr>
              <w:fldChar w:fldCharType="begin"/>
            </w:r>
            <w:r w:rsidR="00C27A2F">
              <w:rPr>
                <w:noProof/>
                <w:webHidden/>
              </w:rPr>
              <w:instrText xml:space="preserve"> PAGEREF _Toc220591732 \h </w:instrText>
            </w:r>
            <w:r w:rsidR="00C27A2F">
              <w:rPr>
                <w:noProof/>
                <w:webHidden/>
              </w:rPr>
            </w:r>
            <w:r w:rsidR="00C27A2F">
              <w:rPr>
                <w:noProof/>
                <w:webHidden/>
              </w:rPr>
              <w:fldChar w:fldCharType="separate"/>
            </w:r>
            <w:r w:rsidR="00AD405A">
              <w:rPr>
                <w:noProof/>
                <w:webHidden/>
              </w:rPr>
              <w:t>2</w:t>
            </w:r>
            <w:r w:rsidR="00C27A2F">
              <w:rPr>
                <w:noProof/>
                <w:webHidden/>
              </w:rPr>
              <w:fldChar w:fldCharType="end"/>
            </w:r>
          </w:hyperlink>
        </w:p>
        <w:p w14:paraId="6F6CCC6E" w14:textId="22589712" w:rsidR="00C27A2F" w:rsidRDefault="00C27A2F">
          <w:pPr>
            <w:pStyle w:val="TOC2"/>
            <w:tabs>
              <w:tab w:val="right" w:leader="dot" w:pos="9350"/>
            </w:tabs>
            <w:rPr>
              <w:rFonts w:eastAsiaTheme="minorEastAsia"/>
              <w:b w:val="0"/>
              <w:bCs w:val="0"/>
              <w:noProof/>
              <w:sz w:val="24"/>
              <w:szCs w:val="24"/>
            </w:rPr>
          </w:pPr>
          <w:hyperlink w:anchor="_Toc220591733" w:history="1">
            <w:r w:rsidRPr="0053585D">
              <w:rPr>
                <w:rStyle w:val="Hyperlink"/>
                <w:noProof/>
              </w:rPr>
              <w:t>1.1 Puzzle and Contribution</w:t>
            </w:r>
            <w:r>
              <w:rPr>
                <w:noProof/>
                <w:webHidden/>
              </w:rPr>
              <w:tab/>
            </w:r>
            <w:r>
              <w:rPr>
                <w:noProof/>
                <w:webHidden/>
              </w:rPr>
              <w:fldChar w:fldCharType="begin"/>
            </w:r>
            <w:r>
              <w:rPr>
                <w:noProof/>
                <w:webHidden/>
              </w:rPr>
              <w:instrText xml:space="preserve"> PAGEREF _Toc220591733 \h </w:instrText>
            </w:r>
            <w:r>
              <w:rPr>
                <w:noProof/>
                <w:webHidden/>
              </w:rPr>
            </w:r>
            <w:r>
              <w:rPr>
                <w:noProof/>
                <w:webHidden/>
              </w:rPr>
              <w:fldChar w:fldCharType="separate"/>
            </w:r>
            <w:r w:rsidR="00AD405A">
              <w:rPr>
                <w:noProof/>
                <w:webHidden/>
              </w:rPr>
              <w:t>2</w:t>
            </w:r>
            <w:r>
              <w:rPr>
                <w:noProof/>
                <w:webHidden/>
              </w:rPr>
              <w:fldChar w:fldCharType="end"/>
            </w:r>
          </w:hyperlink>
        </w:p>
        <w:p w14:paraId="3BEB7FF6" w14:textId="4373A9DD" w:rsidR="00C27A2F" w:rsidRDefault="00C27A2F">
          <w:pPr>
            <w:pStyle w:val="TOC1"/>
            <w:tabs>
              <w:tab w:val="right" w:leader="dot" w:pos="9350"/>
            </w:tabs>
            <w:rPr>
              <w:rFonts w:eastAsiaTheme="minorEastAsia"/>
              <w:b w:val="0"/>
              <w:bCs w:val="0"/>
              <w:i w:val="0"/>
              <w:iCs w:val="0"/>
              <w:noProof/>
            </w:rPr>
          </w:pPr>
          <w:hyperlink w:anchor="_Toc220591734" w:history="1">
            <w:r w:rsidRPr="0053585D">
              <w:rPr>
                <w:rStyle w:val="Hyperlink"/>
                <w:noProof/>
              </w:rPr>
              <w:t>II. Theoretical Framework</w:t>
            </w:r>
            <w:r>
              <w:rPr>
                <w:noProof/>
                <w:webHidden/>
              </w:rPr>
              <w:tab/>
            </w:r>
            <w:r>
              <w:rPr>
                <w:noProof/>
                <w:webHidden/>
              </w:rPr>
              <w:fldChar w:fldCharType="begin"/>
            </w:r>
            <w:r>
              <w:rPr>
                <w:noProof/>
                <w:webHidden/>
              </w:rPr>
              <w:instrText xml:space="preserve"> PAGEREF _Toc220591734 \h </w:instrText>
            </w:r>
            <w:r>
              <w:rPr>
                <w:noProof/>
                <w:webHidden/>
              </w:rPr>
            </w:r>
            <w:r>
              <w:rPr>
                <w:noProof/>
                <w:webHidden/>
              </w:rPr>
              <w:fldChar w:fldCharType="separate"/>
            </w:r>
            <w:r w:rsidR="00AD405A">
              <w:rPr>
                <w:noProof/>
                <w:webHidden/>
              </w:rPr>
              <w:t>5</w:t>
            </w:r>
            <w:r>
              <w:rPr>
                <w:noProof/>
                <w:webHidden/>
              </w:rPr>
              <w:fldChar w:fldCharType="end"/>
            </w:r>
          </w:hyperlink>
        </w:p>
        <w:p w14:paraId="5498DEB3" w14:textId="3D4EF020" w:rsidR="00C27A2F" w:rsidRDefault="00C27A2F">
          <w:pPr>
            <w:pStyle w:val="TOC2"/>
            <w:tabs>
              <w:tab w:val="right" w:leader="dot" w:pos="9350"/>
            </w:tabs>
            <w:rPr>
              <w:rFonts w:eastAsiaTheme="minorEastAsia"/>
              <w:b w:val="0"/>
              <w:bCs w:val="0"/>
              <w:noProof/>
              <w:sz w:val="24"/>
              <w:szCs w:val="24"/>
            </w:rPr>
          </w:pPr>
          <w:hyperlink w:anchor="_Toc220591735" w:history="1">
            <w:r w:rsidRPr="0053585D">
              <w:rPr>
                <w:rStyle w:val="Hyperlink"/>
                <w:noProof/>
              </w:rPr>
              <w:t>Header: Descriptive Representation XYZ</w:t>
            </w:r>
            <w:r>
              <w:rPr>
                <w:noProof/>
                <w:webHidden/>
              </w:rPr>
              <w:tab/>
            </w:r>
            <w:r>
              <w:rPr>
                <w:noProof/>
                <w:webHidden/>
              </w:rPr>
              <w:fldChar w:fldCharType="begin"/>
            </w:r>
            <w:r>
              <w:rPr>
                <w:noProof/>
                <w:webHidden/>
              </w:rPr>
              <w:instrText xml:space="preserve"> PAGEREF _Toc220591735 \h </w:instrText>
            </w:r>
            <w:r>
              <w:rPr>
                <w:noProof/>
                <w:webHidden/>
              </w:rPr>
            </w:r>
            <w:r>
              <w:rPr>
                <w:noProof/>
                <w:webHidden/>
              </w:rPr>
              <w:fldChar w:fldCharType="separate"/>
            </w:r>
            <w:r w:rsidR="00AD405A">
              <w:rPr>
                <w:noProof/>
                <w:webHidden/>
              </w:rPr>
              <w:t>5</w:t>
            </w:r>
            <w:r>
              <w:rPr>
                <w:noProof/>
                <w:webHidden/>
              </w:rPr>
              <w:fldChar w:fldCharType="end"/>
            </w:r>
          </w:hyperlink>
        </w:p>
        <w:p w14:paraId="07A46D2C" w14:textId="0A103DD2" w:rsidR="00C27A2F" w:rsidRDefault="00C27A2F">
          <w:pPr>
            <w:pStyle w:val="TOC2"/>
            <w:tabs>
              <w:tab w:val="right" w:leader="dot" w:pos="9350"/>
            </w:tabs>
            <w:rPr>
              <w:rFonts w:eastAsiaTheme="minorEastAsia"/>
              <w:b w:val="0"/>
              <w:bCs w:val="0"/>
              <w:noProof/>
              <w:sz w:val="24"/>
              <w:szCs w:val="24"/>
            </w:rPr>
          </w:pPr>
          <w:hyperlink w:anchor="_Toc220591736" w:history="1">
            <w:r w:rsidRPr="0053585D">
              <w:rPr>
                <w:rStyle w:val="Hyperlink"/>
                <w:noProof/>
              </w:rPr>
              <w:t>Section Header, Maybe Representation Beyond Responsiveness</w:t>
            </w:r>
            <w:r>
              <w:rPr>
                <w:noProof/>
                <w:webHidden/>
              </w:rPr>
              <w:tab/>
            </w:r>
            <w:r>
              <w:rPr>
                <w:noProof/>
                <w:webHidden/>
              </w:rPr>
              <w:fldChar w:fldCharType="begin"/>
            </w:r>
            <w:r>
              <w:rPr>
                <w:noProof/>
                <w:webHidden/>
              </w:rPr>
              <w:instrText xml:space="preserve"> PAGEREF _Toc220591736 \h </w:instrText>
            </w:r>
            <w:r>
              <w:rPr>
                <w:noProof/>
                <w:webHidden/>
              </w:rPr>
            </w:r>
            <w:r>
              <w:rPr>
                <w:noProof/>
                <w:webHidden/>
              </w:rPr>
              <w:fldChar w:fldCharType="separate"/>
            </w:r>
            <w:r w:rsidR="00AD405A">
              <w:rPr>
                <w:noProof/>
                <w:webHidden/>
              </w:rPr>
              <w:t>27</w:t>
            </w:r>
            <w:r>
              <w:rPr>
                <w:noProof/>
                <w:webHidden/>
              </w:rPr>
              <w:fldChar w:fldCharType="end"/>
            </w:r>
          </w:hyperlink>
        </w:p>
        <w:p w14:paraId="49FCD2ED" w14:textId="6D21CEBD" w:rsidR="00C27A2F" w:rsidRDefault="00C27A2F">
          <w:pPr>
            <w:pStyle w:val="TOC2"/>
            <w:tabs>
              <w:tab w:val="right" w:leader="dot" w:pos="9350"/>
            </w:tabs>
            <w:rPr>
              <w:rFonts w:eastAsiaTheme="minorEastAsia"/>
              <w:b w:val="0"/>
              <w:bCs w:val="0"/>
              <w:noProof/>
              <w:sz w:val="24"/>
              <w:szCs w:val="24"/>
            </w:rPr>
          </w:pPr>
          <w:hyperlink w:anchor="_Toc220591737" w:history="1">
            <w:r w:rsidRPr="0053585D">
              <w:rPr>
                <w:rStyle w:val="Hyperlink"/>
                <w:noProof/>
              </w:rPr>
              <w:t>Section Header, What We Know about Symbolic Representation</w:t>
            </w:r>
            <w:r>
              <w:rPr>
                <w:noProof/>
                <w:webHidden/>
              </w:rPr>
              <w:tab/>
            </w:r>
            <w:r>
              <w:rPr>
                <w:noProof/>
                <w:webHidden/>
              </w:rPr>
              <w:fldChar w:fldCharType="begin"/>
            </w:r>
            <w:r>
              <w:rPr>
                <w:noProof/>
                <w:webHidden/>
              </w:rPr>
              <w:instrText xml:space="preserve"> PAGEREF _Toc220591737 \h </w:instrText>
            </w:r>
            <w:r>
              <w:rPr>
                <w:noProof/>
                <w:webHidden/>
              </w:rPr>
            </w:r>
            <w:r>
              <w:rPr>
                <w:noProof/>
                <w:webHidden/>
              </w:rPr>
              <w:fldChar w:fldCharType="separate"/>
            </w:r>
            <w:r w:rsidR="00AD405A">
              <w:rPr>
                <w:noProof/>
                <w:webHidden/>
              </w:rPr>
              <w:t>27</w:t>
            </w:r>
            <w:r>
              <w:rPr>
                <w:noProof/>
                <w:webHidden/>
              </w:rPr>
              <w:fldChar w:fldCharType="end"/>
            </w:r>
          </w:hyperlink>
        </w:p>
        <w:p w14:paraId="0334B2CE" w14:textId="6EF55AF3" w:rsidR="00C27A2F" w:rsidRDefault="00C27A2F">
          <w:pPr>
            <w:pStyle w:val="TOC1"/>
            <w:tabs>
              <w:tab w:val="right" w:leader="dot" w:pos="9350"/>
            </w:tabs>
            <w:rPr>
              <w:rFonts w:eastAsiaTheme="minorEastAsia"/>
              <w:b w:val="0"/>
              <w:bCs w:val="0"/>
              <w:i w:val="0"/>
              <w:iCs w:val="0"/>
              <w:noProof/>
            </w:rPr>
          </w:pPr>
          <w:hyperlink w:anchor="_Toc220591738" w:history="1">
            <w:r w:rsidRPr="0053585D">
              <w:rPr>
                <w:rStyle w:val="Hyperlink"/>
                <w:noProof/>
              </w:rPr>
              <w:t>III. Test 1: CJ-Impacted vs. Weird Publics and Criminal Legal Policy Preferences</w:t>
            </w:r>
            <w:r>
              <w:rPr>
                <w:noProof/>
                <w:webHidden/>
              </w:rPr>
              <w:tab/>
            </w:r>
            <w:r>
              <w:rPr>
                <w:noProof/>
                <w:webHidden/>
              </w:rPr>
              <w:fldChar w:fldCharType="begin"/>
            </w:r>
            <w:r>
              <w:rPr>
                <w:noProof/>
                <w:webHidden/>
              </w:rPr>
              <w:instrText xml:space="preserve"> PAGEREF _Toc220591738 \h </w:instrText>
            </w:r>
            <w:r>
              <w:rPr>
                <w:noProof/>
                <w:webHidden/>
              </w:rPr>
            </w:r>
            <w:r>
              <w:rPr>
                <w:noProof/>
                <w:webHidden/>
              </w:rPr>
              <w:fldChar w:fldCharType="separate"/>
            </w:r>
            <w:r w:rsidR="00AD405A">
              <w:rPr>
                <w:noProof/>
                <w:webHidden/>
              </w:rPr>
              <w:t>27</w:t>
            </w:r>
            <w:r>
              <w:rPr>
                <w:noProof/>
                <w:webHidden/>
              </w:rPr>
              <w:fldChar w:fldCharType="end"/>
            </w:r>
          </w:hyperlink>
        </w:p>
        <w:p w14:paraId="17BC411C" w14:textId="35248310" w:rsidR="00C27A2F" w:rsidRDefault="00C27A2F">
          <w:pPr>
            <w:pStyle w:val="TOC2"/>
            <w:tabs>
              <w:tab w:val="right" w:leader="dot" w:pos="9350"/>
            </w:tabs>
            <w:rPr>
              <w:rFonts w:eastAsiaTheme="minorEastAsia"/>
              <w:b w:val="0"/>
              <w:bCs w:val="0"/>
              <w:noProof/>
              <w:sz w:val="24"/>
              <w:szCs w:val="24"/>
            </w:rPr>
          </w:pPr>
          <w:hyperlink w:anchor="_Toc220591739" w:history="1">
            <w:r w:rsidRPr="0053585D">
              <w:rPr>
                <w:rStyle w:val="Hyperlink"/>
                <w:noProof/>
              </w:rPr>
              <w:t>3.1 (Theory) Policy Feedback, Experience, and Political Reasoning</w:t>
            </w:r>
            <w:r>
              <w:rPr>
                <w:noProof/>
                <w:webHidden/>
              </w:rPr>
              <w:tab/>
            </w:r>
            <w:r>
              <w:rPr>
                <w:noProof/>
                <w:webHidden/>
              </w:rPr>
              <w:fldChar w:fldCharType="begin"/>
            </w:r>
            <w:r>
              <w:rPr>
                <w:noProof/>
                <w:webHidden/>
              </w:rPr>
              <w:instrText xml:space="preserve"> PAGEREF _Toc220591739 \h </w:instrText>
            </w:r>
            <w:r>
              <w:rPr>
                <w:noProof/>
                <w:webHidden/>
              </w:rPr>
            </w:r>
            <w:r>
              <w:rPr>
                <w:noProof/>
                <w:webHidden/>
              </w:rPr>
              <w:fldChar w:fldCharType="separate"/>
            </w:r>
            <w:r w:rsidR="00AD405A">
              <w:rPr>
                <w:noProof/>
                <w:webHidden/>
              </w:rPr>
              <w:t>27</w:t>
            </w:r>
            <w:r>
              <w:rPr>
                <w:noProof/>
                <w:webHidden/>
              </w:rPr>
              <w:fldChar w:fldCharType="end"/>
            </w:r>
          </w:hyperlink>
        </w:p>
        <w:p w14:paraId="2C1A9276" w14:textId="1B215C3C" w:rsidR="00C27A2F" w:rsidRDefault="00C27A2F">
          <w:pPr>
            <w:pStyle w:val="TOC2"/>
            <w:tabs>
              <w:tab w:val="right" w:leader="dot" w:pos="9350"/>
            </w:tabs>
            <w:rPr>
              <w:rFonts w:eastAsiaTheme="minorEastAsia"/>
              <w:b w:val="0"/>
              <w:bCs w:val="0"/>
              <w:noProof/>
              <w:sz w:val="24"/>
              <w:szCs w:val="24"/>
            </w:rPr>
          </w:pPr>
          <w:hyperlink w:anchor="_Toc220591740" w:history="1">
            <w:r w:rsidRPr="0053585D">
              <w:rPr>
                <w:rStyle w:val="Hyperlink"/>
                <w:noProof/>
              </w:rPr>
              <w:t>3.2 (Theory) Experience as Political Knowledge</w:t>
            </w:r>
            <w:r>
              <w:rPr>
                <w:noProof/>
                <w:webHidden/>
              </w:rPr>
              <w:tab/>
            </w:r>
            <w:r>
              <w:rPr>
                <w:noProof/>
                <w:webHidden/>
              </w:rPr>
              <w:fldChar w:fldCharType="begin"/>
            </w:r>
            <w:r>
              <w:rPr>
                <w:noProof/>
                <w:webHidden/>
              </w:rPr>
              <w:instrText xml:space="preserve"> PAGEREF _Toc220591740 \h </w:instrText>
            </w:r>
            <w:r>
              <w:rPr>
                <w:noProof/>
                <w:webHidden/>
              </w:rPr>
            </w:r>
            <w:r>
              <w:rPr>
                <w:noProof/>
                <w:webHidden/>
              </w:rPr>
              <w:fldChar w:fldCharType="separate"/>
            </w:r>
            <w:r w:rsidR="00AD405A">
              <w:rPr>
                <w:noProof/>
                <w:webHidden/>
              </w:rPr>
              <w:t>27</w:t>
            </w:r>
            <w:r>
              <w:rPr>
                <w:noProof/>
                <w:webHidden/>
              </w:rPr>
              <w:fldChar w:fldCharType="end"/>
            </w:r>
          </w:hyperlink>
        </w:p>
        <w:p w14:paraId="127187B2" w14:textId="3F051974" w:rsidR="00C27A2F" w:rsidRDefault="00C27A2F">
          <w:pPr>
            <w:pStyle w:val="TOC2"/>
            <w:tabs>
              <w:tab w:val="right" w:leader="dot" w:pos="9350"/>
            </w:tabs>
            <w:rPr>
              <w:rFonts w:eastAsiaTheme="minorEastAsia"/>
              <w:b w:val="0"/>
              <w:bCs w:val="0"/>
              <w:noProof/>
              <w:sz w:val="24"/>
              <w:szCs w:val="24"/>
            </w:rPr>
          </w:pPr>
          <w:hyperlink w:anchor="_Toc220591741" w:history="1">
            <w:r w:rsidRPr="0053585D">
              <w:rPr>
                <w:rStyle w:val="Hyperlink"/>
                <w:noProof/>
              </w:rPr>
              <w:t>3.3 (Hypotheses/Expectations)</w:t>
            </w:r>
            <w:r>
              <w:rPr>
                <w:noProof/>
                <w:webHidden/>
              </w:rPr>
              <w:tab/>
            </w:r>
            <w:r>
              <w:rPr>
                <w:noProof/>
                <w:webHidden/>
              </w:rPr>
              <w:fldChar w:fldCharType="begin"/>
            </w:r>
            <w:r>
              <w:rPr>
                <w:noProof/>
                <w:webHidden/>
              </w:rPr>
              <w:instrText xml:space="preserve"> PAGEREF _Toc220591741 \h </w:instrText>
            </w:r>
            <w:r>
              <w:rPr>
                <w:noProof/>
                <w:webHidden/>
              </w:rPr>
            </w:r>
            <w:r>
              <w:rPr>
                <w:noProof/>
                <w:webHidden/>
              </w:rPr>
              <w:fldChar w:fldCharType="separate"/>
            </w:r>
            <w:r w:rsidR="00AD405A">
              <w:rPr>
                <w:noProof/>
                <w:webHidden/>
              </w:rPr>
              <w:t>28</w:t>
            </w:r>
            <w:r>
              <w:rPr>
                <w:noProof/>
                <w:webHidden/>
              </w:rPr>
              <w:fldChar w:fldCharType="end"/>
            </w:r>
          </w:hyperlink>
        </w:p>
        <w:p w14:paraId="286F6E70" w14:textId="54B0BE06" w:rsidR="00C27A2F" w:rsidRDefault="00C27A2F">
          <w:pPr>
            <w:pStyle w:val="TOC2"/>
            <w:tabs>
              <w:tab w:val="right" w:leader="dot" w:pos="9350"/>
            </w:tabs>
            <w:rPr>
              <w:rFonts w:eastAsiaTheme="minorEastAsia"/>
              <w:b w:val="0"/>
              <w:bCs w:val="0"/>
              <w:noProof/>
              <w:sz w:val="24"/>
              <w:szCs w:val="24"/>
            </w:rPr>
          </w:pPr>
          <w:hyperlink w:anchor="_Toc220591742" w:history="1">
            <w:r w:rsidRPr="0053585D">
              <w:rPr>
                <w:rStyle w:val="Hyperlink"/>
                <w:noProof/>
              </w:rPr>
              <w:t>3..4 (Data/Design)</w:t>
            </w:r>
            <w:r>
              <w:rPr>
                <w:noProof/>
                <w:webHidden/>
              </w:rPr>
              <w:tab/>
            </w:r>
            <w:r>
              <w:rPr>
                <w:noProof/>
                <w:webHidden/>
              </w:rPr>
              <w:fldChar w:fldCharType="begin"/>
            </w:r>
            <w:r>
              <w:rPr>
                <w:noProof/>
                <w:webHidden/>
              </w:rPr>
              <w:instrText xml:space="preserve"> PAGEREF _Toc220591742 \h </w:instrText>
            </w:r>
            <w:r>
              <w:rPr>
                <w:noProof/>
                <w:webHidden/>
              </w:rPr>
            </w:r>
            <w:r>
              <w:rPr>
                <w:noProof/>
                <w:webHidden/>
              </w:rPr>
              <w:fldChar w:fldCharType="separate"/>
            </w:r>
            <w:r w:rsidR="00AD405A">
              <w:rPr>
                <w:noProof/>
                <w:webHidden/>
              </w:rPr>
              <w:t>28</w:t>
            </w:r>
            <w:r>
              <w:rPr>
                <w:noProof/>
                <w:webHidden/>
              </w:rPr>
              <w:fldChar w:fldCharType="end"/>
            </w:r>
          </w:hyperlink>
        </w:p>
        <w:p w14:paraId="55EC900F" w14:textId="35E267A3" w:rsidR="00C27A2F" w:rsidRDefault="00C27A2F">
          <w:pPr>
            <w:pStyle w:val="TOC1"/>
            <w:tabs>
              <w:tab w:val="right" w:leader="dot" w:pos="9350"/>
            </w:tabs>
            <w:rPr>
              <w:rFonts w:eastAsiaTheme="minorEastAsia"/>
              <w:b w:val="0"/>
              <w:bCs w:val="0"/>
              <w:i w:val="0"/>
              <w:iCs w:val="0"/>
              <w:noProof/>
            </w:rPr>
          </w:pPr>
          <w:hyperlink w:anchor="_Toc220591743" w:history="1">
            <w:r w:rsidRPr="0053585D">
              <w:rPr>
                <w:rStyle w:val="Hyperlink"/>
                <w:noProof/>
              </w:rPr>
              <w:t>IV. Test 2: Descriptive and Substantive Representation of Carceral Constituencies</w:t>
            </w:r>
            <w:r>
              <w:rPr>
                <w:noProof/>
                <w:webHidden/>
              </w:rPr>
              <w:tab/>
            </w:r>
            <w:r>
              <w:rPr>
                <w:noProof/>
                <w:webHidden/>
              </w:rPr>
              <w:fldChar w:fldCharType="begin"/>
            </w:r>
            <w:r>
              <w:rPr>
                <w:noProof/>
                <w:webHidden/>
              </w:rPr>
              <w:instrText xml:space="preserve"> PAGEREF _Toc220591743 \h </w:instrText>
            </w:r>
            <w:r>
              <w:rPr>
                <w:noProof/>
                <w:webHidden/>
              </w:rPr>
            </w:r>
            <w:r>
              <w:rPr>
                <w:noProof/>
                <w:webHidden/>
              </w:rPr>
              <w:fldChar w:fldCharType="separate"/>
            </w:r>
            <w:r w:rsidR="00AD405A">
              <w:rPr>
                <w:noProof/>
                <w:webHidden/>
              </w:rPr>
              <w:t>28</w:t>
            </w:r>
            <w:r>
              <w:rPr>
                <w:noProof/>
                <w:webHidden/>
              </w:rPr>
              <w:fldChar w:fldCharType="end"/>
            </w:r>
          </w:hyperlink>
        </w:p>
        <w:p w14:paraId="6F5F7353" w14:textId="4C8A44EC" w:rsidR="00C27A2F" w:rsidRDefault="00C27A2F">
          <w:pPr>
            <w:pStyle w:val="TOC2"/>
            <w:tabs>
              <w:tab w:val="right" w:leader="dot" w:pos="9350"/>
            </w:tabs>
            <w:rPr>
              <w:rFonts w:eastAsiaTheme="minorEastAsia"/>
              <w:b w:val="0"/>
              <w:bCs w:val="0"/>
              <w:noProof/>
              <w:sz w:val="24"/>
              <w:szCs w:val="24"/>
            </w:rPr>
          </w:pPr>
          <w:hyperlink w:anchor="_Toc220591744" w:history="1">
            <w:r w:rsidRPr="0053585D">
              <w:rPr>
                <w:rStyle w:val="Hyperlink"/>
                <w:noProof/>
              </w:rPr>
              <w:t>4.1 (Theory) Do We Care Who Our Legislators Are?</w:t>
            </w:r>
            <w:r>
              <w:rPr>
                <w:noProof/>
                <w:webHidden/>
              </w:rPr>
              <w:tab/>
            </w:r>
            <w:r>
              <w:rPr>
                <w:noProof/>
                <w:webHidden/>
              </w:rPr>
              <w:fldChar w:fldCharType="begin"/>
            </w:r>
            <w:r>
              <w:rPr>
                <w:noProof/>
                <w:webHidden/>
              </w:rPr>
              <w:instrText xml:space="preserve"> PAGEREF _Toc220591744 \h </w:instrText>
            </w:r>
            <w:r>
              <w:rPr>
                <w:noProof/>
                <w:webHidden/>
              </w:rPr>
            </w:r>
            <w:r>
              <w:rPr>
                <w:noProof/>
                <w:webHidden/>
              </w:rPr>
              <w:fldChar w:fldCharType="separate"/>
            </w:r>
            <w:r w:rsidR="00AD405A">
              <w:rPr>
                <w:noProof/>
                <w:webHidden/>
              </w:rPr>
              <w:t>28</w:t>
            </w:r>
            <w:r>
              <w:rPr>
                <w:noProof/>
                <w:webHidden/>
              </w:rPr>
              <w:fldChar w:fldCharType="end"/>
            </w:r>
          </w:hyperlink>
        </w:p>
        <w:p w14:paraId="3BD83C3A" w14:textId="0EF87C88" w:rsidR="00C27A2F" w:rsidRDefault="00C27A2F">
          <w:pPr>
            <w:pStyle w:val="TOC2"/>
            <w:tabs>
              <w:tab w:val="right" w:leader="dot" w:pos="9350"/>
            </w:tabs>
            <w:rPr>
              <w:rFonts w:eastAsiaTheme="minorEastAsia"/>
              <w:b w:val="0"/>
              <w:bCs w:val="0"/>
              <w:noProof/>
              <w:sz w:val="24"/>
              <w:szCs w:val="24"/>
            </w:rPr>
          </w:pPr>
          <w:hyperlink w:anchor="_Toc220591745" w:history="1">
            <w:r w:rsidRPr="0053585D">
              <w:rPr>
                <w:rStyle w:val="Hyperlink"/>
                <w:noProof/>
              </w:rPr>
              <w:t>4.2 (Theory) Expectations About Experience</w:t>
            </w:r>
            <w:r>
              <w:rPr>
                <w:noProof/>
                <w:webHidden/>
              </w:rPr>
              <w:tab/>
            </w:r>
            <w:r>
              <w:rPr>
                <w:noProof/>
                <w:webHidden/>
              </w:rPr>
              <w:fldChar w:fldCharType="begin"/>
            </w:r>
            <w:r>
              <w:rPr>
                <w:noProof/>
                <w:webHidden/>
              </w:rPr>
              <w:instrText xml:space="preserve"> PAGEREF _Toc220591745 \h </w:instrText>
            </w:r>
            <w:r>
              <w:rPr>
                <w:noProof/>
                <w:webHidden/>
              </w:rPr>
            </w:r>
            <w:r>
              <w:rPr>
                <w:noProof/>
                <w:webHidden/>
              </w:rPr>
              <w:fldChar w:fldCharType="separate"/>
            </w:r>
            <w:r w:rsidR="00AD405A">
              <w:rPr>
                <w:noProof/>
                <w:webHidden/>
              </w:rPr>
              <w:t>28</w:t>
            </w:r>
            <w:r>
              <w:rPr>
                <w:noProof/>
                <w:webHidden/>
              </w:rPr>
              <w:fldChar w:fldCharType="end"/>
            </w:r>
          </w:hyperlink>
        </w:p>
        <w:p w14:paraId="718B4752" w14:textId="18714889" w:rsidR="00C27A2F" w:rsidRDefault="00C27A2F">
          <w:pPr>
            <w:pStyle w:val="TOC2"/>
            <w:tabs>
              <w:tab w:val="right" w:leader="dot" w:pos="9350"/>
            </w:tabs>
            <w:rPr>
              <w:rFonts w:eastAsiaTheme="minorEastAsia"/>
              <w:b w:val="0"/>
              <w:bCs w:val="0"/>
              <w:noProof/>
              <w:sz w:val="24"/>
              <w:szCs w:val="24"/>
            </w:rPr>
          </w:pPr>
          <w:hyperlink w:anchor="_Toc220591746" w:history="1">
            <w:r w:rsidRPr="0053585D">
              <w:rPr>
                <w:rStyle w:val="Hyperlink"/>
                <w:noProof/>
              </w:rPr>
              <w:t>4.3 (Hypotheses/Expectations)</w:t>
            </w:r>
            <w:r>
              <w:rPr>
                <w:noProof/>
                <w:webHidden/>
              </w:rPr>
              <w:tab/>
            </w:r>
            <w:r>
              <w:rPr>
                <w:noProof/>
                <w:webHidden/>
              </w:rPr>
              <w:fldChar w:fldCharType="begin"/>
            </w:r>
            <w:r>
              <w:rPr>
                <w:noProof/>
                <w:webHidden/>
              </w:rPr>
              <w:instrText xml:space="preserve"> PAGEREF _Toc220591746 \h </w:instrText>
            </w:r>
            <w:r>
              <w:rPr>
                <w:noProof/>
                <w:webHidden/>
              </w:rPr>
            </w:r>
            <w:r>
              <w:rPr>
                <w:noProof/>
                <w:webHidden/>
              </w:rPr>
              <w:fldChar w:fldCharType="separate"/>
            </w:r>
            <w:r w:rsidR="00AD405A">
              <w:rPr>
                <w:noProof/>
                <w:webHidden/>
              </w:rPr>
              <w:t>30</w:t>
            </w:r>
            <w:r>
              <w:rPr>
                <w:noProof/>
                <w:webHidden/>
              </w:rPr>
              <w:fldChar w:fldCharType="end"/>
            </w:r>
          </w:hyperlink>
        </w:p>
        <w:p w14:paraId="073C1538" w14:textId="6FE1BB1C" w:rsidR="00C27A2F" w:rsidRDefault="00C27A2F">
          <w:pPr>
            <w:pStyle w:val="TOC2"/>
            <w:tabs>
              <w:tab w:val="right" w:leader="dot" w:pos="9350"/>
            </w:tabs>
            <w:rPr>
              <w:rFonts w:eastAsiaTheme="minorEastAsia"/>
              <w:b w:val="0"/>
              <w:bCs w:val="0"/>
              <w:noProof/>
              <w:sz w:val="24"/>
              <w:szCs w:val="24"/>
            </w:rPr>
          </w:pPr>
          <w:hyperlink w:anchor="_Toc220591747" w:history="1">
            <w:r w:rsidRPr="0053585D">
              <w:rPr>
                <w:rStyle w:val="Hyperlink"/>
                <w:noProof/>
              </w:rPr>
              <w:t>4.4 (Data/Design)</w:t>
            </w:r>
            <w:r>
              <w:rPr>
                <w:noProof/>
                <w:webHidden/>
              </w:rPr>
              <w:tab/>
            </w:r>
            <w:r>
              <w:rPr>
                <w:noProof/>
                <w:webHidden/>
              </w:rPr>
              <w:fldChar w:fldCharType="begin"/>
            </w:r>
            <w:r>
              <w:rPr>
                <w:noProof/>
                <w:webHidden/>
              </w:rPr>
              <w:instrText xml:space="preserve"> PAGEREF _Toc220591747 \h </w:instrText>
            </w:r>
            <w:r>
              <w:rPr>
                <w:noProof/>
                <w:webHidden/>
              </w:rPr>
            </w:r>
            <w:r>
              <w:rPr>
                <w:noProof/>
                <w:webHidden/>
              </w:rPr>
              <w:fldChar w:fldCharType="separate"/>
            </w:r>
            <w:r w:rsidR="00AD405A">
              <w:rPr>
                <w:noProof/>
                <w:webHidden/>
              </w:rPr>
              <w:t>30</w:t>
            </w:r>
            <w:r>
              <w:rPr>
                <w:noProof/>
                <w:webHidden/>
              </w:rPr>
              <w:fldChar w:fldCharType="end"/>
            </w:r>
          </w:hyperlink>
        </w:p>
        <w:p w14:paraId="2706C5B6" w14:textId="7DE9A178" w:rsidR="00C27A2F" w:rsidRDefault="00C27A2F">
          <w:pPr>
            <w:pStyle w:val="TOC2"/>
            <w:tabs>
              <w:tab w:val="right" w:leader="dot" w:pos="9350"/>
            </w:tabs>
            <w:rPr>
              <w:rFonts w:eastAsiaTheme="minorEastAsia"/>
              <w:b w:val="0"/>
              <w:bCs w:val="0"/>
              <w:noProof/>
              <w:sz w:val="24"/>
              <w:szCs w:val="24"/>
            </w:rPr>
          </w:pPr>
          <w:hyperlink w:anchor="_Toc220591748" w:history="1">
            <w:r w:rsidRPr="0053585D">
              <w:rPr>
                <w:rStyle w:val="Hyperlink"/>
                <w:noProof/>
              </w:rPr>
              <w:t>4.5 (Theory): When Descriptive Representation Matters</w:t>
            </w:r>
            <w:r>
              <w:rPr>
                <w:noProof/>
                <w:webHidden/>
              </w:rPr>
              <w:tab/>
            </w:r>
            <w:r>
              <w:rPr>
                <w:noProof/>
                <w:webHidden/>
              </w:rPr>
              <w:fldChar w:fldCharType="begin"/>
            </w:r>
            <w:r>
              <w:rPr>
                <w:noProof/>
                <w:webHidden/>
              </w:rPr>
              <w:instrText xml:space="preserve"> PAGEREF _Toc220591748 \h </w:instrText>
            </w:r>
            <w:r>
              <w:rPr>
                <w:noProof/>
                <w:webHidden/>
              </w:rPr>
            </w:r>
            <w:r>
              <w:rPr>
                <w:noProof/>
                <w:webHidden/>
              </w:rPr>
              <w:fldChar w:fldCharType="separate"/>
            </w:r>
            <w:r w:rsidR="00AD405A">
              <w:rPr>
                <w:noProof/>
                <w:webHidden/>
              </w:rPr>
              <w:t>30</w:t>
            </w:r>
            <w:r>
              <w:rPr>
                <w:noProof/>
                <w:webHidden/>
              </w:rPr>
              <w:fldChar w:fldCharType="end"/>
            </w:r>
          </w:hyperlink>
        </w:p>
        <w:p w14:paraId="49DB8BB7" w14:textId="057F6159" w:rsidR="00C27A2F" w:rsidRDefault="00C27A2F">
          <w:pPr>
            <w:pStyle w:val="TOC2"/>
            <w:tabs>
              <w:tab w:val="right" w:leader="dot" w:pos="9350"/>
            </w:tabs>
            <w:rPr>
              <w:rFonts w:eastAsiaTheme="minorEastAsia"/>
              <w:b w:val="0"/>
              <w:bCs w:val="0"/>
              <w:noProof/>
              <w:sz w:val="24"/>
              <w:szCs w:val="24"/>
            </w:rPr>
          </w:pPr>
          <w:hyperlink w:anchor="_Toc220591749" w:history="1">
            <w:r w:rsidRPr="0053585D">
              <w:rPr>
                <w:rStyle w:val="Hyperlink"/>
                <w:noProof/>
              </w:rPr>
              <w:t>4.6 (Theory): Expectations About Legislative Action</w:t>
            </w:r>
            <w:r>
              <w:rPr>
                <w:noProof/>
                <w:webHidden/>
              </w:rPr>
              <w:tab/>
            </w:r>
            <w:r>
              <w:rPr>
                <w:noProof/>
                <w:webHidden/>
              </w:rPr>
              <w:fldChar w:fldCharType="begin"/>
            </w:r>
            <w:r>
              <w:rPr>
                <w:noProof/>
                <w:webHidden/>
              </w:rPr>
              <w:instrText xml:space="preserve"> PAGEREF _Toc220591749 \h </w:instrText>
            </w:r>
            <w:r>
              <w:rPr>
                <w:noProof/>
                <w:webHidden/>
              </w:rPr>
            </w:r>
            <w:r>
              <w:rPr>
                <w:noProof/>
                <w:webHidden/>
              </w:rPr>
              <w:fldChar w:fldCharType="separate"/>
            </w:r>
            <w:r w:rsidR="00AD405A">
              <w:rPr>
                <w:noProof/>
                <w:webHidden/>
              </w:rPr>
              <w:t>30</w:t>
            </w:r>
            <w:r>
              <w:rPr>
                <w:noProof/>
                <w:webHidden/>
              </w:rPr>
              <w:fldChar w:fldCharType="end"/>
            </w:r>
          </w:hyperlink>
        </w:p>
        <w:p w14:paraId="068BD8F4" w14:textId="09557EDF" w:rsidR="00C27A2F" w:rsidRDefault="00C27A2F">
          <w:pPr>
            <w:pStyle w:val="TOC2"/>
            <w:tabs>
              <w:tab w:val="right" w:leader="dot" w:pos="9350"/>
            </w:tabs>
            <w:rPr>
              <w:rFonts w:eastAsiaTheme="minorEastAsia"/>
              <w:b w:val="0"/>
              <w:bCs w:val="0"/>
              <w:noProof/>
              <w:sz w:val="24"/>
              <w:szCs w:val="24"/>
            </w:rPr>
          </w:pPr>
          <w:hyperlink w:anchor="_Toc220591750" w:history="1">
            <w:r w:rsidRPr="0053585D">
              <w:rPr>
                <w:rStyle w:val="Hyperlink"/>
                <w:noProof/>
              </w:rPr>
              <w:t>4.7 (Hypotheses/Expectations)</w:t>
            </w:r>
            <w:r>
              <w:rPr>
                <w:noProof/>
                <w:webHidden/>
              </w:rPr>
              <w:tab/>
            </w:r>
            <w:r>
              <w:rPr>
                <w:noProof/>
                <w:webHidden/>
              </w:rPr>
              <w:fldChar w:fldCharType="begin"/>
            </w:r>
            <w:r>
              <w:rPr>
                <w:noProof/>
                <w:webHidden/>
              </w:rPr>
              <w:instrText xml:space="preserve"> PAGEREF _Toc220591750 \h </w:instrText>
            </w:r>
            <w:r>
              <w:rPr>
                <w:noProof/>
                <w:webHidden/>
              </w:rPr>
            </w:r>
            <w:r>
              <w:rPr>
                <w:noProof/>
                <w:webHidden/>
              </w:rPr>
              <w:fldChar w:fldCharType="separate"/>
            </w:r>
            <w:r w:rsidR="00AD405A">
              <w:rPr>
                <w:noProof/>
                <w:webHidden/>
              </w:rPr>
              <w:t>31</w:t>
            </w:r>
            <w:r>
              <w:rPr>
                <w:noProof/>
                <w:webHidden/>
              </w:rPr>
              <w:fldChar w:fldCharType="end"/>
            </w:r>
          </w:hyperlink>
        </w:p>
        <w:p w14:paraId="3E0ECA94" w14:textId="451073E1" w:rsidR="00C27A2F" w:rsidRDefault="00C27A2F">
          <w:pPr>
            <w:pStyle w:val="TOC2"/>
            <w:tabs>
              <w:tab w:val="right" w:leader="dot" w:pos="9350"/>
            </w:tabs>
            <w:rPr>
              <w:rFonts w:eastAsiaTheme="minorEastAsia"/>
              <w:b w:val="0"/>
              <w:bCs w:val="0"/>
              <w:noProof/>
              <w:sz w:val="24"/>
              <w:szCs w:val="24"/>
            </w:rPr>
          </w:pPr>
          <w:hyperlink w:anchor="_Toc220591751" w:history="1">
            <w:r w:rsidRPr="0053585D">
              <w:rPr>
                <w:rStyle w:val="Hyperlink"/>
                <w:noProof/>
              </w:rPr>
              <w:t>4.8 (Data/Design)</w:t>
            </w:r>
            <w:r>
              <w:rPr>
                <w:noProof/>
                <w:webHidden/>
              </w:rPr>
              <w:tab/>
            </w:r>
            <w:r>
              <w:rPr>
                <w:noProof/>
                <w:webHidden/>
              </w:rPr>
              <w:fldChar w:fldCharType="begin"/>
            </w:r>
            <w:r>
              <w:rPr>
                <w:noProof/>
                <w:webHidden/>
              </w:rPr>
              <w:instrText xml:space="preserve"> PAGEREF _Toc220591751 \h </w:instrText>
            </w:r>
            <w:r>
              <w:rPr>
                <w:noProof/>
                <w:webHidden/>
              </w:rPr>
            </w:r>
            <w:r>
              <w:rPr>
                <w:noProof/>
                <w:webHidden/>
              </w:rPr>
              <w:fldChar w:fldCharType="separate"/>
            </w:r>
            <w:r w:rsidR="00AD405A">
              <w:rPr>
                <w:noProof/>
                <w:webHidden/>
              </w:rPr>
              <w:t>31</w:t>
            </w:r>
            <w:r>
              <w:rPr>
                <w:noProof/>
                <w:webHidden/>
              </w:rPr>
              <w:fldChar w:fldCharType="end"/>
            </w:r>
          </w:hyperlink>
        </w:p>
        <w:p w14:paraId="587E639C" w14:textId="12FB8998" w:rsidR="00C27A2F" w:rsidRDefault="00C27A2F">
          <w:pPr>
            <w:pStyle w:val="TOC1"/>
            <w:tabs>
              <w:tab w:val="right" w:leader="dot" w:pos="9350"/>
            </w:tabs>
            <w:rPr>
              <w:rFonts w:eastAsiaTheme="minorEastAsia"/>
              <w:b w:val="0"/>
              <w:bCs w:val="0"/>
              <w:i w:val="0"/>
              <w:iCs w:val="0"/>
              <w:noProof/>
            </w:rPr>
          </w:pPr>
          <w:hyperlink w:anchor="_Toc220591752" w:history="1">
            <w:r w:rsidRPr="0053585D">
              <w:rPr>
                <w:rStyle w:val="Hyperlink"/>
                <w:noProof/>
              </w:rPr>
              <w:t>V. Test 3: Symbolic and Epistemic Representation</w:t>
            </w:r>
            <w:r>
              <w:rPr>
                <w:noProof/>
                <w:webHidden/>
              </w:rPr>
              <w:tab/>
            </w:r>
            <w:r>
              <w:rPr>
                <w:noProof/>
                <w:webHidden/>
              </w:rPr>
              <w:fldChar w:fldCharType="begin"/>
            </w:r>
            <w:r>
              <w:rPr>
                <w:noProof/>
                <w:webHidden/>
              </w:rPr>
              <w:instrText xml:space="preserve"> PAGEREF _Toc220591752 \h </w:instrText>
            </w:r>
            <w:r>
              <w:rPr>
                <w:noProof/>
                <w:webHidden/>
              </w:rPr>
            </w:r>
            <w:r>
              <w:rPr>
                <w:noProof/>
                <w:webHidden/>
              </w:rPr>
              <w:fldChar w:fldCharType="separate"/>
            </w:r>
            <w:r w:rsidR="00AD405A">
              <w:rPr>
                <w:noProof/>
                <w:webHidden/>
              </w:rPr>
              <w:t>31</w:t>
            </w:r>
            <w:r>
              <w:rPr>
                <w:noProof/>
                <w:webHidden/>
              </w:rPr>
              <w:fldChar w:fldCharType="end"/>
            </w:r>
          </w:hyperlink>
        </w:p>
        <w:p w14:paraId="03C03B55" w14:textId="0E939849" w:rsidR="00C27A2F" w:rsidRDefault="00C27A2F">
          <w:pPr>
            <w:pStyle w:val="TOC2"/>
            <w:tabs>
              <w:tab w:val="right" w:leader="dot" w:pos="9350"/>
            </w:tabs>
            <w:rPr>
              <w:rFonts w:eastAsiaTheme="minorEastAsia"/>
              <w:b w:val="0"/>
              <w:bCs w:val="0"/>
              <w:noProof/>
              <w:sz w:val="24"/>
              <w:szCs w:val="24"/>
            </w:rPr>
          </w:pPr>
          <w:hyperlink w:anchor="_Toc220591753" w:history="1">
            <w:r w:rsidRPr="0053585D">
              <w:rPr>
                <w:rStyle w:val="Hyperlink"/>
                <w:noProof/>
              </w:rPr>
              <w:t>5.1 (Theory) Symbolic Representation as Constitutive</w:t>
            </w:r>
            <w:r>
              <w:rPr>
                <w:noProof/>
                <w:webHidden/>
              </w:rPr>
              <w:tab/>
            </w:r>
            <w:r>
              <w:rPr>
                <w:noProof/>
                <w:webHidden/>
              </w:rPr>
              <w:fldChar w:fldCharType="begin"/>
            </w:r>
            <w:r>
              <w:rPr>
                <w:noProof/>
                <w:webHidden/>
              </w:rPr>
              <w:instrText xml:space="preserve"> PAGEREF _Toc220591753 \h </w:instrText>
            </w:r>
            <w:r>
              <w:rPr>
                <w:noProof/>
                <w:webHidden/>
              </w:rPr>
            </w:r>
            <w:r>
              <w:rPr>
                <w:noProof/>
                <w:webHidden/>
              </w:rPr>
              <w:fldChar w:fldCharType="separate"/>
            </w:r>
            <w:r w:rsidR="00AD405A">
              <w:rPr>
                <w:noProof/>
                <w:webHidden/>
              </w:rPr>
              <w:t>31</w:t>
            </w:r>
            <w:r>
              <w:rPr>
                <w:noProof/>
                <w:webHidden/>
              </w:rPr>
              <w:fldChar w:fldCharType="end"/>
            </w:r>
          </w:hyperlink>
        </w:p>
        <w:p w14:paraId="00B0CF53" w14:textId="48C77845" w:rsidR="00C27A2F" w:rsidRDefault="00C27A2F">
          <w:pPr>
            <w:pStyle w:val="TOC2"/>
            <w:tabs>
              <w:tab w:val="right" w:leader="dot" w:pos="9350"/>
            </w:tabs>
            <w:rPr>
              <w:rFonts w:eastAsiaTheme="minorEastAsia"/>
              <w:b w:val="0"/>
              <w:bCs w:val="0"/>
              <w:noProof/>
              <w:sz w:val="24"/>
              <w:szCs w:val="24"/>
            </w:rPr>
          </w:pPr>
          <w:hyperlink w:anchor="_Toc220591754" w:history="1">
            <w:r w:rsidRPr="0053585D">
              <w:rPr>
                <w:rStyle w:val="Hyperlink"/>
                <w:noProof/>
              </w:rPr>
              <w:t>5.2 (Theory) Epistemic Injustice and Selective Hearing</w:t>
            </w:r>
            <w:r>
              <w:rPr>
                <w:noProof/>
                <w:webHidden/>
              </w:rPr>
              <w:tab/>
            </w:r>
            <w:r>
              <w:rPr>
                <w:noProof/>
                <w:webHidden/>
              </w:rPr>
              <w:fldChar w:fldCharType="begin"/>
            </w:r>
            <w:r>
              <w:rPr>
                <w:noProof/>
                <w:webHidden/>
              </w:rPr>
              <w:instrText xml:space="preserve"> PAGEREF _Toc220591754 \h </w:instrText>
            </w:r>
            <w:r>
              <w:rPr>
                <w:noProof/>
                <w:webHidden/>
              </w:rPr>
            </w:r>
            <w:r>
              <w:rPr>
                <w:noProof/>
                <w:webHidden/>
              </w:rPr>
              <w:fldChar w:fldCharType="separate"/>
            </w:r>
            <w:r w:rsidR="00AD405A">
              <w:rPr>
                <w:noProof/>
                <w:webHidden/>
              </w:rPr>
              <w:t>31</w:t>
            </w:r>
            <w:r>
              <w:rPr>
                <w:noProof/>
                <w:webHidden/>
              </w:rPr>
              <w:fldChar w:fldCharType="end"/>
            </w:r>
          </w:hyperlink>
        </w:p>
        <w:p w14:paraId="1A0E5369" w14:textId="5521F03E" w:rsidR="00C27A2F" w:rsidRDefault="00C27A2F">
          <w:pPr>
            <w:pStyle w:val="TOC2"/>
            <w:tabs>
              <w:tab w:val="right" w:leader="dot" w:pos="9350"/>
            </w:tabs>
            <w:rPr>
              <w:rFonts w:eastAsiaTheme="minorEastAsia"/>
              <w:b w:val="0"/>
              <w:bCs w:val="0"/>
              <w:noProof/>
              <w:sz w:val="24"/>
              <w:szCs w:val="24"/>
            </w:rPr>
          </w:pPr>
          <w:hyperlink w:anchor="_Toc220591755" w:history="1">
            <w:r w:rsidRPr="0053585D">
              <w:rPr>
                <w:rStyle w:val="Hyperlink"/>
                <w:noProof/>
              </w:rPr>
              <w:t>5.3 Expectations About Symbolic Recognition</w:t>
            </w:r>
            <w:r>
              <w:rPr>
                <w:noProof/>
                <w:webHidden/>
              </w:rPr>
              <w:tab/>
            </w:r>
            <w:r>
              <w:rPr>
                <w:noProof/>
                <w:webHidden/>
              </w:rPr>
              <w:fldChar w:fldCharType="begin"/>
            </w:r>
            <w:r>
              <w:rPr>
                <w:noProof/>
                <w:webHidden/>
              </w:rPr>
              <w:instrText xml:space="preserve"> PAGEREF _Toc220591755 \h </w:instrText>
            </w:r>
            <w:r>
              <w:rPr>
                <w:noProof/>
                <w:webHidden/>
              </w:rPr>
            </w:r>
            <w:r>
              <w:rPr>
                <w:noProof/>
                <w:webHidden/>
              </w:rPr>
              <w:fldChar w:fldCharType="separate"/>
            </w:r>
            <w:r w:rsidR="00AD405A">
              <w:rPr>
                <w:noProof/>
                <w:webHidden/>
              </w:rPr>
              <w:t>31</w:t>
            </w:r>
            <w:r>
              <w:rPr>
                <w:noProof/>
                <w:webHidden/>
              </w:rPr>
              <w:fldChar w:fldCharType="end"/>
            </w:r>
          </w:hyperlink>
        </w:p>
        <w:p w14:paraId="32A295B9" w14:textId="34C89DA0" w:rsidR="00C27A2F" w:rsidRDefault="00C27A2F">
          <w:pPr>
            <w:pStyle w:val="TOC2"/>
            <w:tabs>
              <w:tab w:val="right" w:leader="dot" w:pos="9350"/>
            </w:tabs>
            <w:rPr>
              <w:rFonts w:eastAsiaTheme="minorEastAsia"/>
              <w:b w:val="0"/>
              <w:bCs w:val="0"/>
              <w:noProof/>
              <w:sz w:val="24"/>
              <w:szCs w:val="24"/>
            </w:rPr>
          </w:pPr>
          <w:hyperlink w:anchor="_Toc220591756" w:history="1">
            <w:r w:rsidRPr="0053585D">
              <w:rPr>
                <w:rStyle w:val="Hyperlink"/>
                <w:noProof/>
              </w:rPr>
              <w:t>5.4 (Hypotheses/Expectations)</w:t>
            </w:r>
            <w:r>
              <w:rPr>
                <w:noProof/>
                <w:webHidden/>
              </w:rPr>
              <w:tab/>
            </w:r>
            <w:r>
              <w:rPr>
                <w:noProof/>
                <w:webHidden/>
              </w:rPr>
              <w:fldChar w:fldCharType="begin"/>
            </w:r>
            <w:r>
              <w:rPr>
                <w:noProof/>
                <w:webHidden/>
              </w:rPr>
              <w:instrText xml:space="preserve"> PAGEREF _Toc220591756 \h </w:instrText>
            </w:r>
            <w:r>
              <w:rPr>
                <w:noProof/>
                <w:webHidden/>
              </w:rPr>
            </w:r>
            <w:r>
              <w:rPr>
                <w:noProof/>
                <w:webHidden/>
              </w:rPr>
              <w:fldChar w:fldCharType="separate"/>
            </w:r>
            <w:r w:rsidR="00AD405A">
              <w:rPr>
                <w:noProof/>
                <w:webHidden/>
              </w:rPr>
              <w:t>31</w:t>
            </w:r>
            <w:r>
              <w:rPr>
                <w:noProof/>
                <w:webHidden/>
              </w:rPr>
              <w:fldChar w:fldCharType="end"/>
            </w:r>
          </w:hyperlink>
        </w:p>
        <w:p w14:paraId="2256B07D" w14:textId="1EC107DF" w:rsidR="00C27A2F" w:rsidRDefault="00C27A2F">
          <w:pPr>
            <w:pStyle w:val="TOC2"/>
            <w:tabs>
              <w:tab w:val="right" w:leader="dot" w:pos="9350"/>
            </w:tabs>
            <w:rPr>
              <w:rFonts w:eastAsiaTheme="minorEastAsia"/>
              <w:b w:val="0"/>
              <w:bCs w:val="0"/>
              <w:noProof/>
              <w:sz w:val="24"/>
              <w:szCs w:val="24"/>
            </w:rPr>
          </w:pPr>
          <w:hyperlink w:anchor="_Toc220591757" w:history="1">
            <w:r w:rsidRPr="0053585D">
              <w:rPr>
                <w:rStyle w:val="Hyperlink"/>
                <w:noProof/>
              </w:rPr>
              <w:t>5.5 (Data/Design)</w:t>
            </w:r>
            <w:r>
              <w:rPr>
                <w:noProof/>
                <w:webHidden/>
              </w:rPr>
              <w:tab/>
            </w:r>
            <w:r>
              <w:rPr>
                <w:noProof/>
                <w:webHidden/>
              </w:rPr>
              <w:fldChar w:fldCharType="begin"/>
            </w:r>
            <w:r>
              <w:rPr>
                <w:noProof/>
                <w:webHidden/>
              </w:rPr>
              <w:instrText xml:space="preserve"> PAGEREF _Toc220591757 \h </w:instrText>
            </w:r>
            <w:r>
              <w:rPr>
                <w:noProof/>
                <w:webHidden/>
              </w:rPr>
            </w:r>
            <w:r>
              <w:rPr>
                <w:noProof/>
                <w:webHidden/>
              </w:rPr>
              <w:fldChar w:fldCharType="separate"/>
            </w:r>
            <w:r w:rsidR="00AD405A">
              <w:rPr>
                <w:noProof/>
                <w:webHidden/>
              </w:rPr>
              <w:t>31</w:t>
            </w:r>
            <w:r>
              <w:rPr>
                <w:noProof/>
                <w:webHidden/>
              </w:rPr>
              <w:fldChar w:fldCharType="end"/>
            </w:r>
          </w:hyperlink>
        </w:p>
        <w:p w14:paraId="72BD782C" w14:textId="361EDA49" w:rsidR="00C27A2F" w:rsidRDefault="00C27A2F">
          <w:pPr>
            <w:pStyle w:val="TOC1"/>
            <w:tabs>
              <w:tab w:val="right" w:leader="dot" w:pos="9350"/>
            </w:tabs>
            <w:rPr>
              <w:rFonts w:eastAsiaTheme="minorEastAsia"/>
              <w:b w:val="0"/>
              <w:bCs w:val="0"/>
              <w:i w:val="0"/>
              <w:iCs w:val="0"/>
              <w:noProof/>
            </w:rPr>
          </w:pPr>
          <w:hyperlink w:anchor="_Toc220591758" w:history="1">
            <w:r w:rsidRPr="0053585D">
              <w:rPr>
                <w:rStyle w:val="Hyperlink"/>
                <w:noProof/>
              </w:rPr>
              <w:t>VI. Conclusion &amp; Implications</w:t>
            </w:r>
            <w:r>
              <w:rPr>
                <w:noProof/>
                <w:webHidden/>
              </w:rPr>
              <w:tab/>
            </w:r>
            <w:r>
              <w:rPr>
                <w:noProof/>
                <w:webHidden/>
              </w:rPr>
              <w:fldChar w:fldCharType="begin"/>
            </w:r>
            <w:r>
              <w:rPr>
                <w:noProof/>
                <w:webHidden/>
              </w:rPr>
              <w:instrText xml:space="preserve"> PAGEREF _Toc220591758 \h </w:instrText>
            </w:r>
            <w:r>
              <w:rPr>
                <w:noProof/>
                <w:webHidden/>
              </w:rPr>
            </w:r>
            <w:r>
              <w:rPr>
                <w:noProof/>
                <w:webHidden/>
              </w:rPr>
              <w:fldChar w:fldCharType="separate"/>
            </w:r>
            <w:r w:rsidR="00AD405A">
              <w:rPr>
                <w:noProof/>
                <w:webHidden/>
              </w:rPr>
              <w:t>32</w:t>
            </w:r>
            <w:r>
              <w:rPr>
                <w:noProof/>
                <w:webHidden/>
              </w:rPr>
              <w:fldChar w:fldCharType="end"/>
            </w:r>
          </w:hyperlink>
        </w:p>
        <w:p w14:paraId="64EBC2E6" w14:textId="69B8207D" w:rsidR="001B48DC" w:rsidRDefault="001B48DC">
          <w:r>
            <w:rPr>
              <w:b/>
              <w:bCs/>
              <w:noProof/>
            </w:rPr>
            <w:lastRenderedPageBreak/>
            <w:fldChar w:fldCharType="end"/>
          </w:r>
        </w:p>
      </w:sdtContent>
    </w:sdt>
    <w:p w14:paraId="0F37EF99" w14:textId="77777777" w:rsidR="001B48DC" w:rsidRDefault="001B48DC" w:rsidP="001B48DC">
      <w:pPr>
        <w:rPr>
          <w:b/>
          <w:bCs/>
          <w:sz w:val="28"/>
          <w:szCs w:val="28"/>
        </w:rPr>
      </w:pPr>
    </w:p>
    <w:p w14:paraId="581478DA" w14:textId="645206F7" w:rsidR="0077211D" w:rsidRPr="001B48DC" w:rsidRDefault="0077211D" w:rsidP="001B48DC">
      <w:pPr>
        <w:pStyle w:val="Heading1"/>
        <w:jc w:val="center"/>
      </w:pPr>
      <w:bookmarkStart w:id="0" w:name="_Toc220591732"/>
      <w:r w:rsidRPr="001B48DC">
        <w:t>Intro</w:t>
      </w:r>
      <w:r w:rsidR="00C349D5">
        <w:t>duction</w:t>
      </w:r>
      <w:bookmarkEnd w:id="0"/>
    </w:p>
    <w:p w14:paraId="314161EF" w14:textId="56363BF1" w:rsidR="00C349D5" w:rsidRDefault="00C349D5" w:rsidP="00C349D5">
      <w:pPr>
        <w:pStyle w:val="Heading2"/>
      </w:pPr>
      <w:bookmarkStart w:id="1" w:name="_Toc220591733"/>
      <w:r>
        <w:t xml:space="preserve">1.1 Puzzle and </w:t>
      </w:r>
      <w:r w:rsidR="0043512D">
        <w:t>Contribution</w:t>
      </w:r>
      <w:bookmarkEnd w:id="1"/>
    </w:p>
    <w:p w14:paraId="2AEB6FDB" w14:textId="39E214B6" w:rsidR="0033373D" w:rsidRPr="0033373D" w:rsidRDefault="0033373D">
      <w:pPr>
        <w:rPr>
          <w:u w:val="single"/>
        </w:rPr>
      </w:pPr>
      <w:r w:rsidRPr="0033373D">
        <w:rPr>
          <w:b/>
          <w:bCs/>
          <w:u w:val="single"/>
        </w:rPr>
        <w:t>Paragraph 1</w:t>
      </w:r>
      <w:r w:rsidRPr="0033373D">
        <w:rPr>
          <w:u w:val="single"/>
        </w:rPr>
        <w:t xml:space="preserve"> – Hook/puzzle/thing of consequence in real world</w:t>
      </w:r>
    </w:p>
    <w:p w14:paraId="6C8C0497" w14:textId="300780F8" w:rsidR="0077211D" w:rsidRPr="0077211D" w:rsidRDefault="0077211D">
      <w:pPr>
        <w:rPr>
          <w:i/>
          <w:iCs/>
        </w:rPr>
      </w:pPr>
      <w:r w:rsidRPr="0077211D">
        <w:rPr>
          <w:i/>
          <w:iCs/>
        </w:rPr>
        <w:t>“Hook” poached Intro from REM final:</w:t>
      </w:r>
    </w:p>
    <w:p w14:paraId="5EE525BC" w14:textId="0E932364" w:rsidR="0077211D" w:rsidRDefault="0077211D" w:rsidP="00D8245A">
      <w:pPr>
        <w:spacing w:line="360" w:lineRule="auto"/>
        <w:ind w:firstLine="720"/>
        <w:rPr>
          <w:rFonts w:ascii="Times New Roman" w:hAnsi="Times New Roman" w:cs="Times New Roman"/>
        </w:rPr>
      </w:pPr>
      <w:r>
        <w:rPr>
          <w:rFonts w:ascii="Times New Roman" w:hAnsi="Times New Roman" w:cs="Times New Roman"/>
        </w:rPr>
        <w:t xml:space="preserve">Massachusetts Congresswoman Ayanna Pressley often says that “the people closest to the pain,” those doubly burdened by sedimented inequality and the carceral state, “should be closest to the power.” </w:t>
      </w:r>
      <w:commentRangeStart w:id="2"/>
      <w:r>
        <w:rPr>
          <w:rFonts w:ascii="Times New Roman" w:hAnsi="Times New Roman" w:cs="Times New Roman"/>
        </w:rPr>
        <w:t>Like Pressley, State Senator Liz Miranda also centers her “</w:t>
      </w:r>
      <w:proofErr w:type="gramStart"/>
      <w:r>
        <w:rPr>
          <w:rFonts w:ascii="Times New Roman" w:hAnsi="Times New Roman" w:cs="Times New Roman"/>
        </w:rPr>
        <w:t>proximally-impacted</w:t>
      </w:r>
      <w:proofErr w:type="gramEnd"/>
      <w:r>
        <w:rPr>
          <w:rFonts w:ascii="Times New Roman" w:hAnsi="Times New Roman" w:cs="Times New Roman"/>
        </w:rPr>
        <w:t xml:space="preserve">” identities, drawing on familial and personal experiences with the carceral state. Both routinely meet with constituents in prison and quote them in floor speeches and media, maintain ongoing lines of communication with their loved ones, </w:t>
      </w:r>
      <w:commentRangeEnd w:id="2"/>
      <w:r w:rsidR="0033373D">
        <w:rPr>
          <w:rStyle w:val="CommentReference"/>
        </w:rPr>
        <w:commentReference w:id="2"/>
      </w:r>
      <w:r>
        <w:rPr>
          <w:rFonts w:ascii="Times New Roman" w:hAnsi="Times New Roman" w:cs="Times New Roman"/>
        </w:rPr>
        <w:t xml:space="preserve">and center the knowledge of </w:t>
      </w:r>
      <w:r w:rsidR="006C0245">
        <w:rPr>
          <w:rFonts w:ascii="Times New Roman" w:hAnsi="Times New Roman" w:cs="Times New Roman"/>
        </w:rPr>
        <w:t xml:space="preserve">and input by </w:t>
      </w:r>
      <w:r>
        <w:rPr>
          <w:rFonts w:ascii="Times New Roman" w:hAnsi="Times New Roman" w:cs="Times New Roman"/>
        </w:rPr>
        <w:t>carceral communities in their policy work. Their representational styles demonstrate</w:t>
      </w:r>
      <w:r w:rsidR="006C0245">
        <w:rPr>
          <w:rFonts w:ascii="Times New Roman" w:hAnsi="Times New Roman" w:cs="Times New Roman"/>
        </w:rPr>
        <w:t xml:space="preserve"> </w:t>
      </w:r>
      <w:r w:rsidR="00D8245A">
        <w:rPr>
          <w:rFonts w:ascii="Times New Roman" w:hAnsi="Times New Roman" w:cs="Times New Roman"/>
        </w:rPr>
        <w:t>how [legislators shape constituencies], [</w:t>
      </w:r>
      <w:r w:rsidR="00D8245A">
        <w:rPr>
          <w:rFonts w:ascii="Times New Roman" w:hAnsi="Times New Roman" w:cs="Times New Roman"/>
          <w:i/>
          <w:iCs/>
        </w:rPr>
        <w:t>who</w:t>
      </w:r>
      <w:r w:rsidR="00D8245A">
        <w:rPr>
          <w:rFonts w:ascii="Times New Roman" w:hAnsi="Times New Roman" w:cs="Times New Roman"/>
        </w:rPr>
        <w:t xml:space="preserve"> legislators </w:t>
      </w:r>
      <w:r w:rsidR="00D8245A">
        <w:rPr>
          <w:rFonts w:ascii="Times New Roman" w:hAnsi="Times New Roman" w:cs="Times New Roman"/>
          <w:i/>
          <w:iCs/>
        </w:rPr>
        <w:t>are</w:t>
      </w:r>
      <w:r w:rsidR="00D8245A">
        <w:rPr>
          <w:rFonts w:ascii="Times New Roman" w:hAnsi="Times New Roman" w:cs="Times New Roman"/>
        </w:rPr>
        <w:t xml:space="preserve"> can inform which constituencies they make visible or invisible], [s</w:t>
      </w:r>
      <w:r w:rsidR="00D8245A" w:rsidRPr="00D8245A">
        <w:rPr>
          <w:rFonts w:ascii="Times New Roman" w:hAnsi="Times New Roman" w:cs="Times New Roman"/>
        </w:rPr>
        <w:t xml:space="preserve">ymbolic recognition is not epiphenomenal to </w:t>
      </w:r>
      <w:r w:rsidR="00D8245A">
        <w:rPr>
          <w:rFonts w:ascii="Times New Roman" w:hAnsi="Times New Roman" w:cs="Times New Roman"/>
        </w:rPr>
        <w:t>representation</w:t>
      </w:r>
      <w:r w:rsidR="00D8245A" w:rsidRPr="00D8245A">
        <w:rPr>
          <w:rFonts w:ascii="Times New Roman" w:hAnsi="Times New Roman" w:cs="Times New Roman"/>
        </w:rPr>
        <w:t xml:space="preserve"> but constitutive of it</w:t>
      </w:r>
      <w:r w:rsidR="00D8245A">
        <w:rPr>
          <w:rFonts w:ascii="Times New Roman" w:hAnsi="Times New Roman" w:cs="Times New Roman"/>
        </w:rPr>
        <w:t>], [whose knowledge is treated as relevant for policymaking</w:t>
      </w:r>
      <w:r w:rsidR="00905D0C">
        <w:rPr>
          <w:rFonts w:ascii="Times New Roman" w:hAnsi="Times New Roman" w:cs="Times New Roman"/>
        </w:rPr>
        <w:t>] [treat incarcerated people not as policy subjects, but as constituents whose experiences and perspectives are relevant to governance]</w:t>
      </w:r>
      <w:commentRangeStart w:id="3"/>
      <w:r w:rsidRPr="00701387">
        <w:rPr>
          <w:rFonts w:ascii="Times New Roman" w:hAnsi="Times New Roman" w:cs="Times New Roman"/>
        </w:rPr>
        <w:t xml:space="preserve"> (</w:t>
      </w:r>
      <w:proofErr w:type="spellStart"/>
      <w:r w:rsidRPr="00701387">
        <w:rPr>
          <w:rFonts w:ascii="Times New Roman" w:hAnsi="Times New Roman" w:cs="Times New Roman"/>
        </w:rPr>
        <w:t>Fenno</w:t>
      </w:r>
      <w:proofErr w:type="spellEnd"/>
      <w:r w:rsidRPr="00701387">
        <w:rPr>
          <w:rFonts w:ascii="Times New Roman" w:hAnsi="Times New Roman" w:cs="Times New Roman"/>
        </w:rPr>
        <w:t xml:space="preserve"> 1978; Miler 2018)</w:t>
      </w:r>
      <w:r>
        <w:rPr>
          <w:rFonts w:ascii="Times New Roman" w:hAnsi="Times New Roman" w:cs="Times New Roman"/>
        </w:rPr>
        <w:t>]</w:t>
      </w:r>
      <w:r w:rsidRPr="00701387">
        <w:rPr>
          <w:rFonts w:ascii="Times New Roman" w:hAnsi="Times New Roman" w:cs="Times New Roman"/>
        </w:rPr>
        <w:t>.</w:t>
      </w:r>
      <w:r>
        <w:rPr>
          <w:rFonts w:ascii="Times New Roman" w:hAnsi="Times New Roman" w:cs="Times New Roman"/>
        </w:rPr>
        <w:t xml:space="preserve"> </w:t>
      </w:r>
      <w:commentRangeEnd w:id="3"/>
      <w:r w:rsidR="008728BF">
        <w:rPr>
          <w:rStyle w:val="CommentReference"/>
        </w:rPr>
        <w:commentReference w:id="3"/>
      </w:r>
    </w:p>
    <w:p w14:paraId="0926BD34" w14:textId="0B795E2C" w:rsidR="00905D0C" w:rsidRPr="0033373D" w:rsidRDefault="00905D0C" w:rsidP="00905D0C">
      <w:pPr>
        <w:rPr>
          <w:u w:val="single"/>
        </w:rPr>
      </w:pPr>
      <w:r w:rsidRPr="0033373D">
        <w:rPr>
          <w:b/>
          <w:bCs/>
          <w:u w:val="single"/>
        </w:rPr>
        <w:t xml:space="preserve">Paragraph </w:t>
      </w:r>
      <w:r>
        <w:rPr>
          <w:b/>
          <w:bCs/>
          <w:u w:val="single"/>
        </w:rPr>
        <w:t>2</w:t>
      </w:r>
      <w:r w:rsidRPr="0033373D">
        <w:rPr>
          <w:u w:val="single"/>
        </w:rPr>
        <w:t xml:space="preserve"> – </w:t>
      </w:r>
      <w:r w:rsidR="007D6D50">
        <w:rPr>
          <w:u w:val="single"/>
        </w:rPr>
        <w:t xml:space="preserve">puzzle in context of </w:t>
      </w:r>
      <w:commentRangeStart w:id="4"/>
      <w:r w:rsidR="007D6D50">
        <w:rPr>
          <w:u w:val="single"/>
        </w:rPr>
        <w:t>literature</w:t>
      </w:r>
      <w:commentRangeEnd w:id="4"/>
      <w:r w:rsidR="007D6D50">
        <w:rPr>
          <w:rStyle w:val="CommentReference"/>
        </w:rPr>
        <w:commentReference w:id="4"/>
      </w:r>
    </w:p>
    <w:p w14:paraId="12447771" w14:textId="4D46D1A5" w:rsidR="00EC61F1" w:rsidRDefault="00A07EB3" w:rsidP="00566F1C">
      <w:pPr>
        <w:spacing w:line="360" w:lineRule="auto"/>
        <w:ind w:firstLine="720"/>
        <w:rPr>
          <w:rFonts w:ascii="Times New Roman" w:hAnsi="Times New Roman" w:cs="Times New Roman"/>
        </w:rPr>
      </w:pPr>
      <w:r>
        <w:rPr>
          <w:rFonts w:ascii="Times New Roman" w:hAnsi="Times New Roman" w:cs="Times New Roman"/>
        </w:rPr>
        <w:t xml:space="preserve">Yet ever-expanding [areas of] scholarship suggest these examples may be exceptional. Political scientists interested in descriptive representation have established that legislatures </w:t>
      </w:r>
      <w:r w:rsidR="009800D5">
        <w:rPr>
          <w:rFonts w:ascii="Times New Roman" w:hAnsi="Times New Roman" w:cs="Times New Roman"/>
        </w:rPr>
        <w:t xml:space="preserve">remain </w:t>
      </w:r>
      <w:r>
        <w:rPr>
          <w:rFonts w:ascii="Times New Roman" w:hAnsi="Times New Roman" w:cs="Times New Roman"/>
        </w:rPr>
        <w:t xml:space="preserve">dominated by white, </w:t>
      </w:r>
      <w:r w:rsidR="009800D5">
        <w:rPr>
          <w:rFonts w:ascii="Times New Roman" w:hAnsi="Times New Roman" w:cs="Times New Roman"/>
        </w:rPr>
        <w:t xml:space="preserve">socioeconomically </w:t>
      </w:r>
      <w:r>
        <w:rPr>
          <w:rFonts w:ascii="Times New Roman" w:hAnsi="Times New Roman" w:cs="Times New Roman"/>
        </w:rPr>
        <w:t>advantaged elites</w:t>
      </w:r>
      <w:r w:rsidR="008804DB">
        <w:rPr>
          <w:rFonts w:ascii="Times New Roman" w:hAnsi="Times New Roman" w:cs="Times New Roman"/>
        </w:rPr>
        <w:t xml:space="preserve"> (Carnes &amp; Lupu 2023)</w:t>
      </w:r>
      <w:r>
        <w:rPr>
          <w:rFonts w:ascii="Times New Roman" w:hAnsi="Times New Roman" w:cs="Times New Roman"/>
        </w:rPr>
        <w:t xml:space="preserve">, and that </w:t>
      </w:r>
      <w:r w:rsidR="009800D5">
        <w:rPr>
          <w:rFonts w:ascii="Times New Roman" w:hAnsi="Times New Roman" w:cs="Times New Roman"/>
        </w:rPr>
        <w:t>legislators’</w:t>
      </w:r>
      <w:r>
        <w:rPr>
          <w:rFonts w:ascii="Times New Roman" w:hAnsi="Times New Roman" w:cs="Times New Roman"/>
        </w:rPr>
        <w:t xml:space="preserve"> race, socioeconomic background, and gender are predictive of their policy </w:t>
      </w:r>
      <w:r w:rsidR="00566F1C">
        <w:rPr>
          <w:rFonts w:ascii="Times New Roman" w:hAnsi="Times New Roman" w:cs="Times New Roman"/>
        </w:rPr>
        <w:t xml:space="preserve">and service </w:t>
      </w:r>
      <w:r>
        <w:rPr>
          <w:rFonts w:ascii="Times New Roman" w:hAnsi="Times New Roman" w:cs="Times New Roman"/>
        </w:rPr>
        <w:t xml:space="preserve">responsiveness (cite), and </w:t>
      </w:r>
      <w:r w:rsidR="008804DB">
        <w:rPr>
          <w:rFonts w:ascii="Times New Roman" w:hAnsi="Times New Roman" w:cs="Times New Roman"/>
        </w:rPr>
        <w:t xml:space="preserve">how they </w:t>
      </w:r>
      <w:r w:rsidR="009800D5">
        <w:rPr>
          <w:rFonts w:ascii="Times New Roman" w:hAnsi="Times New Roman" w:cs="Times New Roman"/>
        </w:rPr>
        <w:t>speak</w:t>
      </w:r>
      <w:r w:rsidR="008804DB">
        <w:rPr>
          <w:rFonts w:ascii="Times New Roman" w:hAnsi="Times New Roman" w:cs="Times New Roman"/>
        </w:rPr>
        <w:t xml:space="preserve"> about their constituencies </w:t>
      </w:r>
      <w:r w:rsidR="009800D5">
        <w:rPr>
          <w:rFonts w:ascii="Times New Roman" w:hAnsi="Times New Roman" w:cs="Times New Roman"/>
        </w:rPr>
        <w:t xml:space="preserve">or the groups they invoke – or </w:t>
      </w:r>
      <w:proofErr w:type="gramStart"/>
      <w:r w:rsidR="009800D5">
        <w:rPr>
          <w:rFonts w:ascii="Times New Roman" w:hAnsi="Times New Roman" w:cs="Times New Roman"/>
        </w:rPr>
        <w:t>symbolically represent</w:t>
      </w:r>
      <w:proofErr w:type="gramEnd"/>
      <w:r w:rsidR="009800D5">
        <w:rPr>
          <w:rFonts w:ascii="Times New Roman" w:hAnsi="Times New Roman" w:cs="Times New Roman"/>
        </w:rPr>
        <w:t xml:space="preserve"> </w:t>
      </w:r>
      <w:r w:rsidR="008804DB">
        <w:rPr>
          <w:rFonts w:ascii="Times New Roman" w:hAnsi="Times New Roman" w:cs="Times New Roman"/>
        </w:rPr>
        <w:t xml:space="preserve">(cite). </w:t>
      </w:r>
      <w:r w:rsidR="009800D5">
        <w:rPr>
          <w:rFonts w:ascii="Times New Roman" w:hAnsi="Times New Roman" w:cs="Times New Roman"/>
        </w:rPr>
        <w:t xml:space="preserve">At the same time, scholars of criminal legal politics have documented that </w:t>
      </w:r>
      <w:r w:rsidR="008804DB">
        <w:rPr>
          <w:rFonts w:ascii="Times New Roman" w:hAnsi="Times New Roman" w:cs="Times New Roman"/>
        </w:rPr>
        <w:t xml:space="preserve">the over two million people incarcerated in the US and </w:t>
      </w:r>
      <w:r w:rsidR="002E45DE">
        <w:rPr>
          <w:rFonts w:ascii="Times New Roman" w:hAnsi="Times New Roman" w:cs="Times New Roman"/>
        </w:rPr>
        <w:t>many</w:t>
      </w:r>
      <w:r w:rsidR="008804DB">
        <w:rPr>
          <w:rFonts w:ascii="Times New Roman" w:hAnsi="Times New Roman" w:cs="Times New Roman"/>
        </w:rPr>
        <w:t xml:space="preserve"> more affected by the carceral state through family and community ties are disproportionately Black, Latino, and low-income</w:t>
      </w:r>
      <w:r w:rsidR="00566F1C">
        <w:rPr>
          <w:rFonts w:ascii="Times New Roman" w:hAnsi="Times New Roman" w:cs="Times New Roman"/>
        </w:rPr>
        <w:t>; these constituents are s</w:t>
      </w:r>
      <w:r w:rsidR="009800D5">
        <w:rPr>
          <w:rFonts w:ascii="Times New Roman" w:hAnsi="Times New Roman" w:cs="Times New Roman"/>
        </w:rPr>
        <w:t xml:space="preserve">ubject to systematic political exclusion through </w:t>
      </w:r>
      <w:r w:rsidR="009800D5">
        <w:rPr>
          <w:rFonts w:ascii="Times New Roman" w:hAnsi="Times New Roman" w:cs="Times New Roman"/>
        </w:rPr>
        <w:lastRenderedPageBreak/>
        <w:t>disenfranchisement, prison gerrymandering, geographic and communicative isolation, and stigma</w:t>
      </w:r>
      <w:r w:rsidR="00566F1C">
        <w:rPr>
          <w:rFonts w:ascii="Times New Roman" w:hAnsi="Times New Roman" w:cs="Times New Roman"/>
        </w:rPr>
        <w:t xml:space="preserve">, creating representational disincentives and barriers </w:t>
      </w:r>
      <w:r w:rsidR="009800D5">
        <w:rPr>
          <w:rFonts w:ascii="Times New Roman" w:hAnsi="Times New Roman" w:cs="Times New Roman"/>
        </w:rPr>
        <w:t>(</w:t>
      </w:r>
      <w:r w:rsidR="009800D5" w:rsidRPr="00701387">
        <w:rPr>
          <w:rFonts w:ascii="Times New Roman" w:hAnsi="Times New Roman" w:cs="Times New Roman"/>
        </w:rPr>
        <w:t xml:space="preserve">Nellis </w:t>
      </w:r>
      <w:r w:rsidR="009800D5">
        <w:rPr>
          <w:rFonts w:ascii="Times New Roman" w:hAnsi="Times New Roman" w:cs="Times New Roman"/>
        </w:rPr>
        <w:t xml:space="preserve">2014, Weaver &amp; Prowse 2020; Eckhouse 2018). </w:t>
      </w:r>
      <w:r w:rsidR="00EC61F1">
        <w:rPr>
          <w:rFonts w:ascii="Times New Roman" w:hAnsi="Times New Roman" w:cs="Times New Roman"/>
        </w:rPr>
        <w:t xml:space="preserve">As scholars show that constituent visibility, legibility, and contact are particularly important in determining whether a legislator considers or constructs a given constituency, </w:t>
      </w:r>
      <w:r w:rsidR="00EC61F1" w:rsidRPr="008804DB">
        <w:rPr>
          <w:rFonts w:ascii="Times New Roman" w:hAnsi="Times New Roman" w:cs="Times New Roman"/>
        </w:rPr>
        <w:t>we lack a clear understanding of how legislators perceive, engage, or represent communities for whom criminal legal contact is a defining life-course experience</w:t>
      </w:r>
      <w:r w:rsidR="00EC61F1">
        <w:rPr>
          <w:rFonts w:ascii="Times New Roman" w:hAnsi="Times New Roman" w:cs="Times New Roman"/>
        </w:rPr>
        <w:t xml:space="preserve"> – and in the event most legislators to not perceive of carceral citizens as constituents, implications for criminal legal policy</w:t>
      </w:r>
      <w:r w:rsidR="00EC61F1" w:rsidRPr="008804DB">
        <w:rPr>
          <w:rFonts w:ascii="Times New Roman" w:hAnsi="Times New Roman" w:cs="Times New Roman"/>
        </w:rPr>
        <w:t>.</w:t>
      </w:r>
    </w:p>
    <w:p w14:paraId="095B0E9B" w14:textId="30E3125E" w:rsidR="009800D5" w:rsidRDefault="00566F1C" w:rsidP="00A310F1">
      <w:pPr>
        <w:spacing w:line="240" w:lineRule="auto"/>
        <w:ind w:firstLine="720"/>
        <w:rPr>
          <w:rFonts w:ascii="Times New Roman" w:hAnsi="Times New Roman" w:cs="Times New Roman"/>
        </w:rPr>
      </w:pPr>
      <w:r>
        <w:rPr>
          <w:rFonts w:ascii="Times New Roman" w:hAnsi="Times New Roman" w:cs="Times New Roman"/>
        </w:rPr>
        <w:t>Thus, while extant scholarship</w:t>
      </w:r>
      <w:r w:rsidR="00F416BB">
        <w:rPr>
          <w:rFonts w:ascii="Times New Roman" w:hAnsi="Times New Roman" w:cs="Times New Roman"/>
        </w:rPr>
        <w:t xml:space="preserve"> . . .</w:t>
      </w:r>
      <w:r>
        <w:rPr>
          <w:rFonts w:ascii="Times New Roman" w:hAnsi="Times New Roman" w:cs="Times New Roman"/>
        </w:rPr>
        <w:t xml:space="preserve"> </w:t>
      </w:r>
    </w:p>
    <w:p w14:paraId="43B199B4" w14:textId="77777777" w:rsidR="009800D5" w:rsidRDefault="009800D5" w:rsidP="00A310F1">
      <w:pPr>
        <w:spacing w:line="240" w:lineRule="auto"/>
        <w:ind w:left="720"/>
        <w:rPr>
          <w:rFonts w:ascii="Times New Roman" w:hAnsi="Times New Roman" w:cs="Times New Roman"/>
        </w:rPr>
      </w:pPr>
      <w:r>
        <w:rPr>
          <w:rFonts w:ascii="Times New Roman" w:hAnsi="Times New Roman" w:cs="Times New Roman"/>
        </w:rPr>
        <w:t xml:space="preserve">Thus, while we know [] and </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sidR="008804DB">
        <w:rPr>
          <w:rFonts w:ascii="Times New Roman" w:hAnsi="Times New Roman" w:cs="Times New Roman"/>
        </w:rPr>
        <w:t>legislators’</w:t>
      </w:r>
      <w:proofErr w:type="gramEnd"/>
      <w:r w:rsidR="008804DB">
        <w:rPr>
          <w:rFonts w:ascii="Times New Roman" w:hAnsi="Times New Roman" w:cs="Times New Roman"/>
        </w:rPr>
        <w:t xml:space="preserve"> lived experiences with the criminal legal system </w:t>
      </w:r>
      <w:r>
        <w:rPr>
          <w:rFonts w:ascii="Times New Roman" w:hAnsi="Times New Roman" w:cs="Times New Roman"/>
        </w:rPr>
        <w:t>– or distance from it -- and the degree to which it shapes whether and how</w:t>
      </w:r>
      <w:r w:rsidR="008804DB">
        <w:rPr>
          <w:rFonts w:ascii="Times New Roman" w:hAnsi="Times New Roman" w:cs="Times New Roman"/>
        </w:rPr>
        <w:t xml:space="preserve"> </w:t>
      </w:r>
      <w:r>
        <w:rPr>
          <w:rFonts w:ascii="Times New Roman" w:hAnsi="Times New Roman" w:cs="Times New Roman"/>
        </w:rPr>
        <w:t xml:space="preserve">carceral communities are recognized within representation at all is far less clear. </w:t>
      </w:r>
    </w:p>
    <w:p w14:paraId="7296F1A5" w14:textId="6BBD38B4" w:rsidR="00DA65F4" w:rsidRDefault="00C76FC2" w:rsidP="00A310F1">
      <w:pPr>
        <w:spacing w:line="240" w:lineRule="auto"/>
        <w:ind w:left="720"/>
        <w:rPr>
          <w:rFonts w:ascii="Times New Roman" w:hAnsi="Times New Roman" w:cs="Times New Roman"/>
        </w:rPr>
      </w:pPr>
      <w:r>
        <w:rPr>
          <w:rFonts w:ascii="Times New Roman" w:hAnsi="Times New Roman" w:cs="Times New Roman"/>
        </w:rPr>
        <w:t xml:space="preserve">[whether incarcerated people are recognized as constituents at </w:t>
      </w:r>
      <w:proofErr w:type="gramStart"/>
      <w:r>
        <w:rPr>
          <w:rFonts w:ascii="Times New Roman" w:hAnsi="Times New Roman" w:cs="Times New Roman"/>
        </w:rPr>
        <w:t>all</w:t>
      </w:r>
      <w:r w:rsidR="00DA65F4">
        <w:rPr>
          <w:rFonts w:ascii="Times New Roman" w:hAnsi="Times New Roman" w:cs="Times New Roman"/>
        </w:rPr>
        <w:t xml:space="preserve"> ;</w:t>
      </w:r>
      <w:proofErr w:type="gramEnd"/>
      <w:r w:rsidR="00DA65F4">
        <w:rPr>
          <w:rFonts w:ascii="Times New Roman" w:hAnsi="Times New Roman" w:cs="Times New Roman"/>
        </w:rPr>
        <w:t xml:space="preserve"> how representational dynamics for carceral citizens intersect: </w:t>
      </w:r>
      <w:r w:rsidR="00DA65F4" w:rsidRPr="00D424AE">
        <w:rPr>
          <w:rFonts w:ascii="Times New Roman" w:hAnsi="Times New Roman" w:cs="Times New Roman"/>
        </w:rPr>
        <w:t>whether legislators publicly invoke incarcerated people as members of the political community, whether such invocations treat them as epistemic contributors or merely as policy objects, and how these patterns vary across institutional venues, district carceral context, and legislator identity. In the absence of such baseline descriptive evidence</w:t>
      </w:r>
      <w:r w:rsidR="00DA65F4">
        <w:rPr>
          <w:rFonts w:ascii="Times New Roman" w:hAnsi="Times New Roman" w:cs="Times New Roman"/>
        </w:rPr>
        <w:t xml:space="preserve"> – p</w:t>
      </w:r>
      <w:r w:rsidR="00DA65F4" w:rsidRPr="00D424AE">
        <w:rPr>
          <w:rFonts w:ascii="Times New Roman" w:hAnsi="Times New Roman" w:cs="Times New Roman"/>
        </w:rPr>
        <w:t>articularly at the state level</w:t>
      </w:r>
      <w:r w:rsidR="00DA65F4">
        <w:rPr>
          <w:rFonts w:ascii="Times New Roman" w:hAnsi="Times New Roman" w:cs="Times New Roman"/>
        </w:rPr>
        <w:t xml:space="preserve"> – w</w:t>
      </w:r>
      <w:r w:rsidR="00DA65F4" w:rsidRPr="00D424AE">
        <w:rPr>
          <w:rFonts w:ascii="Times New Roman" w:hAnsi="Times New Roman" w:cs="Times New Roman"/>
        </w:rPr>
        <w:t>e lack a clear understanding of the representational boundaries that structure carceral politics.</w:t>
      </w:r>
    </w:p>
    <w:p w14:paraId="78D381AB" w14:textId="77777777" w:rsidR="00143D48" w:rsidRDefault="00143D48" w:rsidP="00C76FC2">
      <w:pPr>
        <w:rPr>
          <w:rFonts w:ascii="Times New Roman" w:hAnsi="Times New Roman" w:cs="Times New Roman"/>
        </w:rPr>
      </w:pPr>
    </w:p>
    <w:p w14:paraId="49D2AED6" w14:textId="42A6172A" w:rsidR="00C76FC2" w:rsidRPr="008728BF" w:rsidRDefault="00C76FC2" w:rsidP="00C76FC2">
      <w:pPr>
        <w:rPr>
          <w:u w:val="single"/>
        </w:rPr>
      </w:pPr>
      <w:r w:rsidRPr="008728BF">
        <w:rPr>
          <w:b/>
          <w:bCs/>
          <w:u w:val="single"/>
        </w:rPr>
        <w:t>Paragraph 3</w:t>
      </w:r>
      <w:r w:rsidRPr="008728BF">
        <w:rPr>
          <w:u w:val="single"/>
        </w:rPr>
        <w:t xml:space="preserve"> – </w:t>
      </w:r>
      <w:r>
        <w:rPr>
          <w:u w:val="single"/>
        </w:rPr>
        <w:t xml:space="preserve">thesis, argument, intuition, brief note on </w:t>
      </w:r>
      <w:commentRangeStart w:id="5"/>
      <w:r>
        <w:rPr>
          <w:u w:val="single"/>
        </w:rPr>
        <w:t>innovation</w:t>
      </w:r>
      <w:commentRangeEnd w:id="5"/>
      <w:r w:rsidR="004161A4">
        <w:rPr>
          <w:rStyle w:val="CommentReference"/>
        </w:rPr>
        <w:commentReference w:id="5"/>
      </w:r>
    </w:p>
    <w:p w14:paraId="3F06EE2C" w14:textId="4C524C41" w:rsidR="006A4D59" w:rsidRDefault="00143D48" w:rsidP="00941B9C">
      <w:pPr>
        <w:spacing w:line="360" w:lineRule="auto"/>
        <w:ind w:firstLine="360"/>
        <w:rPr>
          <w:rFonts w:ascii="Times New Roman" w:hAnsi="Times New Roman" w:cs="Times New Roman"/>
        </w:rPr>
      </w:pPr>
      <w:r>
        <w:rPr>
          <w:rFonts w:ascii="Times New Roman" w:hAnsi="Times New Roman" w:cs="Times New Roman"/>
        </w:rPr>
        <w:t>Addressing this</w:t>
      </w:r>
      <w:r w:rsidR="007D6D50" w:rsidRPr="007D6D50">
        <w:rPr>
          <w:rFonts w:ascii="Times New Roman" w:hAnsi="Times New Roman" w:cs="Times New Roman"/>
        </w:rPr>
        <w:t xml:space="preserve"> gap matters because </w:t>
      </w:r>
      <w:r w:rsidR="00DA65F4">
        <w:rPr>
          <w:rFonts w:ascii="Times New Roman" w:hAnsi="Times New Roman" w:cs="Times New Roman"/>
        </w:rPr>
        <w:t xml:space="preserve">carceral populations occupy a uniquely precarious position within representational politics </w:t>
      </w:r>
      <w:r w:rsidR="006A4D59">
        <w:rPr>
          <w:rFonts w:ascii="Times New Roman" w:hAnsi="Times New Roman" w:cs="Times New Roman"/>
        </w:rPr>
        <w:t>– one that exposes</w:t>
      </w:r>
      <w:r w:rsidR="00DA65F4">
        <w:rPr>
          <w:rFonts w:ascii="Times New Roman" w:hAnsi="Times New Roman" w:cs="Times New Roman"/>
        </w:rPr>
        <w:t xml:space="preserve"> tensions between policy responsiveness, symbolic recognition and epistemic inclusion, and the</w:t>
      </w:r>
      <w:r w:rsidR="006A4D59">
        <w:rPr>
          <w:rFonts w:ascii="Times New Roman" w:hAnsi="Times New Roman" w:cs="Times New Roman"/>
        </w:rPr>
        <w:t xml:space="preserve"> political</w:t>
      </w:r>
      <w:r w:rsidR="00DA65F4">
        <w:rPr>
          <w:rFonts w:ascii="Times New Roman" w:hAnsi="Times New Roman" w:cs="Times New Roman"/>
        </w:rPr>
        <w:t xml:space="preserve"> incentives shaping legislative behavior. </w:t>
      </w:r>
      <w:r w:rsidR="006A4D59">
        <w:rPr>
          <w:rFonts w:ascii="Times New Roman" w:hAnsi="Times New Roman" w:cs="Times New Roman"/>
        </w:rPr>
        <w:t>These</w:t>
      </w:r>
      <w:r w:rsidR="00DA65F4">
        <w:rPr>
          <w:rFonts w:ascii="Times New Roman" w:hAnsi="Times New Roman" w:cs="Times New Roman"/>
        </w:rPr>
        <w:t xml:space="preserve"> tensions are not </w:t>
      </w:r>
      <w:r w:rsidR="006A4D59">
        <w:rPr>
          <w:rFonts w:ascii="Times New Roman" w:hAnsi="Times New Roman" w:cs="Times New Roman"/>
        </w:rPr>
        <w:t>exclusively</w:t>
      </w:r>
      <w:r w:rsidR="00DA65F4">
        <w:rPr>
          <w:rFonts w:ascii="Times New Roman" w:hAnsi="Times New Roman" w:cs="Times New Roman"/>
        </w:rPr>
        <w:t xml:space="preserve"> theoretical</w:t>
      </w:r>
      <w:r w:rsidR="006A4D59">
        <w:rPr>
          <w:rFonts w:ascii="Times New Roman" w:hAnsi="Times New Roman" w:cs="Times New Roman"/>
        </w:rPr>
        <w:t>.</w:t>
      </w:r>
      <w:r w:rsidR="00DA65F4">
        <w:rPr>
          <w:rFonts w:ascii="Times New Roman" w:hAnsi="Times New Roman" w:cs="Times New Roman"/>
        </w:rPr>
        <w:t xml:space="preserve"> </w:t>
      </w:r>
      <w:r w:rsidR="006A4D59">
        <w:rPr>
          <w:rFonts w:ascii="Times New Roman" w:hAnsi="Times New Roman" w:cs="Times New Roman"/>
        </w:rPr>
        <w:t>R</w:t>
      </w:r>
      <w:r w:rsidR="00DA65F4">
        <w:rPr>
          <w:rFonts w:ascii="Times New Roman" w:hAnsi="Times New Roman" w:cs="Times New Roman"/>
        </w:rPr>
        <w:t xml:space="preserve">ather, they constitute representational boundaries that </w:t>
      </w:r>
      <w:r w:rsidR="006A4D59">
        <w:rPr>
          <w:rFonts w:ascii="Times New Roman" w:hAnsi="Times New Roman" w:cs="Times New Roman"/>
        </w:rPr>
        <w:t>structure how criminal legal policy is debated, justified, enacted, and maintained</w:t>
      </w:r>
      <w:r w:rsidR="00DA65F4">
        <w:rPr>
          <w:rFonts w:ascii="Times New Roman" w:hAnsi="Times New Roman" w:cs="Times New Roman"/>
        </w:rPr>
        <w:t>.</w:t>
      </w:r>
      <w:r w:rsidR="006A4D59">
        <w:rPr>
          <w:rFonts w:ascii="Times New Roman" w:hAnsi="Times New Roman" w:cs="Times New Roman"/>
        </w:rPr>
        <w:t xml:space="preserve"> Even when representation appears to exist, it may be partial, hollow, or </w:t>
      </w:r>
      <w:commentRangeStart w:id="6"/>
      <w:r w:rsidR="006A4D59">
        <w:rPr>
          <w:rFonts w:ascii="Times New Roman" w:hAnsi="Times New Roman" w:cs="Times New Roman"/>
        </w:rPr>
        <w:t>exclusionary</w:t>
      </w:r>
      <w:commentRangeEnd w:id="6"/>
      <w:r w:rsidR="00941B9C">
        <w:rPr>
          <w:rStyle w:val="CommentReference"/>
        </w:rPr>
        <w:commentReference w:id="6"/>
      </w:r>
      <w:r w:rsidR="006A4D59">
        <w:rPr>
          <w:rFonts w:ascii="Times New Roman" w:hAnsi="Times New Roman" w:cs="Times New Roman"/>
        </w:rPr>
        <w:t xml:space="preserve">. </w:t>
      </w:r>
    </w:p>
    <w:p w14:paraId="044B727A" w14:textId="77777777" w:rsidR="00860986" w:rsidRDefault="00680A7B" w:rsidP="00EF4A48">
      <w:pPr>
        <w:spacing w:line="360" w:lineRule="auto"/>
        <w:ind w:firstLine="360"/>
        <w:rPr>
          <w:rFonts w:ascii="Times New Roman" w:hAnsi="Times New Roman" w:cs="Times New Roman"/>
        </w:rPr>
      </w:pPr>
      <w:r>
        <w:rPr>
          <w:rFonts w:ascii="Times New Roman" w:hAnsi="Times New Roman" w:cs="Times New Roman"/>
        </w:rPr>
        <w:t>A starting premise of this project is that carceral constituencies (incarcerated or most impacted) are likely rarely named or framed as such in legislative politics. In this sense, carceral citizens may lose a bas</w:t>
      </w:r>
      <w:r w:rsidR="00860986">
        <w:rPr>
          <w:rFonts w:ascii="Times New Roman" w:hAnsi="Times New Roman" w:cs="Times New Roman"/>
        </w:rPr>
        <w:t xml:space="preserve">ic form of democratic recognition while and after under state control. At the same time, criminal legal legislation is routinely introduced, debated, and maintained. But we </w:t>
      </w:r>
      <w:r w:rsidR="00860986">
        <w:rPr>
          <w:rFonts w:ascii="Times New Roman" w:hAnsi="Times New Roman" w:cs="Times New Roman"/>
        </w:rPr>
        <w:lastRenderedPageBreak/>
        <w:t xml:space="preserve">know little about who does this representational work, under what conditions, and with what understanding of carceral citizens’ interests and standing. </w:t>
      </w:r>
    </w:p>
    <w:p w14:paraId="6B77DAF4" w14:textId="0901CCDD"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 xml:space="preserve">Existing research suggests reason for skepticism that such representation is ‘responsive’ or inclusive. Policies that bear on incarceration may reflect ‘selective hearing,’ [interests/preferences], or prioritize counter constituencies such as victims’ rights groups, punitive public sentiment, or carceral economies. Symbolic gestures that accompany reform may acknowledge criminal legal issues without constructing incarcerated people as deserving constituents or political </w:t>
      </w:r>
      <w:proofErr w:type="gramStart"/>
      <w:r>
        <w:rPr>
          <w:rFonts w:ascii="Times New Roman" w:hAnsi="Times New Roman" w:cs="Times New Roman"/>
        </w:rPr>
        <w:t>actors in their own right</w:t>
      </w:r>
      <w:proofErr w:type="gramEnd"/>
      <w:r>
        <w:rPr>
          <w:rFonts w:ascii="Times New Roman" w:hAnsi="Times New Roman" w:cs="Times New Roman"/>
        </w:rPr>
        <w:t xml:space="preserve">. </w:t>
      </w:r>
      <w:r w:rsidR="00941B9C">
        <w:rPr>
          <w:rFonts w:ascii="Times New Roman" w:hAnsi="Times New Roman" w:cs="Times New Roman"/>
        </w:rPr>
        <w:t>While there may be</w:t>
      </w:r>
      <w:r>
        <w:rPr>
          <w:rFonts w:ascii="Times New Roman" w:hAnsi="Times New Roman" w:cs="Times New Roman"/>
        </w:rPr>
        <w:t xml:space="preserve"> exceptions – particularly among Black legislators and legislators of color </w:t>
      </w:r>
      <w:proofErr w:type="gramStart"/>
      <w:r w:rsidR="00941B9C">
        <w:rPr>
          <w:rFonts w:ascii="Times New Roman" w:hAnsi="Times New Roman" w:cs="Times New Roman"/>
        </w:rPr>
        <w:t>( )</w:t>
      </w:r>
      <w:proofErr w:type="gramEnd"/>
      <w:r w:rsidR="00941B9C">
        <w:rPr>
          <w:rFonts w:ascii="Times New Roman" w:hAnsi="Times New Roman" w:cs="Times New Roman"/>
        </w:rPr>
        <w:t xml:space="preserve"> </w:t>
      </w:r>
      <w:r>
        <w:rPr>
          <w:rFonts w:ascii="Times New Roman" w:hAnsi="Times New Roman" w:cs="Times New Roman"/>
        </w:rPr>
        <w:t>–scholarship on racialized incentives suggest</w:t>
      </w:r>
      <w:r w:rsidR="00941B9C">
        <w:rPr>
          <w:rFonts w:ascii="Times New Roman" w:hAnsi="Times New Roman" w:cs="Times New Roman"/>
        </w:rPr>
        <w:t xml:space="preserve"> these legislators face </w:t>
      </w:r>
      <w:r>
        <w:rPr>
          <w:rFonts w:ascii="Times New Roman" w:hAnsi="Times New Roman" w:cs="Times New Roman"/>
        </w:rPr>
        <w:t xml:space="preserve">pressures to distance, sanitize, or frame policy and rhetoric in ways that resonate with dominant, often white policy preferences and epistemological orientations. </w:t>
      </w:r>
    </w:p>
    <w:p w14:paraId="68B0DF12" w14:textId="1508FE69" w:rsidR="00680A7B" w:rsidRDefault="00860986" w:rsidP="00EF4A48">
      <w:pPr>
        <w:spacing w:line="360" w:lineRule="auto"/>
        <w:ind w:firstLine="360"/>
        <w:rPr>
          <w:rFonts w:ascii="Times New Roman" w:hAnsi="Times New Roman" w:cs="Times New Roman"/>
        </w:rPr>
      </w:pPr>
      <w:r>
        <w:rPr>
          <w:rFonts w:ascii="Times New Roman" w:hAnsi="Times New Roman" w:cs="Times New Roman"/>
        </w:rPr>
        <w:t>Taken together, these dynamics point to a more general uncertainty about the nature of representation in carceral politics. Even where criminal legal policy activity exists, it is not clear when it reflects recognition of carceral citizens as constituents, when it functions as symbolic or discursive distancing, and when it reproduces their epistemic and political marginalization. This project takes these ambiguities as its point of departure</w:t>
      </w:r>
      <w:r w:rsidR="00470BC2">
        <w:rPr>
          <w:rFonts w:ascii="Times New Roman" w:hAnsi="Times New Roman" w:cs="Times New Roman"/>
        </w:rPr>
        <w:t>.</w:t>
      </w:r>
    </w:p>
    <w:p w14:paraId="51389AD9" w14:textId="3843386F" w:rsidR="00B16575" w:rsidRPr="00EF4A48" w:rsidRDefault="006A4D59" w:rsidP="00513587">
      <w:pPr>
        <w:spacing w:line="360" w:lineRule="auto"/>
        <w:ind w:firstLine="360"/>
        <w:rPr>
          <w:rFonts w:ascii="Times New Roman" w:hAnsi="Times New Roman" w:cs="Times New Roman"/>
        </w:rPr>
      </w:pPr>
      <w:r>
        <w:rPr>
          <w:rFonts w:ascii="Times New Roman" w:hAnsi="Times New Roman" w:cs="Times New Roman"/>
        </w:rPr>
        <w:t xml:space="preserve">The contribution of this project is threefold. Conceptually, it extends work on descriptive representation by foregrounding lived experience with the criminal legal system as a distinct – and understudied – dimension of representation. Analytically, it brings together policy responsiveness, symbolic representation, and a version of service responsiveness that emphasizes recognition and access. Finally, it disaggregates qualitatively different forms of representation, distinguishing between the absence or negation of recognition, hollow or distancing gestures, and centering recognition, which may explicitly name carceral citizens as constituents and treat them as political actors and knowers, or employ shared epistemic frames.  </w:t>
      </w:r>
    </w:p>
    <w:p w14:paraId="1DC498CC" w14:textId="77777777" w:rsidR="00143D48" w:rsidRDefault="000B4664" w:rsidP="00A310F1">
      <w:pPr>
        <w:spacing w:line="240" w:lineRule="auto"/>
        <w:rPr>
          <w:u w:val="single"/>
        </w:rPr>
      </w:pPr>
      <w:r w:rsidRPr="00F843D0">
        <w:rPr>
          <w:b/>
          <w:bCs/>
          <w:u w:val="single"/>
        </w:rPr>
        <w:t xml:space="preserve">Paragraph 4: </w:t>
      </w:r>
      <w:r w:rsidRPr="00F843D0">
        <w:rPr>
          <w:u w:val="single"/>
        </w:rPr>
        <w:t>Methods</w:t>
      </w:r>
    </w:p>
    <w:p w14:paraId="47BC13DE" w14:textId="77777777" w:rsidR="00143D48" w:rsidRDefault="00143D48" w:rsidP="00A310F1">
      <w:pPr>
        <w:pStyle w:val="ListParagraph"/>
        <w:numPr>
          <w:ilvl w:val="0"/>
          <w:numId w:val="7"/>
        </w:numPr>
        <w:spacing w:line="240" w:lineRule="auto"/>
      </w:pPr>
      <w:r>
        <w:t>Preview of method 1: weirdos vs impacted – how/what they think CJ pol</w:t>
      </w:r>
    </w:p>
    <w:p w14:paraId="155306D7" w14:textId="77777777" w:rsidR="00143D48" w:rsidRDefault="00143D48" w:rsidP="00A310F1">
      <w:pPr>
        <w:pStyle w:val="ListParagraph"/>
        <w:numPr>
          <w:ilvl w:val="0"/>
          <w:numId w:val="7"/>
        </w:numPr>
        <w:spacing w:line="240" w:lineRule="auto"/>
      </w:pPr>
      <w:r>
        <w:t xml:space="preserve">Preview of method 2: (a) legislators – how many weird, how many impacted (b) who files what (policy responsiveness) </w:t>
      </w:r>
    </w:p>
    <w:p w14:paraId="2D3A1BC1" w14:textId="77777777" w:rsidR="00143D48" w:rsidRDefault="00143D48" w:rsidP="00A310F1">
      <w:pPr>
        <w:pStyle w:val="ListParagraph"/>
        <w:numPr>
          <w:ilvl w:val="0"/>
          <w:numId w:val="7"/>
        </w:numPr>
        <w:spacing w:line="240" w:lineRule="auto"/>
      </w:pPr>
      <w:r>
        <w:t>Preview of method 3:</w:t>
      </w:r>
    </w:p>
    <w:p w14:paraId="2947970D" w14:textId="77777777" w:rsidR="00143D48" w:rsidRDefault="00143D48" w:rsidP="00A310F1">
      <w:pPr>
        <w:pStyle w:val="ListParagraph"/>
        <w:numPr>
          <w:ilvl w:val="1"/>
          <w:numId w:val="7"/>
        </w:numPr>
        <w:spacing w:line="240" w:lineRule="auto"/>
      </w:pPr>
      <w:r>
        <w:t>(a) who says what (symbolic)</w:t>
      </w:r>
    </w:p>
    <w:p w14:paraId="0DC03965" w14:textId="5EF1825B" w:rsidR="00143D48" w:rsidRDefault="00143D48" w:rsidP="00A310F1">
      <w:pPr>
        <w:pStyle w:val="ListParagraph"/>
        <w:numPr>
          <w:ilvl w:val="1"/>
          <w:numId w:val="7"/>
        </w:numPr>
        <w:spacing w:line="240" w:lineRule="auto"/>
      </w:pPr>
      <w:r>
        <w:lastRenderedPageBreak/>
        <w:t xml:space="preserve">(b) apply a coding scheme to 3a and 2b </w:t>
      </w:r>
      <w:r>
        <w:sym w:font="Wingdings" w:char="F0E0"/>
      </w:r>
      <w:r>
        <w:t xml:space="preserve"> how much is substantive/epistemically inclusive/treats as constituencies</w:t>
      </w:r>
    </w:p>
    <w:p w14:paraId="205D1A06" w14:textId="61C66872" w:rsidR="00B4437D" w:rsidRPr="00A310F1" w:rsidRDefault="00143D48" w:rsidP="00A310F1">
      <w:pPr>
        <w:spacing w:line="240" w:lineRule="auto"/>
        <w:rPr>
          <w:u w:val="single"/>
        </w:rPr>
      </w:pPr>
      <w:r>
        <w:t xml:space="preserve">Normal paper would have highlight of results </w:t>
      </w:r>
    </w:p>
    <w:p w14:paraId="793E2845" w14:textId="40884793" w:rsidR="00D11123" w:rsidRPr="006C0245" w:rsidRDefault="00D11123" w:rsidP="00A310F1">
      <w:pPr>
        <w:spacing w:line="240" w:lineRule="auto"/>
        <w:rPr>
          <w:u w:val="single"/>
        </w:rPr>
      </w:pPr>
      <w:r w:rsidRPr="00F843D0">
        <w:rPr>
          <w:b/>
          <w:bCs/>
          <w:u w:val="single"/>
        </w:rPr>
        <w:t xml:space="preserve">Paragraph 5: </w:t>
      </w:r>
      <w:r w:rsidRPr="00F843D0">
        <w:rPr>
          <w:u w:val="single"/>
        </w:rPr>
        <w:t>Hedge</w:t>
      </w:r>
    </w:p>
    <w:p w14:paraId="609BD1A1" w14:textId="155860DC" w:rsidR="00D11123" w:rsidRPr="00F843D0" w:rsidRDefault="00D11123" w:rsidP="00A310F1">
      <w:pPr>
        <w:spacing w:line="240" w:lineRule="auto"/>
        <w:rPr>
          <w:u w:val="single"/>
        </w:rPr>
      </w:pPr>
      <w:r w:rsidRPr="00F843D0">
        <w:rPr>
          <w:b/>
          <w:bCs/>
          <w:u w:val="single"/>
        </w:rPr>
        <w:t>Paragraph 6:</w:t>
      </w:r>
      <w:r w:rsidRPr="00F843D0">
        <w:rPr>
          <w:u w:val="single"/>
        </w:rPr>
        <w:t xml:space="preserve"> </w:t>
      </w:r>
      <w:proofErr w:type="gramStart"/>
      <w:r w:rsidRPr="00F843D0">
        <w:rPr>
          <w:u w:val="single"/>
        </w:rPr>
        <w:t>So</w:t>
      </w:r>
      <w:proofErr w:type="gramEnd"/>
      <w:r w:rsidRPr="00F843D0">
        <w:rPr>
          <w:u w:val="single"/>
        </w:rPr>
        <w:t xml:space="preserve"> What</w:t>
      </w:r>
    </w:p>
    <w:p w14:paraId="4BCE0038" w14:textId="77777777" w:rsidR="0043512D" w:rsidRDefault="0043512D" w:rsidP="00D11123">
      <w:pPr>
        <w:jc w:val="center"/>
        <w:rPr>
          <w:b/>
          <w:bCs/>
        </w:rPr>
      </w:pPr>
    </w:p>
    <w:p w14:paraId="51F3F634" w14:textId="0B5EF914" w:rsidR="0077211D" w:rsidRPr="0077211D" w:rsidRDefault="0043512D" w:rsidP="00A56C15">
      <w:pPr>
        <w:pStyle w:val="Heading1"/>
      </w:pPr>
      <w:bookmarkStart w:id="7" w:name="_Toc220591734"/>
      <w:r>
        <w:t xml:space="preserve">II. </w:t>
      </w:r>
      <w:bookmarkEnd w:id="7"/>
      <w:r w:rsidR="00A310F1">
        <w:t>Theory</w:t>
      </w:r>
    </w:p>
    <w:p w14:paraId="130C518E" w14:textId="0C65BFB4" w:rsidR="0087482E" w:rsidRPr="00246AF1" w:rsidRDefault="00A310F1" w:rsidP="00E451D6">
      <w:pPr>
        <w:rPr>
          <w:b/>
          <w:bCs/>
        </w:rPr>
      </w:pPr>
      <w:bookmarkStart w:id="8" w:name="_Toc220591735"/>
      <w:r>
        <w:rPr>
          <w:b/>
          <w:bCs/>
        </w:rPr>
        <w:t>Evaluating Democratic Representation</w:t>
      </w:r>
    </w:p>
    <w:p w14:paraId="2B4A6208" w14:textId="448266FB" w:rsidR="00970A16" w:rsidRDefault="00E451D6" w:rsidP="005F2754">
      <w:pPr>
        <w:spacing w:line="360" w:lineRule="auto"/>
        <w:ind w:firstLine="720"/>
      </w:pPr>
      <w:r>
        <w:t xml:space="preserve">Representation is the normative core of democratic theory and evaluation. Political scientists have long understood democracy as not just a set of institutions and procedures, but rather as a </w:t>
      </w:r>
      <w:r w:rsidR="00794095">
        <w:t xml:space="preserve">living </w:t>
      </w:r>
      <w:r>
        <w:t>system whose legitimacy rests on the degree to which public authority reflects, responds to, and is accountable to the people it represents</w:t>
      </w:r>
      <w:r w:rsidR="00794095">
        <w:t xml:space="preserve"> (Locke p 1980</w:t>
      </w:r>
      <w:r w:rsidR="00970A16">
        <w:t>, Pitkin 1967</w:t>
      </w:r>
      <w:r w:rsidR="00794095">
        <w:t>)</w:t>
      </w:r>
      <w:r>
        <w:t>. Yet there is little consensus about what constitute</w:t>
      </w:r>
      <w:r w:rsidR="002F253B">
        <w:t>s</w:t>
      </w:r>
      <w:r>
        <w:t xml:space="preserve"> </w:t>
      </w:r>
      <w:r w:rsidR="00A830ED">
        <w:t>“</w:t>
      </w:r>
      <w:r>
        <w:t>good</w:t>
      </w:r>
      <w:r w:rsidR="00A830ED">
        <w:t>”</w:t>
      </w:r>
      <w:r>
        <w:t xml:space="preserve"> representation – </w:t>
      </w:r>
      <w:r w:rsidR="00A830ED">
        <w:t>nor</w:t>
      </w:r>
      <w:r w:rsidR="00730171">
        <w:t xml:space="preserve"> is there consensus on</w:t>
      </w:r>
      <w:r>
        <w:t xml:space="preserve"> how </w:t>
      </w:r>
      <w:r w:rsidR="00970A16">
        <w:t xml:space="preserve">it </w:t>
      </w:r>
      <w:r w:rsidR="00730171">
        <w:t>is best</w:t>
      </w:r>
      <w:r>
        <w:t xml:space="preserve"> measured. </w:t>
      </w:r>
      <w:r w:rsidR="0087482E">
        <w:t xml:space="preserve">At the most abstract level, debates about democratic representation diverge over the direction of their evaluative attention. Some scholars look “upstream,” or locate democratic quality in the institutional design of electoral systems, party structures, and incentive environments that regulate access to office and shape political behavior (). Others look “downstream,” </w:t>
      </w:r>
      <w:r w:rsidR="00970A16">
        <w:t>judging</w:t>
      </w:r>
      <w:r w:rsidR="0087482E">
        <w:t xml:space="preserve"> representation by its consequences: policy outputs, distributive equity, and responsiveness to constituent preferences, interests, or contact. </w:t>
      </w:r>
      <w:r w:rsidR="00970A16">
        <w:t>Some dynamics – such as institutional cultures and norms – operate on both sides, functioning as upstream filters that shape who enters office and as downstream consequences reshaped by who is present. Both</w:t>
      </w:r>
      <w:r w:rsidR="00A310F1">
        <w:t xml:space="preserve"> perspectives</w:t>
      </w:r>
      <w:r w:rsidR="00970A16">
        <w:t xml:space="preserve">, however, </w:t>
      </w:r>
      <w:r w:rsidR="00A310F1">
        <w:t xml:space="preserve">implicate </w:t>
      </w:r>
      <w:r w:rsidR="00970A16">
        <w:t>a prior empirical question: who holds office?</w:t>
      </w:r>
    </w:p>
    <w:p w14:paraId="239A8A68" w14:textId="7F338F53" w:rsidR="00970A16" w:rsidRPr="00970A16" w:rsidRDefault="00970A16" w:rsidP="00970A16">
      <w:pPr>
        <w:spacing w:line="360" w:lineRule="auto"/>
        <w:rPr>
          <w:b/>
          <w:bCs/>
        </w:rPr>
      </w:pPr>
      <w:r>
        <w:rPr>
          <w:b/>
          <w:bCs/>
        </w:rPr>
        <w:t>What is Descriptive Representation</w:t>
      </w:r>
    </w:p>
    <w:p w14:paraId="4E9564FA" w14:textId="51823FDE" w:rsidR="00A55848" w:rsidRDefault="00970A16" w:rsidP="00C72AA0">
      <w:pPr>
        <w:spacing w:line="360" w:lineRule="auto"/>
        <w:ind w:firstLine="720"/>
      </w:pPr>
      <w:r>
        <w:t>The study of w</w:t>
      </w:r>
      <w:r w:rsidR="00A310F1">
        <w:t xml:space="preserve">ho </w:t>
      </w:r>
      <w:r w:rsidR="00C72AA0">
        <w:t>holds office</w:t>
      </w:r>
      <w:r>
        <w:t xml:space="preserve"> – </w:t>
      </w:r>
      <w:r w:rsidR="00A310F1">
        <w:t xml:space="preserve">and the degree to which their characteristics are congruent with those of </w:t>
      </w:r>
      <w:r>
        <w:t>the populations they govern</w:t>
      </w:r>
      <w:r w:rsidR="00A310F1">
        <w:t xml:space="preserve"> – </w:t>
      </w:r>
      <w:r>
        <w:t>is the domain of descriptive representation:</w:t>
      </w:r>
      <w:r w:rsidR="00A310F1">
        <w:t xml:space="preserve"> whether “representatives are in their own persons and lives in some sense typical of the larger class of persons whom they represent (Mansbridge 1999, 629). </w:t>
      </w:r>
      <w:r>
        <w:t xml:space="preserve">First </w:t>
      </w:r>
      <w:r>
        <w:lastRenderedPageBreak/>
        <w:t xml:space="preserve">taken up systematically in the 1950s </w:t>
      </w:r>
      <w:r>
        <w:t>(Matthews 1954)</w:t>
      </w:r>
      <w:r>
        <w:t xml:space="preserve">, the concept has since been examined across dimensions including </w:t>
      </w:r>
      <w:r w:rsidR="00CF121A">
        <w:t xml:space="preserve">race, gender, </w:t>
      </w:r>
      <w:r>
        <w:t xml:space="preserve">ethnicity, occupation, education, wealth, </w:t>
      </w:r>
      <w:r w:rsidR="00CF121A">
        <w:t xml:space="preserve">and class </w:t>
      </w:r>
      <w:r>
        <w:t xml:space="preserve">background (Carnes &amp; Lupu 2024). While these categories have prompted their own </w:t>
      </w:r>
      <w:r w:rsidR="002E11D9">
        <w:t xml:space="preserve">measurement debates (CITE), </w:t>
      </w:r>
      <w:r>
        <w:t>descriptive representation is analytically prior to questions of upstream and downstream quality, as it is necessary to understand who is present in democratic institutions in order to evaluate how well those institutions operate</w:t>
      </w:r>
      <w:r w:rsidR="00C72AA0">
        <w:t xml:space="preserve"> – scholars use these measures to diagnose whether access to office is broadly distributed or systematically filtered</w:t>
      </w:r>
      <w:r>
        <w:t xml:space="preserve">. At the same time, descriptive representation is not </w:t>
      </w:r>
      <w:r w:rsidR="00C72AA0">
        <w:t>only</w:t>
      </w:r>
      <w:r>
        <w:t xml:space="preserve"> a</w:t>
      </w:r>
      <w:r w:rsidR="00C72AA0">
        <w:t xml:space="preserve"> descriptive</w:t>
      </w:r>
      <w:r>
        <w:t xml:space="preserve"> baseline indicator. Rather, </w:t>
      </w:r>
      <w:r w:rsidR="00C72AA0">
        <w:t xml:space="preserve">who is present may shape how those institutions function – affecting both the institutional environments that regulate political competition, and the policy processes and outcomes that follow. In this sense, descriptive representation is analytically linked to both “upstream” and “downstream” dimensions of democratic quality: patterns of presence reflect </w:t>
      </w:r>
      <w:r w:rsidR="002A3F9E">
        <w:t>gatekeeping dynamics, recruitment patters</w:t>
      </w:r>
      <w:r w:rsidR="00C72AA0">
        <w:t>, and institutional norms that structure access to office, and may also influence agenda-setting, legislative deliberation, policy outputs, and citizens perceptions of political [</w:t>
      </w:r>
      <w:r w:rsidR="002A3F9E">
        <w:t xml:space="preserve"> symbolic dimensions of democratic governance</w:t>
      </w:r>
      <w:r w:rsidR="00C72AA0">
        <w:t>?]</w:t>
      </w:r>
      <w:r w:rsidR="002A3F9E">
        <w:t xml:space="preserve"> </w:t>
      </w:r>
      <w:r w:rsidR="002A3F9E">
        <w:t xml:space="preserve">(Carnes &amp; Lupu, </w:t>
      </w:r>
      <w:commentRangeStart w:id="9"/>
      <w:r w:rsidR="002A3F9E">
        <w:t>Clayton</w:t>
      </w:r>
      <w:commentRangeEnd w:id="9"/>
      <w:r w:rsidR="002A3F9E">
        <w:rPr>
          <w:rStyle w:val="CommentReference"/>
        </w:rPr>
        <w:commentReference w:id="9"/>
      </w:r>
      <w:r w:rsidR="002A3F9E">
        <w:t>)</w:t>
      </w:r>
      <w:r w:rsidR="002A3F9E">
        <w:t>.</w:t>
      </w:r>
    </w:p>
    <w:p w14:paraId="51139941" w14:textId="30C0073E" w:rsidR="002A3F9E" w:rsidRDefault="00C72AA0" w:rsidP="008355EE">
      <w:pPr>
        <w:rPr>
          <w:b/>
          <w:bCs/>
        </w:rPr>
      </w:pPr>
      <w:r>
        <w:rPr>
          <w:b/>
          <w:bCs/>
        </w:rPr>
        <w:t>Why Theorists Think</w:t>
      </w:r>
      <w:r w:rsidR="002A3F9E">
        <w:rPr>
          <w:b/>
          <w:bCs/>
        </w:rPr>
        <w:t xml:space="preserve"> Descriptive Representation</w:t>
      </w:r>
      <w:r>
        <w:rPr>
          <w:b/>
          <w:bCs/>
        </w:rPr>
        <w:t xml:space="preserve"> Matters</w:t>
      </w:r>
    </w:p>
    <w:p w14:paraId="16688A98" w14:textId="00FE7C13" w:rsidR="00C72AA0" w:rsidRDefault="00837F45" w:rsidP="00C72AA0">
      <w:pPr>
        <w:spacing w:line="360" w:lineRule="auto"/>
        <w:ind w:firstLine="720"/>
      </w:pPr>
      <w:r>
        <w:t xml:space="preserve">The theoretical case for descriptive representation rests not on the assumption that shared identity </w:t>
      </w:r>
      <w:r w:rsidRPr="00C72AA0">
        <w:rPr>
          <w:i/>
          <w:iCs/>
        </w:rPr>
        <w:t>guarantees</w:t>
      </w:r>
      <w:r>
        <w:t xml:space="preserve"> agreement or shared preference between a legislator and constituent. Rather it </w:t>
      </w:r>
      <w:r w:rsidR="00C72AA0">
        <w:t xml:space="preserve">begins from a </w:t>
      </w:r>
      <w:r>
        <w:t xml:space="preserve">recognition that political institutions </w:t>
      </w:r>
      <w:r w:rsidR="00C72AA0">
        <w:t xml:space="preserve">are not neutral in structure or process. Patterns of who enters office reflect institutional filters – party recruitment, professional pipelines, financial barriers, and sedimented cultural norms and legacies of exclusion – that advantage some social groups over others (Carnes &amp; Lupu 2023, Clayton 2021). Descriptive congruence thus signals whether formal equality of opportunity has produced equal presence. Who is in the building is neither random nor a product of pure electoral competition alone. Rather, it reflects structured inclusion and exclusion. </w:t>
      </w:r>
    </w:p>
    <w:p w14:paraId="69666F9F" w14:textId="2CFC8DF1" w:rsidR="00C72AA0" w:rsidRDefault="001531D9" w:rsidP="00C72AA0">
      <w:pPr>
        <w:spacing w:line="360" w:lineRule="auto"/>
        <w:ind w:firstLine="720"/>
      </w:pPr>
      <w:r>
        <w:lastRenderedPageBreak/>
        <w:t xml:space="preserve">Proponents of descriptive representation further note that these upstream filters have downstream consequences. When certain groups are consistently underrepresented, their experiences may be less likely to inform legislative judgements and deliberation. Even in the aggregative conception of democracy – where representation is understood as the translation of existing preferences into policy through competition and majority rule – systematic absence can distort the process. Disadvantaged groups’ preferences may be excluded from the agenda before aggregation occurs, or distrust may dampen participation such that expressed preferences do not fully reflect underlying interests (Mansbridge 1999). Under these conditions, descriptive representation strengthens a precondition for fair aggregation: making marginalized interests visible enough to be counted. </w:t>
      </w:r>
    </w:p>
    <w:p w14:paraId="36896551" w14:textId="44D090E4" w:rsidR="001531D9" w:rsidRDefault="001531D9" w:rsidP="00C72AA0">
      <w:pPr>
        <w:spacing w:line="360" w:lineRule="auto"/>
        <w:ind w:firstLine="720"/>
      </w:pPr>
      <w:proofErr w:type="gramStart"/>
      <w:r>
        <w:t>Yet,</w:t>
      </w:r>
      <w:proofErr w:type="gramEnd"/>
      <w:r>
        <w:t xml:space="preserve"> the downstream case runs deeper still in conceptions of representation’s deliberative function. Legislator do not merely aggregate preferences, but define problems, interpret constituent claims, and weigh competing demands. Shared experiences in particular shape which constituencies’ legislators’ interpretations of problems mirror, how they respond to disparate </w:t>
      </w:r>
      <w:r w:rsidR="006B637B">
        <w:t>constituencies</w:t>
      </w:r>
      <w:r>
        <w:t xml:space="preserve">’ claims, and whose </w:t>
      </w:r>
      <w:proofErr w:type="gramStart"/>
      <w:r>
        <w:t>interests</w:t>
      </w:r>
      <w:proofErr w:type="gramEnd"/>
      <w:r>
        <w:t xml:space="preserve"> legislators consider politically relevant.   </w:t>
      </w:r>
      <w:r>
        <w:t>In these functions and interactions with their districts, legislators themselves even define constituencies (Disch 2021).</w:t>
      </w:r>
    </w:p>
    <w:p w14:paraId="7693308A" w14:textId="77777777" w:rsidR="00C72AA0" w:rsidRDefault="00C72AA0" w:rsidP="00C72AA0">
      <w:pPr>
        <w:spacing w:line="360" w:lineRule="auto"/>
        <w:ind w:firstLine="720"/>
      </w:pPr>
    </w:p>
    <w:p w14:paraId="2BE0EB4B" w14:textId="43999919" w:rsidR="00B22777" w:rsidRDefault="00837F45" w:rsidP="00C72AA0">
      <w:pPr>
        <w:spacing w:line="360" w:lineRule="auto"/>
        <w:ind w:firstLine="720"/>
      </w:pPr>
      <w:r>
        <w:t>are structure such that they systematically advantage some groups’ perspectives over others</w:t>
      </w:r>
      <w:r w:rsidR="00B22777">
        <w:t xml:space="preserve"> – reflecting both “upstream” determinants and “downstream” consequences of who is in the building. These compound, producing consequences for both </w:t>
      </w:r>
      <w:r w:rsidR="00B22777">
        <w:t>the “aggregative” functions of democracy – the translation of existing preferences into policy through competition and majority rule</w:t>
      </w:r>
      <w:r w:rsidR="00B22777">
        <w:t xml:space="preserve"> – and its “deliberative” functions, or </w:t>
      </w:r>
      <w:proofErr w:type="gramStart"/>
      <w:r w:rsidR="00B22777">
        <w:t xml:space="preserve">understanding </w:t>
      </w:r>
      <w:r w:rsidR="00B22777">
        <w:t xml:space="preserve"> </w:t>
      </w:r>
      <w:proofErr w:type="spellStart"/>
      <w:r w:rsidR="00B22777">
        <w:t>of</w:t>
      </w:r>
      <w:r w:rsidR="00B22777">
        <w:t>which</w:t>
      </w:r>
      <w:proofErr w:type="spellEnd"/>
      <w:proofErr w:type="gramEnd"/>
      <w:r w:rsidR="00B22777">
        <w:t xml:space="preserve"> policies serve constituents' interests, defining problems, and navigating conflicts among competing claims</w:t>
      </w:r>
      <w:r w:rsidR="00B22777">
        <w:t>.</w:t>
      </w:r>
    </w:p>
    <w:p w14:paraId="1488997C" w14:textId="77777777" w:rsidR="00B22777" w:rsidRPr="00B22777" w:rsidRDefault="00B22777" w:rsidP="00B22777">
      <w:pPr>
        <w:spacing w:line="360" w:lineRule="auto"/>
        <w:ind w:firstLine="720"/>
      </w:pPr>
      <w:r>
        <w:t xml:space="preserve">On the upstream side, </w:t>
      </w:r>
      <w:r w:rsidRPr="00B22777">
        <w:t xml:space="preserve">persistent patterns of gatekeeping, recruitment, and institutional culture mean that certain groups face compounding barriers to entry that formal equality of opportunity does not correct (Clayton 2021; Carnes &amp; Lupu 2023). Their </w:t>
      </w:r>
      <w:r w:rsidRPr="00B22777">
        <w:lastRenderedPageBreak/>
        <w:t>absence from office is not random but reflects institutional filtering — and that filtering is itself informative about whose experiences the political system treats as relevant.</w:t>
      </w:r>
    </w:p>
    <w:p w14:paraId="5774E9E2" w14:textId="77777777" w:rsidR="00B22777" w:rsidRPr="00B22777" w:rsidRDefault="00B22777" w:rsidP="00B22777">
      <w:pPr>
        <w:spacing w:line="360" w:lineRule="auto"/>
        <w:ind w:firstLine="720"/>
      </w:pPr>
      <w:r w:rsidRPr="00B22777">
        <w:t>On the downstream side, who is present in office shapes what legislatures do and how they do it. At the most basic level, descriptive incongruence can distort even the aggregative functions of democracy: when disadvantaged groups' preferences are excluded from the agenda before aggregation occurs, or when distrust leads to nonparticipation, the translation of preferences into policy is compromised in ways that electoral incentives alone do not correct (Mansbridge 1999). But the downstream case runs deeper than policy outputs. Shared experience shapes the deliberative processes through which legislators define problems, interpret constituent interests, and navigate competing claims — in ways that incentive structures cannot replicate. When legislatures are descriptively skewed, deliberation risks reflecting the social positions and interpretive frameworks of those most likely to enter office rather than the full range of experiences present in the polity. Scholars have accordingly theorized that descriptive representation shapes downstream representation through at least three channels: by altering whose experiences inform legislative deliberation, by signaling inclusion and political membership to marginalized groups, and by changing the interpretive frames through which representatives understand their constituencies (Mansbridge 1999; Phillips 1995; Clayton 2021). These channels correspond to what the empirical literature has increasingly distinguished as effects on policy outcomes, on the processes of agenda-setting and deliberation, and on the symbolic and relational dimensions of democratic governance — a differentiation to which this chapter will return.</w:t>
      </w:r>
    </w:p>
    <w:p w14:paraId="3B3D7A03" w14:textId="77777777" w:rsidR="00B22777" w:rsidRPr="00B22777" w:rsidRDefault="00B22777" w:rsidP="00B22777">
      <w:pPr>
        <w:spacing w:line="360" w:lineRule="auto"/>
        <w:ind w:firstLine="720"/>
      </w:pPr>
      <w:r w:rsidRPr="00B22777">
        <w:t>Importantly, descriptive representation is not theorized as sufficient for democratic responsiveness, nor as uniformly beneficial across contexts. Rather, it functions as one normative benchmark among several — useful precisely because it highlights when political institutions are systematically skewed away from the lived realities of the populations they govern.</w:t>
      </w:r>
    </w:p>
    <w:p w14:paraId="1612935F" w14:textId="407EA90B" w:rsidR="00B22777" w:rsidRDefault="00B22777" w:rsidP="00B22777">
      <w:pPr>
        <w:spacing w:line="360" w:lineRule="auto"/>
        <w:ind w:firstLine="720"/>
      </w:pPr>
    </w:p>
    <w:p w14:paraId="5A71F143" w14:textId="77777777" w:rsidR="00B22777" w:rsidRDefault="00B22777" w:rsidP="00B22777">
      <w:pPr>
        <w:spacing w:line="360" w:lineRule="auto"/>
        <w:ind w:firstLine="720"/>
      </w:pPr>
    </w:p>
    <w:p w14:paraId="55D84A3C" w14:textId="6EAF6992" w:rsidR="00B22777" w:rsidRDefault="00B22777" w:rsidP="00B22777">
      <w:pPr>
        <w:spacing w:line="360" w:lineRule="auto"/>
        <w:ind w:firstLine="720"/>
      </w:pPr>
      <w:r>
        <w:t xml:space="preserve">” and “deliberative” functions. </w:t>
      </w:r>
    </w:p>
    <w:p w14:paraId="559167DA" w14:textId="77777777" w:rsidR="00B22777" w:rsidRDefault="00B22777" w:rsidP="008355EE"/>
    <w:p w14:paraId="6954703B" w14:textId="1494F8BA" w:rsidR="00D14C56" w:rsidRDefault="00D14C56" w:rsidP="008355EE">
      <w:r>
        <w:t xml:space="preserve"> </w:t>
      </w:r>
      <w:r w:rsidR="008B3DA1">
        <w:t xml:space="preserve">Thus, conditions necessary for – to hold, which amount to electoral incentives substituting for descriptive congruence, rarely do. Disadvanteged group preferences may be excluded from the agenda before aggregation occurs – allowing descriptive representation to strengthen a precondition for fair aggregation – making marginalized interests visible enough to be counted. </w:t>
      </w:r>
    </w:p>
    <w:p w14:paraId="1C81E6D8" w14:textId="64B31F1C" w:rsidR="00B22777" w:rsidRDefault="008B3DA1" w:rsidP="008355EE">
      <w:r>
        <w:t>Moreover, for the deliberative function of representation</w:t>
      </w:r>
      <w:r>
        <w:t xml:space="preserve">— the case for descriptive representation runs deeper. Shared experience shapes perception in ways that incentive structures alone cannot replicate. When legislatures are descriptively skewed, deliberation risks reflecting the social positions and interpretive frameworks of those most likely to enter office rather than the full range of experiences present in the polity. This distinction is consequential because it directs analytical attention beyond policy outputs toward the processes through which legislative judgment is formed — and toward the symbolic and epistemic dimensions of who is recognized as a legitimate participant in that process. </w:t>
      </w:r>
    </w:p>
    <w:p w14:paraId="3DEC0FAC" w14:textId="4649E924" w:rsidR="008B3DA1" w:rsidRDefault="008B3DA1" w:rsidP="008355EE">
      <w:r>
        <w:t>Scholars have theorized that descriptive representation shapes these processes through at least three channels: by altering whose experiences inform legislative deliberation, by signaling inclusion and political membership to marginalized groups, and by changing the interpretive frames through which representatives understand their constituencies (Mansbridge 1999; Phillips 1995; Clayton 2021). Importantly, descriptive representation is not theorized as sufficient for democratic responsiveness, nor as uniformly beneficial across contexts. Rather, it functions as one normative benchmark among several — useful precisely because it highlights when political institutions are systematically skewed away from the lived realities of the populations they govern.</w:t>
      </w:r>
    </w:p>
    <w:p w14:paraId="476AE75F" w14:textId="16FD37D6" w:rsidR="00D14C56" w:rsidRDefault="008B3DA1" w:rsidP="008355EE">
      <w:r>
        <w:t>OLD</w:t>
      </w:r>
    </w:p>
    <w:p w14:paraId="1B6B1EA8" w14:textId="6762768D" w:rsidR="002A3F9E" w:rsidRPr="002A3F9E" w:rsidRDefault="00D14C56" w:rsidP="008355EE">
      <w:r>
        <w:t xml:space="preserve">understanding that shared experiences can  </w:t>
      </w:r>
    </w:p>
    <w:p w14:paraId="4B299E8D" w14:textId="6B3B13C8" w:rsidR="00225C10" w:rsidRDefault="00246AF1" w:rsidP="00E451D6">
      <w:r>
        <w:t>Moreover, d</w:t>
      </w:r>
      <w:r w:rsidR="00CF121A">
        <w:t xml:space="preserve">escriptive representation is thought to influence how problems are defined, which voices are heard, and which claims are treated as politically relevant. </w:t>
      </w:r>
      <w:r w:rsidR="00225C10">
        <w:t>When legislatures are descriptively skewed, representation risks reflecting the social positions and interpretive fram</w:t>
      </w:r>
      <w:r>
        <w:t>e</w:t>
      </w:r>
      <w:r w:rsidR="00225C10">
        <w:t xml:space="preserve">works of those most likely to enter office, rather than the full range of experiences present in the polity. </w:t>
      </w:r>
    </w:p>
    <w:p w14:paraId="25C974E4" w14:textId="7F1E5E6C" w:rsidR="00225C10" w:rsidRDefault="00225C10" w:rsidP="00225C10">
      <w:pPr>
        <w:pStyle w:val="ListParagraph"/>
        <w:numPr>
          <w:ilvl w:val="0"/>
          <w:numId w:val="23"/>
        </w:numPr>
      </w:pPr>
      <w:r>
        <w:t>Emphasize congruence here</w:t>
      </w:r>
    </w:p>
    <w:p w14:paraId="128A7CBE" w14:textId="33D406D3" w:rsidR="00225C10" w:rsidRDefault="00225C10" w:rsidP="00225C10">
      <w:pPr>
        <w:pStyle w:val="ListParagraph"/>
        <w:numPr>
          <w:ilvl w:val="0"/>
          <w:numId w:val="23"/>
        </w:numPr>
      </w:pPr>
      <w:r>
        <w:lastRenderedPageBreak/>
        <w:t>Then responsiveness, inclusion</w:t>
      </w:r>
    </w:p>
    <w:p w14:paraId="47D8A320" w14:textId="3700A33E" w:rsidR="00225C10" w:rsidRDefault="00225C10" w:rsidP="00225C10">
      <w:pPr>
        <w:pStyle w:val="ListParagraph"/>
        <w:numPr>
          <w:ilvl w:val="0"/>
          <w:numId w:val="23"/>
        </w:numPr>
      </w:pPr>
      <w:r>
        <w:t>Then (below) institutional)</w:t>
      </w:r>
    </w:p>
    <w:p w14:paraId="3A7FC296" w14:textId="4A68B204" w:rsidR="00225C10" w:rsidRDefault="00225C10" w:rsidP="00E451D6">
      <w:r>
        <w:t>In other words, d</w:t>
      </w:r>
      <w:r w:rsidR="00CF121A">
        <w:t xml:space="preserve">escriptive representation </w:t>
      </w:r>
      <w:r>
        <w:t xml:space="preserve">may act as a diagnostic for institutional bias: the degree to which patterns of political recruitment, agenda-setting, and responsiveness are shaped by who is present in decision-making spaces, independent of formal rules of inclusion. </w:t>
      </w:r>
    </w:p>
    <w:p w14:paraId="3577A59E" w14:textId="2E835346" w:rsidR="00CF121A" w:rsidRDefault="00CF121A" w:rsidP="00E451D6">
      <w:r>
        <w:t xml:space="preserve">It may shape representation by altering whose experiences form legislative deliberation, signaling inclusion and political membership to marginalized groups, and by changing the incentives and interpretive frames through which representatives understand </w:t>
      </w:r>
      <w:r w:rsidR="00225C10">
        <w:t>their</w:t>
      </w:r>
      <w:r>
        <w:t xml:space="preserve"> constituencies. Importantly, descriptive representation is not theorized as sufficient for democratic responsiveness, nor as uniformly beneficial across contexts. Rather it functions as one normative benchmark among others – useful precisely because it highlights when political </w:t>
      </w:r>
      <w:r w:rsidR="00225C10">
        <w:t>institutions</w:t>
      </w:r>
      <w:r>
        <w:t xml:space="preserve"> are systematically skewed away from the lived realities of the populations they govern. </w:t>
      </w:r>
    </w:p>
    <w:p w14:paraId="3898D7F5" w14:textId="15C8E3A6" w:rsidR="00225C10" w:rsidRDefault="008B3DA1" w:rsidP="00E451D6">
      <w:r>
        <w:t>END OLD</w:t>
      </w:r>
    </w:p>
    <w:p w14:paraId="4A0D5D09" w14:textId="0A0B0D5D" w:rsidR="00CF121A" w:rsidRPr="00246AF1" w:rsidRDefault="005F0876" w:rsidP="00E451D6">
      <w:pPr>
        <w:rPr>
          <w:b/>
          <w:bCs/>
        </w:rPr>
      </w:pPr>
      <w:r>
        <w:rPr>
          <w:b/>
          <w:bCs/>
        </w:rPr>
        <w:t>What We Know</w:t>
      </w:r>
      <w:r w:rsidR="00A55848">
        <w:rPr>
          <w:b/>
          <w:bCs/>
        </w:rPr>
        <w:t xml:space="preserve"> </w:t>
      </w:r>
    </w:p>
    <w:p w14:paraId="6D18ECA3" w14:textId="51D9B805" w:rsidR="00225C10" w:rsidRDefault="002A3948" w:rsidP="00790F56">
      <w:pPr>
        <w:spacing w:line="360" w:lineRule="auto"/>
        <w:ind w:firstLine="720"/>
      </w:pPr>
      <w:r>
        <w:t xml:space="preserve">Indeed, a large literature examines descriptive representation as a core indicator of democratic </w:t>
      </w:r>
      <w:r w:rsidR="00246AF1">
        <w:t>inclusion</w:t>
      </w:r>
      <w:r>
        <w:t xml:space="preserve"> and institutional performance. Across contexts, scholars have measured descriptive representation using legislators’ social identities and backgrounds, including race, gender, ethnicity, and economic class</w:t>
      </w:r>
      <w:r w:rsidR="00EA287F">
        <w:t xml:space="preserve"> </w:t>
      </w:r>
      <w:proofErr w:type="gramStart"/>
      <w:r w:rsidR="00EA287F">
        <w:t>( )</w:t>
      </w:r>
      <w:proofErr w:type="gramEnd"/>
      <w:r>
        <w:t xml:space="preserve">. They have established substantial and </w:t>
      </w:r>
      <w:r w:rsidR="00246AF1">
        <w:t>persistent</w:t>
      </w:r>
      <w:r>
        <w:t xml:space="preserve"> gaps between the composition of political institutions and publics they represent</w:t>
      </w:r>
      <w:r w:rsidR="00246AF1">
        <w:t xml:space="preserve"> -- imbalances which indicate upstream causes and downstream effects</w:t>
      </w:r>
      <w:r w:rsidR="00EA287F">
        <w:t xml:space="preserve"> </w:t>
      </w:r>
      <w:proofErr w:type="gramStart"/>
      <w:r w:rsidR="00EA287F">
        <w:t>( )</w:t>
      </w:r>
      <w:proofErr w:type="gramEnd"/>
      <w:r w:rsidR="00246AF1">
        <w:t xml:space="preserve">. </w:t>
      </w:r>
      <w:r>
        <w:t>When groups are underrepresented, legislatures devote less agenda attention to their interests and concerns, particularly in domains where representatives have discretion over speech, bill sponsorship, and issue prioritization</w:t>
      </w:r>
      <w:r w:rsidR="00EA287F">
        <w:t xml:space="preserve"> </w:t>
      </w:r>
      <w:proofErr w:type="gramStart"/>
      <w:r w:rsidR="00EA287F">
        <w:t>( )</w:t>
      </w:r>
      <w:proofErr w:type="gramEnd"/>
      <w:r>
        <w:t>. Descriptive representation is also linked to non-policy outcomes central do democratic functioning: perceptions of institutional legitimacy, trust between constituents and representatives</w:t>
      </w:r>
      <w:r w:rsidR="00401201">
        <w:t>,</w:t>
      </w:r>
      <w:r>
        <w:t xml:space="preserve"> and political engagement. However, these effects are neither automatic nor uniform. Institutional constraints, party discipline, and gatekeeping can mute policy change even when descriptive representation improves, </w:t>
      </w:r>
      <w:r w:rsidR="00B47922">
        <w:t>reflecting the interaction between descriptive representation “s</w:t>
      </w:r>
      <w:r>
        <w:t>edimented</w:t>
      </w:r>
      <w:r w:rsidR="00B47922">
        <w:t>”</w:t>
      </w:r>
      <w:r>
        <w:t xml:space="preserve"> cultures and norms</w:t>
      </w:r>
      <w:r w:rsidR="00B47922">
        <w:t xml:space="preserve"> </w:t>
      </w:r>
      <w:proofErr w:type="gramStart"/>
      <w:r w:rsidR="00B47922">
        <w:t>( )</w:t>
      </w:r>
      <w:proofErr w:type="gramEnd"/>
      <w:r>
        <w:t xml:space="preserve">. As a result, scholars increasingly </w:t>
      </w:r>
      <w:r>
        <w:lastRenderedPageBreak/>
        <w:t>emphasize that descriptive representation’s import is not limited to its translation to direct policy outputs. Rather, they study it’s influence on agenda-setting, symbolic recognition, and the relational ties that structure participation and responsiveness</w:t>
      </w:r>
      <w:r w:rsidR="00B47922">
        <w:t xml:space="preserve"> </w:t>
      </w:r>
      <w:proofErr w:type="gramStart"/>
      <w:r w:rsidR="00B47922">
        <w:t>( )</w:t>
      </w:r>
      <w:proofErr w:type="gramEnd"/>
      <w:r>
        <w:t xml:space="preserve">. </w:t>
      </w:r>
      <w:r w:rsidR="00AF25FC">
        <w:t xml:space="preserve"> </w:t>
      </w:r>
    </w:p>
    <w:p w14:paraId="67BFED18" w14:textId="77777777" w:rsidR="00E31CA4" w:rsidRPr="00E31CA4" w:rsidRDefault="00E31CA4" w:rsidP="00E31CA4">
      <w:pPr>
        <w:spacing w:line="360" w:lineRule="auto"/>
        <w:ind w:firstLine="720"/>
      </w:pPr>
      <w:r w:rsidRPr="00E31CA4">
        <w:t>A large empirical literature establishes that who holds office matters — both as an indicator of democratic inclusion and as a determinant of how institutions function. Across democracies, scholars have documented substantial and persistent gaps between the composition of political institutions and the publics they represent. Elected officials are almost always wealthier, more educated, and more likely to come from white-collar occupations than the citizens who elect them (Carnes 2012); in Congress, less than two percent of the average representative's pre-congressional career was spent in working-class jobs, against a labor force that is majority working class (Carnes &amp; Lupu 2015). While Black and minority descriptive representation has made gains since the passage of the Voting Rights Act, Congress and state legislatures fall well short of proportional representation (McClain &amp; Carew 2017; Pew 2023), with state legislatures composed of only roughly 10.5% Black and 6.3% Hispanic elected officials. These imbalances point to upstream institutional causes — party gatekeeping, gendered and racialized candidate recruitment, masculinized institutional cultures, and persistent bias that elections alone do not correct (Carnes &amp; Lupu 2023; Clayton 2021) — and to downstream consequences that the literature has increasingly differentiated.</w:t>
      </w:r>
    </w:p>
    <w:p w14:paraId="48F794B3" w14:textId="77777777" w:rsidR="00E31CA4" w:rsidRPr="00E31CA4" w:rsidRDefault="00E31CA4" w:rsidP="00E31CA4">
      <w:pPr>
        <w:spacing w:line="360" w:lineRule="auto"/>
        <w:ind w:firstLine="720"/>
      </w:pPr>
      <w:r w:rsidRPr="00E31CA4">
        <w:t xml:space="preserve">On the outcome side, descriptive representation is associated with substantive policy gains for underrepresented groups, particularly in moments of policy innovation or when issues are in early stages of redress (Bratton &amp; Ray 2002). Whether because of differences in self-interest, ideology, or social networks, economically advantaged legislators tend to hold views congruent with economically advantaged citizens, and these legislators may be better positioned to advance their preferred policies (Carnes &amp; Lupu 2023; Meltzer &amp; Richard 1981; Piketty 1995). Descriptive representation also shapes legislative responsiveness more broadly: legislators discriminate in constituent service </w:t>
      </w:r>
      <w:proofErr w:type="gramStart"/>
      <w:r w:rsidRPr="00E31CA4">
        <w:t>on the basis of</w:t>
      </w:r>
      <w:proofErr w:type="gramEnd"/>
      <w:r w:rsidRPr="00E31CA4">
        <w:t xml:space="preserve"> race (Butler &amp; </w:t>
      </w:r>
      <w:proofErr w:type="spellStart"/>
      <w:r w:rsidRPr="00E31CA4">
        <w:t>Broockman</w:t>
      </w:r>
      <w:proofErr w:type="spellEnd"/>
      <w:r w:rsidRPr="00E31CA4">
        <w:t xml:space="preserve"> 2011), and Black constituents consistently report feeling better represented — having a stronger say in government actions — when </w:t>
      </w:r>
      <w:r w:rsidRPr="00E31CA4">
        <w:lastRenderedPageBreak/>
        <w:t>represented by Black legislators (Gleason &amp; Stout 2014). On the process side, descriptive representation alters whose concerns receive institutional attention. Bills supported by civil rights groups are more likely to receive committee markup when committees include more Black and Latino members (Minta 2011), and the election of Black women to Congress has facilitated the crystallization of interests that had previously lacked institutional articulation (Brown, Clark, Mahoney, &amp; Strawbridge 2023; Brown 2014). These process effects — in agenda-setting, issue prioritization, and deliberative framing — operate even when institutional constraints, party discipline, or gatekeeping mute direct policy change, suggesting that descriptive representation shapes the terms of legislative debate independent of its translation into policy outputs.</w:t>
      </w:r>
    </w:p>
    <w:p w14:paraId="5D106ED8" w14:textId="77777777" w:rsidR="00E31CA4" w:rsidRPr="00E31CA4" w:rsidRDefault="00E31CA4" w:rsidP="00E31CA4">
      <w:pPr>
        <w:spacing w:line="360" w:lineRule="auto"/>
        <w:ind w:firstLine="720"/>
      </w:pPr>
      <w:r w:rsidRPr="00E31CA4">
        <w:t>A third category of effects extends beyond policy and process to what might be termed symbolic and relational dimensions: the ways in which who governs shapes perceptions of institutional legitimacy, political trust, and civic inclusion. Black descriptive representation generates political empowerment and participation among Black citizens (Bobo &amp; Gilliam 1990; Clark 2019). Greater presence of working-class legislators is associated with increased trust in political institutions in Latin American contexts (Carnes &amp; Lupu 2023), and women's descriptive representation is linked to trust in democratic institutions among women (Clayton 2021). These effects — trust, engagement, perceived standing — are central to democratic functioning yet are neither automatic nor uniform. They interact with sedimented institutional cultures and norms, and they vary by context in ways that motivate closer attention to when and for whom descriptive representation matters most. It is to this variation that the theory now turns.</w:t>
      </w:r>
    </w:p>
    <w:p w14:paraId="1F6856D6" w14:textId="77777777" w:rsidR="00AF25FC" w:rsidRDefault="00AF25FC" w:rsidP="00E451D6"/>
    <w:p w14:paraId="69B2714B" w14:textId="749BBA80" w:rsidR="00225C10" w:rsidRPr="00246AF1" w:rsidRDefault="005F0876" w:rsidP="00E451D6">
      <w:pPr>
        <w:rPr>
          <w:b/>
          <w:bCs/>
        </w:rPr>
      </w:pPr>
      <w:r>
        <w:rPr>
          <w:b/>
          <w:bCs/>
        </w:rPr>
        <w:t>Who We Talk About When We Talk About Descriptive Representation</w:t>
      </w:r>
    </w:p>
    <w:p w14:paraId="3533795C" w14:textId="77777777" w:rsidR="002E11D9" w:rsidRDefault="00CF121A" w:rsidP="008341D1">
      <w:pPr>
        <w:spacing w:line="360" w:lineRule="auto"/>
      </w:pPr>
      <w:r>
        <w:t xml:space="preserve"> </w:t>
      </w:r>
      <w:r w:rsidR="00A45569">
        <w:tab/>
      </w:r>
      <w:proofErr w:type="gramStart"/>
      <w:r w:rsidR="00A45569">
        <w:t>Yet,</w:t>
      </w:r>
      <w:proofErr w:type="gramEnd"/>
      <w:r w:rsidR="00A45569">
        <w:t xml:space="preserve"> not all social categories merit scrutiny for congruence</w:t>
      </w:r>
      <w:r w:rsidR="008341D1">
        <w:t xml:space="preserve"> or indicate representational failure when absent. Moreover, characteristics that merit descriptive representation may not apply in all policymaking contexts</w:t>
      </w:r>
      <w:r w:rsidR="00A45569">
        <w:t xml:space="preserve">. </w:t>
      </w:r>
      <w:r w:rsidR="008341D1">
        <w:t xml:space="preserve">As </w:t>
      </w:r>
      <w:r w:rsidR="00AF25FC">
        <w:t xml:space="preserve">Mansbridge </w:t>
      </w:r>
      <w:r w:rsidR="008341D1">
        <w:t>(1999) famously n</w:t>
      </w:r>
      <w:r w:rsidR="00AF25FC">
        <w:t xml:space="preserve">otes, the representation of left-handed individuals is probably not a critical measure of </w:t>
      </w:r>
      <w:r w:rsidR="00AF25FC">
        <w:lastRenderedPageBreak/>
        <w:t>democratic health</w:t>
      </w:r>
      <w:r w:rsidR="008341D1">
        <w:t>, except in “deliberation when their perspectives are relevant to a decision (e.g., in decisions regarding the design of surgical instruments” (635)</w:t>
      </w:r>
      <w:r w:rsidR="00AF25FC">
        <w:t xml:space="preserve">. </w:t>
      </w:r>
      <w:r w:rsidR="002E11D9">
        <w:t xml:space="preserve">The question, then, is not whether descriptive representation is universally required, but the conditions under which it becomes particularly important – and for whom. </w:t>
      </w:r>
    </w:p>
    <w:p w14:paraId="150EC411" w14:textId="21EF9CEB" w:rsidR="002E11D9" w:rsidRDefault="002E11D9" w:rsidP="008341D1">
      <w:pPr>
        <w:spacing w:line="360" w:lineRule="auto"/>
      </w:pPr>
      <w:r>
        <w:tab/>
        <w:t xml:space="preserve">Mansbridge (1999) offers a foundational contingent framework that identifies four historically specific contexts. Two enhance substantive representation – downstream process and policy effects </w:t>
      </w:r>
      <w:proofErr w:type="gramStart"/>
      <w:r>
        <w:t>-  by</w:t>
      </w:r>
      <w:proofErr w:type="gramEnd"/>
      <w:r>
        <w:t xml:space="preserve"> improving the quality of deliberation. Namely, in contexts of communicative distrust between dominant and subordinate groups, histories of dominance breed inattention from the powerful and distrust from the marginalized, such that non-descriptive representatives may be unable to serve as effective surrogates. Here, shared experience facilitates the vertical communication between representatives and constituents on which responsiveness depends. In contexts of uncrystallized interests – where issues are new to the political agenda and parties and candidates have not organized around them – descriptive representatives draw on shared experiences to navigate unpredictable issues through horizontal communication among legislators. Mansbridge also notes upstream causes of representational congruence. First, when a group’s “ability to rule” has been historically questioned, particularly through legal exclusion from voting or governing, the absence of group members from office reinforces the social meaning that such persons are unfit to rule; proportional presence disrupts that message, and Mansbridge argues this matters more for changing the psychology of dominant groups than for providing role models to subordinate ones. Finally, in contexts of low de facto legitimacy, seeing members of one’s group – for constituents – governing enhances the empirical legitimacy of the polity itself: the sense that one’s voice was present in deliberation, even if policy outcomes do not mirror their preferences or interests.</w:t>
      </w:r>
    </w:p>
    <w:p w14:paraId="0AE62EBF" w14:textId="117DB205" w:rsidR="002E11D9" w:rsidRPr="00816D08" w:rsidRDefault="002E11D9" w:rsidP="00816D08">
      <w:pPr>
        <w:spacing w:line="360" w:lineRule="auto"/>
      </w:pPr>
      <w:r>
        <w:tab/>
        <w:t xml:space="preserve">More narrowly, Mansbridge offers four criteria: groups that are proportionally underrepresented </w:t>
      </w:r>
      <w:proofErr w:type="spellStart"/>
      <w:r>
        <w:t>relatie</w:t>
      </w:r>
      <w:proofErr w:type="spellEnd"/>
      <w:r>
        <w:t xml:space="preserve"> to their population share, whose members consider themselves unable to be adequately represented by non-group members, and where evidence indicates that dominant groups have historically made it difficult or impossible for the group to represent itself. Here, a history of legal exclusion from the vote is a particularly </w:t>
      </w:r>
      <w:r>
        <w:lastRenderedPageBreak/>
        <w:t xml:space="preserve">strong indicator, which scholars of racial </w:t>
      </w:r>
      <w:r w:rsidR="00816D08">
        <w:t>congruence have underscored (UNC, Brown). Similarly, scholars of gender politics have produced a burgeoning literature, and both have also supported Mansbridge’s position that descriptive representation helps to mollify comm</w:t>
      </w:r>
      <w:r w:rsidR="00816D08" w:rsidRPr="00816D08">
        <w:t xml:space="preserve">unicative </w:t>
      </w:r>
      <w:proofErr w:type="gramStart"/>
      <w:r w:rsidR="00816D08" w:rsidRPr="00816D08">
        <w:t>distrust  (</w:t>
      </w:r>
      <w:proofErr w:type="gramEnd"/>
      <w:r w:rsidR="00816D08" w:rsidRPr="00816D08">
        <w:t xml:space="preserve">Gay 1996, Haynes 1997 – </w:t>
      </w:r>
      <w:proofErr w:type="spellStart"/>
      <w:r w:rsidR="00816D08" w:rsidRPr="00816D08">
        <w:t>tho</w:t>
      </w:r>
      <w:proofErr w:type="spellEnd"/>
      <w:r w:rsidR="00816D08" w:rsidRPr="00816D08">
        <w:t xml:space="preserve"> not gender, reword). </w:t>
      </w:r>
    </w:p>
    <w:p w14:paraId="6F1D760C" w14:textId="77777777" w:rsidR="00816D08" w:rsidRPr="00816D08" w:rsidRDefault="00816D08" w:rsidP="00816D08">
      <w:pPr>
        <w:pStyle w:val="font-claude-response-body"/>
        <w:spacing w:line="360" w:lineRule="auto"/>
        <w:rPr>
          <w:rFonts w:asciiTheme="minorHAnsi" w:hAnsiTheme="minorHAnsi"/>
        </w:rPr>
      </w:pPr>
      <w:r w:rsidRPr="00816D08">
        <w:rPr>
          <w:rFonts w:asciiTheme="minorHAnsi" w:hAnsiTheme="minorHAnsi"/>
        </w:rPr>
        <w:tab/>
        <w:t>Feminist and comparative scholars have extended this framework. Clayton (2021) Clayton (2021) argues that descriptive representation is normatively defensible for women even before we reach the question of policy effects. When equality of formal opportunity does not produce equality of presence — because of sedimented institutional cultures, persistent bias, and structural gatekeeping — that absence is itself an indicator of representational distortion, not merely a precondition for it. This reframing, echoed in arguments about racial and class underrepresentation (Carnes &amp; Lupu 2023; Phillips 1995; Dahlerup 2007), positions the inclusion of structurally sidelined groups as a matter of representative justice: procedural democracy does not self-correct when institutional norms and cultures systematically filter who is seen as a viable candidate, whose concerns are treated as politically relevant, and whose presence is perceived as legitimate.</w:t>
      </w:r>
    </w:p>
    <w:p w14:paraId="5846A65D" w14:textId="646DCEF1"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Recent scholarship presses further, suggesting that the conditions Mansbridge identifies may be deeper and more structurally entrenched than her framework alone implies. Pottle (2025) introduces the concept of </w:t>
      </w:r>
      <w:r w:rsidRPr="00816D08">
        <w:rPr>
          <w:rStyle w:val="Emphasis"/>
          <w:rFonts w:asciiTheme="minorHAnsi" w:eastAsiaTheme="majorEastAsia" w:hAnsiTheme="minorHAnsi"/>
        </w:rPr>
        <w:t>testimonial injustice</w:t>
      </w:r>
      <w:r w:rsidRPr="00816D08">
        <w:rPr>
          <w:rFonts w:asciiTheme="minorHAnsi" w:hAnsiTheme="minorHAnsi"/>
        </w:rPr>
        <w:t xml:space="preserve"> to theorize the persistence of communicative distrust. Where Mansbridge describes communicative distrust as a product of historical dominance — a residue that shared experience can bridge — Pottle argues that the breakdown is not merely inherited but actively reproduced through electoral incentives. Legislators face structural pressure to anchor their messaging in the understandings of strategically valuable constituencies — moderate white voters, affluent donors — and the infrastructure of legislative responsiveness (constituent communications processing, meeting access, staff gatekeeping) grants these constituencies disproportionate epistemic authority. Groups constructed as uncredible within this economy of strategic value find their testimony filtered or discounted not </w:t>
      </w:r>
      <w:r w:rsidRPr="00816D08">
        <w:rPr>
          <w:rFonts w:asciiTheme="minorHAnsi" w:hAnsiTheme="minorHAnsi"/>
        </w:rPr>
        <w:lastRenderedPageBreak/>
        <w:t xml:space="preserve">because individual legislators are inattentive, but because the electoral connection itself incentivizes inattention. </w:t>
      </w:r>
    </w:p>
    <w:p w14:paraId="29692F4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Pottle's concept of </w:t>
      </w:r>
      <w:r w:rsidRPr="00816D08">
        <w:rPr>
          <w:rStyle w:val="Emphasis"/>
          <w:rFonts w:asciiTheme="minorHAnsi" w:eastAsiaTheme="majorEastAsia" w:hAnsiTheme="minorHAnsi"/>
        </w:rPr>
        <w:t>hermeneutic injustice</w:t>
      </w:r>
      <w:r w:rsidRPr="00816D08">
        <w:rPr>
          <w:rFonts w:asciiTheme="minorHAnsi" w:hAnsiTheme="minorHAnsi"/>
        </w:rPr>
        <w:t xml:space="preserve"> similarly deepens Mansbridge's account of uncrystallized interests. Mansbridge treats uncrystallized interests as a relatively benign feature of the political landscape — some issues simply have not yet made it onto the agenda, and descriptive representatives are uniquely positioned to introduce them. But Pottle reframes: some interests </w:t>
      </w:r>
      <w:r w:rsidRPr="00816D08">
        <w:rPr>
          <w:rStyle w:val="Emphasis"/>
          <w:rFonts w:asciiTheme="minorHAnsi" w:eastAsiaTheme="majorEastAsia" w:hAnsiTheme="minorHAnsi"/>
        </w:rPr>
        <w:t>appear</w:t>
      </w:r>
      <w:r w:rsidRPr="00816D08">
        <w:rPr>
          <w:rFonts w:asciiTheme="minorHAnsi" w:hAnsiTheme="minorHAnsi"/>
        </w:rPr>
        <w:t xml:space="preserve"> uncrystallized not because they are genuinely new, but because the hermeneutic resources needed to articulate them have been systematically excluded from mainstream political vocabulary — a "mainstream" that is itself defined by the epistemic preferences of advantaged constituencies. Communities facing sustained contact with punitive or redistributive state institutions, for instance, may have developed rich, internally coherent understandings of state power and their relationship to it — articulated political knowledge, shared vocabularies, theories of the state "from below" (Weaver, Prowse, &amp; Piston 2020) — that are not granted standing in elite discourse. These interests appear uncrystallized because the </w:t>
      </w:r>
      <w:r w:rsidRPr="00816D08">
        <w:rPr>
          <w:rStyle w:val="Emphasis"/>
          <w:rFonts w:asciiTheme="minorHAnsi" w:eastAsiaTheme="majorEastAsia" w:hAnsiTheme="minorHAnsi"/>
        </w:rPr>
        <w:t>resonance imperative</w:t>
      </w:r>
      <w:r w:rsidRPr="00816D08">
        <w:rPr>
          <w:rFonts w:asciiTheme="minorHAnsi" w:hAnsiTheme="minorHAnsi"/>
        </w:rPr>
        <w:t xml:space="preserve"> — the incentive for legislators to articulate problems and solutions in terms that cohere with high-value constituencies' existing understandings — gives policymakers no reason to adopt or legitimate the vocabularies through which those experiences are understood. The result is a form of epistemic exclusion that is structurally produced rather than merely incidental: a group's efforts to articulate or intervene with their knowledge are sidelined or denied because that knowledge was already outside the political mainstream.</w:t>
      </w:r>
    </w:p>
    <w:p w14:paraId="43487DEE"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 xml:space="preserve">This epistemic dimension also extends Mansbridge's third and fourth contexts. Her arguments about "ability to rule" and de facto legitimacy are fundamentally about who is perceived as a legitimate political actor — and she argues these perceptions are </w:t>
      </w:r>
      <w:proofErr w:type="gramStart"/>
      <w:r w:rsidRPr="00816D08">
        <w:rPr>
          <w:rFonts w:asciiTheme="minorHAnsi" w:hAnsiTheme="minorHAnsi"/>
        </w:rPr>
        <w:t>goods in their own right, beyond</w:t>
      </w:r>
      <w:proofErr w:type="gramEnd"/>
      <w:r w:rsidRPr="00816D08">
        <w:rPr>
          <w:rFonts w:asciiTheme="minorHAnsi" w:hAnsiTheme="minorHAnsi"/>
        </w:rPr>
        <w:t xml:space="preserve"> their implications for substantive representation. But Pottle's framework suggests the question is not only whether a group is seen as able to </w:t>
      </w:r>
      <w:r w:rsidRPr="00816D08">
        <w:rPr>
          <w:rStyle w:val="Emphasis"/>
          <w:rFonts w:asciiTheme="minorHAnsi" w:eastAsiaTheme="majorEastAsia" w:hAnsiTheme="minorHAnsi"/>
        </w:rPr>
        <w:t>rule</w:t>
      </w:r>
      <w:r w:rsidRPr="00816D08">
        <w:rPr>
          <w:rFonts w:asciiTheme="minorHAnsi" w:hAnsiTheme="minorHAnsi"/>
        </w:rPr>
        <w:t xml:space="preserve"> but whether it is seen as able to </w:t>
      </w:r>
      <w:r w:rsidRPr="00816D08">
        <w:rPr>
          <w:rStyle w:val="Emphasis"/>
          <w:rFonts w:asciiTheme="minorHAnsi" w:eastAsiaTheme="majorEastAsia" w:hAnsiTheme="minorHAnsi"/>
        </w:rPr>
        <w:t>know</w:t>
      </w:r>
      <w:r w:rsidRPr="00816D08">
        <w:rPr>
          <w:rFonts w:asciiTheme="minorHAnsi" w:hAnsiTheme="minorHAnsi"/>
        </w:rPr>
        <w:t xml:space="preserve"> — whether its members' experiences count as politically relevant knowledge at all. Hermeneutic and testimonial injustice do not merely exclude </w:t>
      </w:r>
      <w:r w:rsidRPr="00816D08">
        <w:rPr>
          <w:rFonts w:asciiTheme="minorHAnsi" w:hAnsiTheme="minorHAnsi"/>
        </w:rPr>
        <w:lastRenderedPageBreak/>
        <w:t>groups from governing; they exclude groups from the epistemic community whose understandings shape policy. This constitutes a deeper form of the second-class citizenship Mansbridge describes, because it means that even when members of a group are physically present in deliberative spaces, their experiential knowledge may not be granted epistemic standing. Presence without epistemic authority is a hollow form of inclusion.</w:t>
      </w:r>
    </w:p>
    <w:p w14:paraId="743699B3" w14:textId="7D590EA5" w:rsidR="002E11D9" w:rsidRPr="00DF638A" w:rsidRDefault="00816D08" w:rsidP="00DF638A">
      <w:pPr>
        <w:pStyle w:val="font-claude-response-body"/>
        <w:spacing w:line="360" w:lineRule="auto"/>
        <w:ind w:firstLine="720"/>
        <w:rPr>
          <w:rFonts w:asciiTheme="minorHAnsi" w:hAnsiTheme="minorHAnsi"/>
        </w:rPr>
      </w:pPr>
      <w:r w:rsidRPr="00816D08">
        <w:rPr>
          <w:rFonts w:asciiTheme="minorHAnsi" w:hAnsiTheme="minorHAnsi"/>
        </w:rPr>
        <w:t>Taken together, these theoretical developments sharpen the conditions under which descriptive representation is most analytically consequential. If subordinate groups' interests are merely uncrystallized — awaiting articulation on a gradually expanding political agenda — then descriptive representation is instrumentally useful: it brings new information and perspectives into deliberation. But if those interests are hermeneutically suppressed, and if the groups that hold them face testimonial injustice within the structures of legislative responsiveness, then the absence of descriptive representation is not merely an informational loss. It is an active form of epistemic exclusion that reproduces the conditions of its own perpetuation — a feedback loop in which the political knowledge of marginalized communities is excluded from elite discourse, that exclusion shapes what counts as "common sense" in policymaking, and those distorted common-sense understandings further justify the marginalization of the excluded group's knowledge. Descriptive representation is most critical, then, for groups whose voices are filtered, discounted, or systematically absent in ordinary democratic practice — groups whose absence from political institutions is itself an indicator of representational distortion, and for whom inclusion carries implications not only for policy outcomes but for the epistemic terms on which democratic judgment is formed: whose experiences are heard, whose claims are treated as politically relevant, and whose vocabulary is politically intelligible.</w:t>
      </w:r>
    </w:p>
    <w:p w14:paraId="218253FF" w14:textId="004AC72D" w:rsidR="00270898" w:rsidRDefault="00270898" w:rsidP="00E451D6">
      <w:pPr>
        <w:rPr>
          <w:b/>
          <w:bCs/>
        </w:rPr>
      </w:pPr>
      <w:r w:rsidRPr="00270898">
        <w:rPr>
          <w:b/>
          <w:bCs/>
        </w:rPr>
        <w:t xml:space="preserve">P5 </w:t>
      </w:r>
      <w:r>
        <w:rPr>
          <w:b/>
          <w:bCs/>
        </w:rPr>
        <w:t>–</w:t>
      </w:r>
    </w:p>
    <w:p w14:paraId="5C61F903" w14:textId="77777777" w:rsidR="008763DC" w:rsidRDefault="00986478" w:rsidP="008763DC">
      <w:pPr>
        <w:spacing w:line="360" w:lineRule="auto"/>
        <w:ind w:firstLine="720"/>
      </w:pPr>
      <w:r>
        <w:t>Carnes and Lupu (2024) call for heightened attention to descriptive representation across various categories</w:t>
      </w:r>
      <w:r w:rsidR="00205AEE">
        <w:t xml:space="preserve"> and their intersection. The expansion of the penal state provides </w:t>
      </w:r>
      <w:r w:rsidR="00205AEE">
        <w:lastRenderedPageBreak/>
        <w:t xml:space="preserve">strong theoretical and empirical reason to treat carceral citizens – those directly incarcerated, under community supervision, and those proximally impacted through family, neighborhood, repeated police contact, and victimization – as a group that fits established criteria for heightened representational relevance. </w:t>
      </w:r>
      <w:r w:rsidR="008763DC">
        <w:t xml:space="preserve">Over the past four decades, the carceral state has grown into one of the most expansive governing institutions in American life, touching nearly 7 million people at any given time and millions more through arrest, surveillance, and conviction (Western 2006; Wildeman &amp; Muller 2012). As Lerman and Weaver argue (2014), carceral contact has become a central, visible point of contact that produces myriad negative and accumulating feedback effects. Confinement, exposure to violence and stress inside facilities, disrupted access to care, and post-release instability generates myriad physical and mental health problems (Massoglia &amp; Pridemore 2015, Lee at al 2014, Johnson &amp; Rapheal 2009); stigma, disrupted earnings, and time out of the work force reduces callback rates, lowers wages, and reduces overall lifetime earnings (Western 2006, Western &amp; Pettit 2005, Pager 2003, 2007). Carceral contact produces housing instability (Geller &amp; Curtis) that, compounded with legal and financial extraction (Harris 2016) maintain financial precarity and generate increased public assistance needs just as carceral contact removes access to public benefits (CITE). </w:t>
      </w:r>
    </w:p>
    <w:p w14:paraId="73071474" w14:textId="359ABF9B" w:rsidR="00986478" w:rsidRDefault="008763DC" w:rsidP="008763DC">
      <w:pPr>
        <w:spacing w:line="360" w:lineRule="auto"/>
        <w:ind w:firstLine="720"/>
      </w:pPr>
      <w:r>
        <w:t xml:space="preserve"> </w:t>
      </w:r>
      <w:r w:rsidRPr="008763DC">
        <w:t>These effects are not confined to those formally incarcerated. The political science, sociological, and economic literatures on collateral consequences document how incarceration reverberates through intimate partners, children, and communities—depressing wealth accumulation, destabilizing housing, disrupting education, eroding health, and weakening social ties (Wakefield &amp; Wildeman 2013; Wildeman &amp; Lee 2021; Brew, Alani, &amp; Wildeman 2022). Nearly one in four Black children will experience parental incarceration before adolescence; millions of women experience incarceration indirectly through partners or sons; and entire neighborhoods cycle residents through surveillance and confinement. Even victims of crime are governed primarily through punitive institutions and encounter the state through carceral channels, placing them within the same governing architecture.</w:t>
      </w:r>
    </w:p>
    <w:p w14:paraId="0246EBBC" w14:textId="77777777" w:rsidR="00AC5462" w:rsidRDefault="00AC5462" w:rsidP="00E451D6"/>
    <w:p w14:paraId="6EE285A0" w14:textId="59EFB2F0" w:rsidR="00986478" w:rsidRPr="00AC5462" w:rsidRDefault="00986478" w:rsidP="00E451D6">
      <w:pPr>
        <w:rPr>
          <w:b/>
          <w:bCs/>
        </w:rPr>
      </w:pPr>
      <w:r w:rsidRPr="00AC5462">
        <w:rPr>
          <w:b/>
          <w:bCs/>
        </w:rPr>
        <w:lastRenderedPageBreak/>
        <w:t>P</w:t>
      </w:r>
      <w:proofErr w:type="gramStart"/>
      <w:r w:rsidRPr="00AC5462">
        <w:rPr>
          <w:b/>
          <w:bCs/>
        </w:rPr>
        <w:t xml:space="preserve">6 </w:t>
      </w:r>
      <w:r w:rsidR="00AC5462">
        <w:rPr>
          <w:b/>
          <w:bCs/>
        </w:rPr>
        <w:t xml:space="preserve"> -</w:t>
      </w:r>
      <w:proofErr w:type="gramEnd"/>
      <w:r w:rsidR="00AC5462">
        <w:rPr>
          <w:b/>
          <w:bCs/>
        </w:rPr>
        <w:t xml:space="preserve"> who they are</w:t>
      </w:r>
    </w:p>
    <w:p w14:paraId="2E46159C" w14:textId="1404E617" w:rsidR="00986478" w:rsidRDefault="00174ED0" w:rsidP="00E451D6">
      <w:r>
        <w:tab/>
        <w:t xml:space="preserve">[Transition reminding of the framework for special groups]. </w:t>
      </w:r>
    </w:p>
    <w:p w14:paraId="42D91AE2" w14:textId="5C93C128" w:rsidR="00205AEE" w:rsidRDefault="00174ED0" w:rsidP="00DF638A">
      <w:pPr>
        <w:spacing w:line="360" w:lineRule="auto"/>
        <w:ind w:firstLine="720"/>
      </w:pPr>
      <w:r>
        <w:t>Moreover, t</w:t>
      </w:r>
      <w:r w:rsidRPr="00174ED0">
        <w:t>he effects of the carceral state are not evenly distributed across the population but are highly concentrated by race, class, age, and place, rendering carceral citizenship a structurally bounded constituency rather than a diffuse condition. Race, age, and class are all highly predictive of being subject to aggressive surveillance and punishment, with Black and Latino Americans—especially young men—vastly more likely to experience policing, arrest, detention, incarceration, and supervision (Gelman, Fagan, and Kiss 2007; Baumgartner, Epp, and Shoub 2018; Davenport, Soule, and Armstrong 2011). More than one quarter of Black men from prison-boom cohorts have been incarcerated, and among Black male high school dropouts born after the mid-1970s, nearly 68 percent have been imprisoned (Western and Pettit 2010). Nearly one in four Black children will experience parental incarceration before age fourteen (Wildeman 2009), and 44 percent of Black women report having an immediate family member incarcerated, compared to 12 percent of white women (Lee et al. 2015). These patterns are layered onto existing class stratification: the nearly two million people incarcerated in the United States are almost uniformly working class and disproportionately Black or Latino/a—groups already least represented in state and federal government (Carnes 2013, 2015, 2018). The “punitive turn” (Wacquant 2009) and mass incarceration thus do not merely reflect preexisting inequality—they compound and institutionalize it. Because incarceration and supervision are spatially clustered, these harms are collective and place-based: the collateral damage to African American communities cannot be captured by aggregating individual effects (Roberts 2004), as neighborhoods saturated by imprisonment</w:t>
      </w:r>
      <w:r>
        <w:t xml:space="preserve"> may</w:t>
      </w:r>
      <w:r w:rsidRPr="00174ED0">
        <w:t xml:space="preserve"> lose political </w:t>
      </w:r>
      <w:r>
        <w:t>power</w:t>
      </w:r>
      <w:r w:rsidRPr="00174ED0">
        <w:t xml:space="preserve">, economic stability, and social capital. </w:t>
      </w:r>
      <w:r>
        <w:t xml:space="preserve">Moreover, these disparities reflect </w:t>
      </w:r>
      <w:r w:rsidRPr="00174ED0">
        <w:t>a broader racialized political culture in which crime coverage privileges white victims and penalizes Black Americans (Dixon and Linz 2000a; Bjornstrom et al. 2011), juries seek mitigating information for white but not Black defendants (Levinson 2007), Black defendants are assumed more culpable and sentenced more harshly (</w:t>
      </w:r>
      <w:proofErr w:type="spellStart"/>
      <w:r w:rsidRPr="00174ED0">
        <w:t>Rehavi</w:t>
      </w:r>
      <w:proofErr w:type="spellEnd"/>
      <w:r w:rsidRPr="00174ED0">
        <w:t xml:space="preserve"> and Starr 2014), and even Black victims are assigned greater responsibility for their own harm </w:t>
      </w:r>
      <w:r w:rsidRPr="00174ED0">
        <w:lastRenderedPageBreak/>
        <w:t>(Donovan 2007; Israel-Trummel and Streeter 2021). Across policy domains—from welfare to policing—race shapes perceptions of deservingness and culpability (</w:t>
      </w:r>
      <w:proofErr w:type="spellStart"/>
      <w:r w:rsidRPr="00174ED0">
        <w:t>Gilens</w:t>
      </w:r>
      <w:proofErr w:type="spellEnd"/>
      <w:r w:rsidRPr="00174ED0">
        <w:t xml:space="preserve"> 1996; Soss et al. 2011; Israel-Trummel 2022), embedding punishment within longstanding narratives that criminalize Blackness (Alexander 2010; Smiley 2017). </w:t>
      </w:r>
      <w:r>
        <w:t xml:space="preserve">Carceral citizenship may in turn be best understood as part </w:t>
      </w:r>
      <w:r w:rsidRPr="00174ED0">
        <w:t>a racialized and spatially concentrated regime of governance that layers carceral exposure atop existing inequalities in representation and political voice</w:t>
      </w:r>
      <w:r>
        <w:t>.</w:t>
      </w:r>
    </w:p>
    <w:p w14:paraId="0264A81E" w14:textId="2250DE70" w:rsidR="00986478" w:rsidRPr="000B30FA" w:rsidRDefault="00986478" w:rsidP="00E451D6">
      <w:pPr>
        <w:rPr>
          <w:b/>
          <w:bCs/>
        </w:rPr>
      </w:pPr>
      <w:r w:rsidRPr="000B30FA">
        <w:rPr>
          <w:b/>
          <w:bCs/>
        </w:rPr>
        <w:t xml:space="preserve">P7 </w:t>
      </w:r>
      <w:r w:rsidR="000B30FA">
        <w:rPr>
          <w:b/>
          <w:bCs/>
        </w:rPr>
        <w:t>– Likely unrepresented</w:t>
      </w:r>
    </w:p>
    <w:p w14:paraId="010909BD" w14:textId="77777777" w:rsidR="005A41B1" w:rsidRDefault="005A41B1" w:rsidP="00E451D6">
      <w:r>
        <w:t>[Mansbridge/framework transition]</w:t>
      </w:r>
    </w:p>
    <w:p w14:paraId="6FA94A45" w14:textId="319786C8" w:rsidR="005A41B1" w:rsidRDefault="005A41B1" w:rsidP="005A41B1">
      <w:pPr>
        <w:spacing w:line="360" w:lineRule="auto"/>
        <w:ind w:firstLine="720"/>
      </w:pPr>
      <w:r>
        <w:t xml:space="preserve">These groups are likely unrepresented in governing institutions. </w:t>
      </w:r>
      <w:r w:rsidRPr="005A41B1">
        <w:t>At the most basic level, millions of Americans are formally excluded from electoral participation. An estimated four million people were excluded from the 2024 elections through de jure disenfranchisement while incarcerated on felony convictions, or while on probation or parole — a figure that does not include the unknown number who fear or mistakenly believe they have been permanently disenfranchised (</w:t>
      </w:r>
      <w:proofErr w:type="spellStart"/>
      <w:r w:rsidRPr="005A41B1">
        <w:t>Uggen</w:t>
      </w:r>
      <w:proofErr w:type="spellEnd"/>
      <w:r w:rsidRPr="005A41B1">
        <w:t xml:space="preserve">, Willen, &amp; Larson 2024). Scholars have demonstrated that these disenfranchisement policies disproportionately target Black political power (Hinton &amp; Cook 2021) and function as a component of mass incarceration's broader distortion of American democracy and racialized social control (Beckett &amp; Western 2001; Simon 2007; Wacquant 2010). Even where the law formally permits participation, the state frequently fails to make participation possible: in September 2024, California's governor vetoed legislation aimed at ending the de facto disenfranchisement of eligible incarcerated voters, who lack any meaningful or systematized means of casting a counted ballot from jail. These Californians comprised the largest share of an estimated 500,000 people nationally who were unconstitutionally kept from participating in the subsequent elections (Wang 2024). Beyond the ballot, prisons and jails impose direct restrictions on the capacities that democratic participation requires — constraining movement, speech, association, and communication through censored mail, restricted phone access, and exclusion from public or legislative forums. These are not incidental features of incarceration; they are constitutive of institutions that, </w:t>
      </w:r>
      <w:r w:rsidRPr="005A41B1">
        <w:lastRenderedPageBreak/>
        <w:t>as Lerman and Weaver (2014) argue, have "broken significantly with the fundamental norms that define democratic institutions" by restricting citizen voice, undermining equality, and insulating state actors from accountability.</w:t>
      </w:r>
    </w:p>
    <w:p w14:paraId="5D05435F" w14:textId="1781E417" w:rsidR="005A41B1" w:rsidRDefault="005A41B1" w:rsidP="005A41B1">
      <w:pPr>
        <w:spacing w:line="360" w:lineRule="auto"/>
        <w:ind w:firstLine="720"/>
      </w:pPr>
      <w:r w:rsidRPr="005A41B1">
        <w:t xml:space="preserve">Contact with criminal justice institutions also generates powerful negative policy </w:t>
      </w:r>
      <w:proofErr w:type="gramStart"/>
      <w:r w:rsidRPr="005A41B1">
        <w:t>feedbacks</w:t>
      </w:r>
      <w:proofErr w:type="gramEnd"/>
      <w:r w:rsidRPr="005A41B1">
        <w:t xml:space="preserve"> that extend democratic exclusion well beyond the prison walls. Lerman and Weaver (2014) demonstrate that carceral contact </w:t>
      </w:r>
      <w:r>
        <w:t>“</w:t>
      </w:r>
      <w:r w:rsidRPr="005A41B1">
        <w:t>produces extreme mistrust of political institutions and public officials,</w:t>
      </w:r>
      <w:r>
        <w:t>”</w:t>
      </w:r>
      <w:r w:rsidRPr="005A41B1">
        <w:t xml:space="preserve"> diminishes citizens</w:t>
      </w:r>
      <w:r>
        <w:t>’</w:t>
      </w:r>
      <w:r w:rsidRPr="005A41B1">
        <w:t xml:space="preserve"> sense that they can influence politics, and teaches them </w:t>
      </w:r>
      <w:r>
        <w:t>“</w:t>
      </w:r>
      <w:r w:rsidRPr="005A41B1">
        <w:t>to stay in the shadows and to be wary of public authority.</w:t>
      </w:r>
      <w:r>
        <w:t>”</w:t>
      </w:r>
      <w:r w:rsidRPr="005A41B1">
        <w:t xml:space="preserve"> Rather than cultivating efficacy or civic incorporation, as benefits-conferring programs may do, the punitive face of the state socializes individuals toward alienation, withdrawal, and redefined expectations of state authority — what Lerman and Weaver term </w:t>
      </w:r>
      <w:r>
        <w:t>“</w:t>
      </w:r>
      <w:r w:rsidRPr="005A41B1">
        <w:t>custodial citizenship.</w:t>
      </w:r>
      <w:r>
        <w:t>”</w:t>
      </w:r>
      <w:r w:rsidRPr="005A41B1">
        <w:t xml:space="preserve"> While scholars have identified important exceptions, particularly in mobilization through proximal contact and perceptions of injustice (Walker 2020; Walker &amp; García-</w:t>
      </w:r>
      <w:proofErr w:type="spellStart"/>
      <w:r w:rsidRPr="005A41B1">
        <w:t>Castañón</w:t>
      </w:r>
      <w:proofErr w:type="spellEnd"/>
      <w:r w:rsidRPr="005A41B1">
        <w:t xml:space="preserve"> 2017; Owens &amp; Walker 2018), the predominant finding is that criminal legal contact depresses political participation across a range of behaviors (Burch 2011; Gerber et al. 2017; </w:t>
      </w:r>
      <w:proofErr w:type="spellStart"/>
      <w:r w:rsidRPr="005A41B1">
        <w:t>Haselswerdt</w:t>
      </w:r>
      <w:proofErr w:type="spellEnd"/>
      <w:r w:rsidRPr="005A41B1">
        <w:t xml:space="preserve"> 2009; Weaver &amp; Lerman 2010; White &amp; Nguyen 2021). </w:t>
      </w:r>
      <w:r>
        <w:t>Like others</w:t>
      </w:r>
      <w:r w:rsidRPr="005A41B1">
        <w:t>, these effects are not confined to those who are or have been incarcerated. They extend to families, social networks, and communities disproportionately targeted by policing and surveillance, where incarceration weakens social ties, collective efficacy, and organizational capacity (White 2019; Burch 2013; Clear 2009)</w:t>
      </w:r>
      <w:r>
        <w:t xml:space="preserve"> – although scholarship increasingly highlights that proximal or community contact or targeting can generate mobilization (</w:t>
      </w:r>
      <w:proofErr w:type="spellStart"/>
      <w:r>
        <w:t>Anoll</w:t>
      </w:r>
      <w:proofErr w:type="spellEnd"/>
      <w:r>
        <w:t>, Walker). Still, t</w:t>
      </w:r>
      <w:r w:rsidRPr="005A41B1">
        <w:t xml:space="preserve">he cumulative result </w:t>
      </w:r>
      <w:r>
        <w:t>may be</w:t>
      </w:r>
      <w:r w:rsidRPr="005A41B1">
        <w:t xml:space="preserve"> that carceral citizens are rendered systematically unlikely to appear in the channels that legislators rely on to perceive and respond to constituencies — voting, organized advocacy, routine constituent contact, or interest group representation — even as they are among those most governed by the state.</w:t>
      </w:r>
    </w:p>
    <w:p w14:paraId="6432999A" w14:textId="77777777" w:rsidR="00790F56" w:rsidRDefault="005A41B1" w:rsidP="005A41B1">
      <w:pPr>
        <w:spacing w:line="360" w:lineRule="auto"/>
        <w:ind w:firstLine="720"/>
      </w:pPr>
      <w:r w:rsidRPr="005A41B1">
        <w:t xml:space="preserve">This combination of formal exclusion, negative policy feedback, and spatially concentrated political suppression maps directly onto the conditions under which descriptive representation is most consequential. Carceral citizens satisfy each of </w:t>
      </w:r>
      <w:r w:rsidRPr="005A41B1">
        <w:lastRenderedPageBreak/>
        <w:t>Mansbridge's criteria: they are proportionally underrepresented relative to their population share; they face historical and ongoing legal exclusion from voting and self-governance; and dominant groups have actively made it difficult for them to represent themselves.</w:t>
      </w:r>
    </w:p>
    <w:p w14:paraId="268DFCF1" w14:textId="7E24B8A1" w:rsidR="005A41B1" w:rsidRDefault="00790F56" w:rsidP="005A41B1">
      <w:pPr>
        <w:spacing w:line="360" w:lineRule="auto"/>
        <w:ind w:firstLine="720"/>
      </w:pPr>
      <w:r>
        <w:t>However, c</w:t>
      </w:r>
      <w:r w:rsidR="005A41B1" w:rsidRPr="005A41B1">
        <w:t xml:space="preserve">ustodial citizenship </w:t>
      </w:r>
      <w:r w:rsidR="005A41B1" w:rsidRPr="005A41B1">
        <w:rPr>
          <w:i/>
          <w:iCs/>
        </w:rPr>
        <w:t>is</w:t>
      </w:r>
      <w:r w:rsidR="005A41B1" w:rsidRPr="005A41B1">
        <w:t xml:space="preserve"> communicative distrust — carceral contact teaches that engagement with the state invites punishment rather than responsiveness, generating precisely the alienation and wariness that Mansbridge argues shared experience can bridge. The social constructions of incarcerated people as unrepentant, unredeemable, and dangerous (Schneider &amp; Ingram 1993; Maltby &amp; Kreitzer 2023) function as challenges to "ability to rule" in Mansbridge's sense — reinforcing the message that such persons are unfit not merely for self-governance but for full citizenship, a message whose disruption requires the visible presence of those who have been so marked. And the exclusion of those most governed by the punitive state from the democratic processes that shape that state constitutes a legitimacy deficit of the kind Mansbridge's fourth context describes: a polity that systematically excludes the people most directly affected by one of its most coercive functions cannot credibly claim that all voices were present in deliberation. </w:t>
      </w:r>
      <w:r>
        <w:t xml:space="preserve">Here, </w:t>
      </w:r>
      <w:r w:rsidR="005A41B1" w:rsidRPr="005A41B1">
        <w:t xml:space="preserve">the absence of </w:t>
      </w:r>
      <w:proofErr w:type="spellStart"/>
      <w:r>
        <w:t>carcertal</w:t>
      </w:r>
      <w:proofErr w:type="spellEnd"/>
      <w:r>
        <w:t xml:space="preserve"> citizens </w:t>
      </w:r>
      <w:r w:rsidR="005A41B1" w:rsidRPr="005A41B1">
        <w:t xml:space="preserve">from </w:t>
      </w:r>
      <w:r>
        <w:t xml:space="preserve">policymaking bodies may </w:t>
      </w:r>
      <w:r w:rsidR="005A41B1" w:rsidRPr="005A41B1">
        <w:t>reflect not a failure of individual ambition but the accumulated weight of institutional barriers, sedimented cultures of exclusion, and persistent bias, that absence is itself an indicator of representational distortion</w:t>
      </w:r>
      <w:r>
        <w:t xml:space="preserve"> (Clayton). </w:t>
      </w:r>
    </w:p>
    <w:p w14:paraId="6AA2DDF1" w14:textId="4E5B18D3" w:rsidR="00790F56" w:rsidRPr="005A41B1" w:rsidRDefault="00790F56" w:rsidP="00790F56">
      <w:pPr>
        <w:spacing w:line="360" w:lineRule="auto"/>
        <w:rPr>
          <w:b/>
          <w:bCs/>
        </w:rPr>
      </w:pPr>
      <w:r>
        <w:rPr>
          <w:b/>
          <w:bCs/>
        </w:rPr>
        <w:t>Transitioning to Expectations</w:t>
      </w:r>
    </w:p>
    <w:p w14:paraId="302D8078" w14:textId="2951E8EA" w:rsidR="005A41B1" w:rsidRPr="005A41B1" w:rsidRDefault="005A41B1" w:rsidP="005A41B1">
      <w:pPr>
        <w:spacing w:line="360" w:lineRule="auto"/>
        <w:ind w:firstLine="720"/>
      </w:pPr>
      <w:r w:rsidRPr="005A41B1">
        <w:t xml:space="preserve">Yet the depth of the representational challenge facing carceral citizens </w:t>
      </w:r>
      <w:r w:rsidR="00790F56">
        <w:t>may exceed</w:t>
      </w:r>
      <w:r w:rsidRPr="005A41B1">
        <w:t xml:space="preserve"> Mansbridge's framework, applied straightforwardl</w:t>
      </w:r>
      <w:r w:rsidR="00790F56">
        <w:t>y</w:t>
      </w:r>
      <w:r w:rsidRPr="005A41B1">
        <w:t xml:space="preserve">. The interests of people impacted by incarceration are not uncrystallized in the sense that no one has thought about them or that they await a political entrepreneur to bring them to the agenda. Communities facing sustained contact with the carceral state have developed rich, internally coherent political knowledge — articulated understandings of state power, shared vocabularies for making sense of punishment and citizenship, what Weaver, Prowse, and Piston (2020) describe as theories of the state "from below." But this knowledge is not granted standing in elite </w:t>
      </w:r>
      <w:r w:rsidRPr="005A41B1">
        <w:lastRenderedPageBreak/>
        <w:t xml:space="preserve">political discourse. It appears uncrystallized because the resonance imperative — the structural incentive for legislators to articulate problems and solutions in terms that cohere with strategically valuable constituencies' existing understandings — gives policymakers no reason to adopt or legitimate the vocabularies through which carceral experiences are understood. Incarcerated people, who cannot vote, face barriers to other forms of political expression, and are racially stigmatized, sit at the bottom of what Pottle (2025) calls the hermeneutic economy of legislative communication. Their knowledge </w:t>
      </w:r>
      <w:r w:rsidR="00790F56">
        <w:t>may be</w:t>
      </w:r>
      <w:r w:rsidRPr="005A41B1">
        <w:t xml:space="preserve"> hermeneutically suppressed: sidelined not because it lacks coherence or political relevance, but because it was already outside a mainstream political vocabulary defined by the epistemic preferences of advantaged constituencies. The result is that even well-intentioned legislators may avoid invoking incarcerated residents as constituents because doing so risks antagonizing moderate white voters — and when they do engage criminal legal reform, they may do so through vocabularies engineered for advantaged audiences, emphasizing efficiency, cost savings, or redemption narratives rather than centering the perspectives of those who have lived inside the system. This is what Pottle terms hollow signaling: symbolic gestures toward reform that coexist with a refusal to integrate the knowledge, experiences, or political claims of directly impacted communities.</w:t>
      </w:r>
    </w:p>
    <w:p w14:paraId="5CA64A0B" w14:textId="2F3D0CF9" w:rsidR="005A41B1" w:rsidRPr="005A41B1" w:rsidRDefault="005A41B1" w:rsidP="005A41B1">
      <w:pPr>
        <w:spacing w:line="360" w:lineRule="auto"/>
        <w:ind w:firstLine="720"/>
      </w:pPr>
      <w:r w:rsidRPr="005A41B1">
        <w:t xml:space="preserve">The testimonial dimension compounds this exclusion. Carceral citizens are not merely absent from political discourse; they are actively constructed as uncredible within it. The same social constructions that mark incarcerated people as undeserving of policy generosity </w:t>
      </w:r>
      <w:r w:rsidR="00790F56">
        <w:t xml:space="preserve">may </w:t>
      </w:r>
      <w:r w:rsidRPr="005A41B1">
        <w:t xml:space="preserve">also mark them as untrustworthy narrators of their own political experience — their testimony about conditions of confinement, about the effects of punishment on families and communities, about what justice requires, is filtered through credibility judgments shaped by the political vocabulary that constructs them as dangerous, deviant, or dishonest. Within the infrastructure of legislative responsiveness, their communications </w:t>
      </w:r>
      <w:r w:rsidR="00790F56">
        <w:t>may not</w:t>
      </w:r>
      <w:r w:rsidRPr="005A41B1">
        <w:t xml:space="preserve"> receive the same epistemic weight as those of strategically valuable constituencies. </w:t>
      </w:r>
      <w:r w:rsidR="00790F56">
        <w:t xml:space="preserve">Moreover, </w:t>
      </w:r>
      <w:r w:rsidRPr="005A41B1">
        <w:t xml:space="preserve">descriptive representatives </w:t>
      </w:r>
      <w:r w:rsidR="00790F56">
        <w:t>may</w:t>
      </w:r>
      <w:r w:rsidRPr="005A41B1">
        <w:t xml:space="preserve"> not </w:t>
      </w:r>
      <w:r w:rsidR="00790F56">
        <w:t>be i</w:t>
      </w:r>
      <w:r w:rsidRPr="005A41B1">
        <w:t xml:space="preserve">mmune to these pressures. Legislators of color, who might be expected to bring experiential proximity to carceral communities, may face even greater pressure toward deracialization and </w:t>
      </w:r>
      <w:r w:rsidRPr="005A41B1">
        <w:lastRenderedPageBreak/>
        <w:t>distancing from stigmatized issues — pressure to signal, implicitly or explicitly, that they will not disrupt the racial hierarchy (Stephens-Dougan 2020). Descriptive congruence does not straightforwardly translate into discursive recognition when the electoral connection itself incentivizes silence about the communities most affected by state punishment. The representational slope for carceral citizens is thus steep not only because they lack electoral power, but because electoral structures distribute epistemic authority in ways that determine whose experiences count as politically relevant knowledge, whose claims are treated as legitimate testimony, and whose vocabulary is politically intelligible — and on each dimension, those most impacted by the carceral state are systematically disadvantaged.</w:t>
      </w:r>
    </w:p>
    <w:p w14:paraId="587381E3" w14:textId="77777777" w:rsidR="005A41B1" w:rsidRDefault="005A41B1" w:rsidP="005A41B1">
      <w:pPr>
        <w:spacing w:line="360" w:lineRule="auto"/>
        <w:ind w:firstLine="720"/>
      </w:pPr>
    </w:p>
    <w:p w14:paraId="5A9ABF06" w14:textId="77777777" w:rsidR="005A41B1" w:rsidRDefault="005A41B1" w:rsidP="005A41B1">
      <w:pPr>
        <w:spacing w:line="360" w:lineRule="auto"/>
        <w:ind w:firstLine="720"/>
      </w:pPr>
    </w:p>
    <w:p w14:paraId="6195B45E" w14:textId="1685A00F" w:rsidR="005A41B1" w:rsidRDefault="008F7450" w:rsidP="005A41B1">
      <w:pPr>
        <w:spacing w:line="360" w:lineRule="auto"/>
        <w:ind w:firstLine="720"/>
      </w:pPr>
      <w:r>
        <w:t>scratch</w:t>
      </w:r>
    </w:p>
    <w:p w14:paraId="14B83D2A" w14:textId="2584B891" w:rsidR="008763DC" w:rsidRDefault="008763DC" w:rsidP="00E451D6">
      <w:r>
        <w:t xml:space="preserve">, the carceral state has become a central point of contact between citizens and their </w:t>
      </w:r>
      <w:proofErr w:type="gramStart"/>
      <w:r>
        <w:t>government, and</w:t>
      </w:r>
      <w:proofErr w:type="gramEnd"/>
      <w:r>
        <w:t xml:space="preserve"> contact with criminal justice institutions “produces extreme mistrust of political institutions and public officials,” diminishes citizens’ sense that they can influence politics, and teaches them “to stay in the shadows and to be wary of public authority.” Carceral contact thus functions as </w:t>
      </w:r>
      <w:proofErr w:type="gramStart"/>
      <w:r>
        <w:t>a negative policy feedback</w:t>
      </w:r>
      <w:proofErr w:type="gramEnd"/>
      <w:r>
        <w:t>: rather than cultivating efficacy or civic incorporation, it generates alienation, withdrawal, and redefined expectations of state authority (Lerman &amp; Weaver 2014).</w:t>
      </w:r>
    </w:p>
    <w:p w14:paraId="0EF2CECB" w14:textId="77777777" w:rsidR="008763DC" w:rsidRDefault="008763DC" w:rsidP="00E451D6"/>
    <w:p w14:paraId="0B60B993" w14:textId="7B0F245C" w:rsidR="000B30FA" w:rsidRDefault="009E1C32" w:rsidP="00E451D6">
      <w:r>
        <w:t>These same institutional features that situate carceral citizens as a distinctive constituency also make them especially likely to be underrepresented or flatly excluded from democratic politics</w:t>
      </w:r>
      <w:r w:rsidR="000B30FA">
        <w:t xml:space="preserve">, as </w:t>
      </w:r>
      <w:r>
        <w:t>criminal justice institutions break “significantly with the fundamental norms that define democratic institutions” (</w:t>
      </w:r>
      <w:r w:rsidR="000B30FA">
        <w:t>Lerman &amp; Weaver 2014</w:t>
      </w:r>
      <w:r>
        <w:t xml:space="preserve">). </w:t>
      </w:r>
      <w:r w:rsidR="000B30FA">
        <w:t xml:space="preserve">Most obviously, whether to punish or rehabilitate, prisons and jails impose restrictions on the politically expression </w:t>
      </w:r>
    </w:p>
    <w:p w14:paraId="333597FA" w14:textId="6C22BAAF" w:rsidR="009E1C32" w:rsidRDefault="009E1C32" w:rsidP="00E451D6">
      <w:r>
        <w:t xml:space="preserve"> restrict political voice, undermine equality, and insulate state actors from accountability. </w:t>
      </w:r>
    </w:p>
    <w:p w14:paraId="5FD4429A" w14:textId="5AB338A9" w:rsidR="009E1C32" w:rsidRDefault="009E1C32" w:rsidP="00E451D6">
      <w:r>
        <w:t xml:space="preserve">Prisons and jails are definitionally repressive institutions: they constrain movement, speech, and bodily autonomy and limit access to the ballot through </w:t>
      </w:r>
      <w:r>
        <w:rPr>
          <w:i/>
          <w:iCs/>
        </w:rPr>
        <w:t>de jure</w:t>
      </w:r>
      <w:r>
        <w:t xml:space="preserve"> and </w:t>
      </w:r>
      <w:r>
        <w:rPr>
          <w:i/>
          <w:iCs/>
        </w:rPr>
        <w:t xml:space="preserve">de facto </w:t>
      </w:r>
      <w:r>
        <w:lastRenderedPageBreak/>
        <w:t xml:space="preserve">disenfranchisement. Moreover, they impose barriers to political expression through restrictions on communication – restricted phone calls and censored mail, association, and participation in public or legislative forums. </w:t>
      </w:r>
    </w:p>
    <w:p w14:paraId="7CDD5F65" w14:textId="52463608" w:rsidR="009E1C32" w:rsidRDefault="009E1C32" w:rsidP="00E451D6">
      <w:r>
        <w:t xml:space="preserve">Beyond formal exclusion, contact produces negative feedback effects. While scholars note exceptions, criminal legal contact socializes </w:t>
      </w:r>
      <w:proofErr w:type="spellStart"/>
      <w:r>
        <w:t>indivdiuals</w:t>
      </w:r>
      <w:proofErr w:type="spellEnd"/>
      <w:r>
        <w:t xml:space="preserve"> and communities to view the state as adversarial and unresponsive, generating mistrust, withdrawal, and avoidance or political engagement. And here too, effects are not confined to those currently incarcerated but rather extend to families, social networks, and communities that are disproportionately targeted by policing and surveillance, where incarceration weakens social ties, collective efficacy, and organizational capacity (). </w:t>
      </w:r>
    </w:p>
    <w:p w14:paraId="4183DB12" w14:textId="0FE401BD" w:rsidR="009E1C32" w:rsidRDefault="009E1C32" w:rsidP="00E451D6">
      <w:r>
        <w:t xml:space="preserve">In turn, carceral citizens are rendered systematically unlikely to appear in the channels that legislators rely on to perceive and respond to constituencies – voting, organized advocacy, routine constituent contact, or interest group representation – even as they are among those most </w:t>
      </w:r>
      <w:proofErr w:type="spellStart"/>
      <w:r>
        <w:t>goverened</w:t>
      </w:r>
      <w:proofErr w:type="spellEnd"/>
      <w:r>
        <w:t xml:space="preserve"> by the state. </w:t>
      </w:r>
    </w:p>
    <w:p w14:paraId="1D098E1D" w14:textId="3A778E2D" w:rsidR="009E1C32" w:rsidRPr="009E1C32" w:rsidRDefault="009E1C32" w:rsidP="00E451D6">
      <w:r>
        <w:t xml:space="preserve">In other words, this combination of repression, negative policy feedback, and spatially concentrated exclusion means that underrepresentation is not incidental but institutionally produced – at risk of rendering carceral citizens invisible while positioning them as most </w:t>
      </w:r>
      <w:r w:rsidR="006F1100">
        <w:t>needing</w:t>
      </w:r>
      <w:r>
        <w:t xml:space="preserve"> of representation and inclusion in decisions about </w:t>
      </w:r>
      <w:r w:rsidR="006F1100">
        <w:t xml:space="preserve">punishment, rights, and social membership. </w:t>
      </w:r>
    </w:p>
    <w:p w14:paraId="00BA18EB" w14:textId="77777777" w:rsidR="00986478" w:rsidRDefault="00986478" w:rsidP="00986478"/>
    <w:p w14:paraId="61EFB80E" w14:textId="77777777" w:rsidR="00816D08" w:rsidRDefault="00816D08" w:rsidP="00986478"/>
    <w:p w14:paraId="0C589C4A" w14:textId="77777777" w:rsidR="00816D08" w:rsidRPr="00816D08" w:rsidRDefault="00816D08" w:rsidP="00816D08">
      <w:pPr>
        <w:pStyle w:val="font-claude-response-body"/>
        <w:spacing w:line="360" w:lineRule="auto"/>
        <w:ind w:firstLine="720"/>
        <w:rPr>
          <w:rFonts w:asciiTheme="minorHAnsi" w:hAnsiTheme="minorHAnsi"/>
        </w:rPr>
      </w:pPr>
      <w:r w:rsidRPr="00816D08">
        <w:rPr>
          <w:rFonts w:asciiTheme="minorHAnsi" w:hAnsiTheme="minorHAnsi"/>
        </w:rPr>
        <w:t>Critically, Pottle demonstrates that descriptive representatives are not immune: legislators of color may face even greater pressure toward deracialization and distancing from stigmatized communities, such that descriptive congruence does not straightforwardly translate into discursive recognition. The communicative distrust Mansbridge identifies is, in this view, not only historical but structurally incentivized — and descriptive presence, while necessary, is not sufficient to overcome it.</w:t>
      </w:r>
    </w:p>
    <w:p w14:paraId="4F911828" w14:textId="77777777" w:rsidR="00816D08" w:rsidRPr="00986478" w:rsidRDefault="00816D08" w:rsidP="00986478"/>
    <w:p w14:paraId="5B2F0552" w14:textId="03760C0A" w:rsidR="00C1170E" w:rsidRDefault="00C1170E" w:rsidP="00C1170E">
      <w:pPr>
        <w:pStyle w:val="Heading2"/>
      </w:pPr>
      <w:r>
        <w:t>Heade</w:t>
      </w:r>
      <w:r w:rsidR="006C16E1">
        <w:t>r: Descriptive Representation XYZ</w:t>
      </w:r>
      <w:bookmarkEnd w:id="8"/>
    </w:p>
    <w:p w14:paraId="6BE872B2" w14:textId="70340BB2" w:rsidR="00963639" w:rsidRPr="00963639" w:rsidRDefault="00963639" w:rsidP="006C16E1">
      <w:r>
        <w:rPr>
          <w:b/>
          <w:bCs/>
        </w:rPr>
        <w:t xml:space="preserve">Paragraph trying to get this to start with descriptive </w:t>
      </w:r>
      <w:commentRangeStart w:id="10"/>
      <w:commentRangeStart w:id="11"/>
      <w:r>
        <w:rPr>
          <w:b/>
          <w:bCs/>
        </w:rPr>
        <w:t>representation</w:t>
      </w:r>
      <w:commentRangeEnd w:id="10"/>
      <w:r>
        <w:rPr>
          <w:rStyle w:val="CommentReference"/>
        </w:rPr>
        <w:commentReference w:id="10"/>
      </w:r>
      <w:commentRangeEnd w:id="11"/>
      <w:r>
        <w:rPr>
          <w:rStyle w:val="CommentReference"/>
        </w:rPr>
        <w:commentReference w:id="11"/>
      </w:r>
      <w:r>
        <w:rPr>
          <w:b/>
          <w:bCs/>
        </w:rPr>
        <w:t>:</w:t>
      </w:r>
    </w:p>
    <w:p w14:paraId="08C9C9AD" w14:textId="48F2CAED" w:rsidR="00872495" w:rsidRDefault="006C16E1" w:rsidP="00963639">
      <w:pPr>
        <w:spacing w:line="360" w:lineRule="auto"/>
        <w:rPr>
          <w:rFonts w:ascii="Times New Roman" w:hAnsi="Times New Roman" w:cs="Times New Roman"/>
        </w:rPr>
      </w:pPr>
      <w:r w:rsidRPr="00872495">
        <w:rPr>
          <w:rFonts w:ascii="Times New Roman" w:hAnsi="Times New Roman" w:cs="Times New Roman"/>
          <w:u w:val="single"/>
        </w:rPr>
        <w:lastRenderedPageBreak/>
        <w:t>Descriptive representation may be particularly important in this case.</w:t>
      </w:r>
      <w:r>
        <w:rPr>
          <w:rFonts w:ascii="Times New Roman" w:hAnsi="Times New Roman" w:cs="Times New Roman"/>
        </w:rPr>
        <w:t xml:space="preserve"> </w:t>
      </w:r>
      <w:r w:rsidR="00A273CB">
        <w:rPr>
          <w:rFonts w:ascii="Times New Roman" w:hAnsi="Times New Roman" w:cs="Times New Roman"/>
        </w:rPr>
        <w:t xml:space="preserve">In general, </w:t>
      </w:r>
      <w:r>
        <w:rPr>
          <w:rFonts w:ascii="Times New Roman" w:hAnsi="Times New Roman" w:cs="Times New Roman"/>
        </w:rPr>
        <w:t>some level of congruence between the makeup of legislatures and constituencies</w:t>
      </w:r>
      <w:r w:rsidR="00963639">
        <w:rPr>
          <w:rFonts w:ascii="Times New Roman" w:hAnsi="Times New Roman" w:cs="Times New Roman"/>
        </w:rPr>
        <w:t xml:space="preserve"> </w:t>
      </w:r>
      <w:r>
        <w:rPr>
          <w:rFonts w:ascii="Times New Roman" w:hAnsi="Times New Roman" w:cs="Times New Roman"/>
        </w:rPr>
        <w:t xml:space="preserve">is </w:t>
      </w:r>
      <w:r w:rsidR="00A273CB">
        <w:rPr>
          <w:rFonts w:ascii="Times New Roman" w:hAnsi="Times New Roman" w:cs="Times New Roman"/>
        </w:rPr>
        <w:t xml:space="preserve">treated as </w:t>
      </w:r>
      <w:r>
        <w:rPr>
          <w:rFonts w:ascii="Times New Roman" w:hAnsi="Times New Roman" w:cs="Times New Roman"/>
        </w:rPr>
        <w:t>normative</w:t>
      </w:r>
      <w:r w:rsidR="00963639">
        <w:rPr>
          <w:rFonts w:ascii="Times New Roman" w:hAnsi="Times New Roman" w:cs="Times New Roman"/>
        </w:rPr>
        <w:t>ly</w:t>
      </w:r>
      <w:r>
        <w:rPr>
          <w:rFonts w:ascii="Times New Roman" w:hAnsi="Times New Roman" w:cs="Times New Roman"/>
        </w:rPr>
        <w:t xml:space="preserve"> important </w:t>
      </w:r>
      <w:r w:rsidR="00A273CB">
        <w:rPr>
          <w:rFonts w:ascii="Times New Roman" w:hAnsi="Times New Roman" w:cs="Times New Roman"/>
        </w:rPr>
        <w:t xml:space="preserve">[ </w:t>
      </w:r>
      <w:r w:rsidR="00A273CB">
        <w:rPr>
          <w:rFonts w:ascii="Times New Roman" w:hAnsi="Times New Roman" w:cs="Times New Roman"/>
          <w:i/>
          <w:iCs/>
        </w:rPr>
        <w:t xml:space="preserve">for </w:t>
      </w:r>
      <w:proofErr w:type="spellStart"/>
      <w:r w:rsidR="00A273CB">
        <w:rPr>
          <w:rFonts w:ascii="Times New Roman" w:hAnsi="Times New Roman" w:cs="Times New Roman"/>
          <w:i/>
          <w:iCs/>
        </w:rPr>
        <w:t>xyz</w:t>
      </w:r>
      <w:proofErr w:type="spellEnd"/>
      <w:r w:rsidR="00A273CB">
        <w:rPr>
          <w:rFonts w:ascii="Times New Roman" w:hAnsi="Times New Roman" w:cs="Times New Roman"/>
          <w:i/>
          <w:iCs/>
        </w:rPr>
        <w:t xml:space="preserve"> </w:t>
      </w:r>
      <w:r w:rsidR="00A273CB" w:rsidRPr="00A273CB">
        <w:rPr>
          <w:rFonts w:ascii="Times New Roman" w:hAnsi="Times New Roman" w:cs="Times New Roman"/>
          <w:i/>
          <w:iCs/>
        </w:rPr>
        <w:t>reasons</w:t>
      </w:r>
      <w:r w:rsidR="009122D1">
        <w:rPr>
          <w:rFonts w:ascii="Times New Roman" w:hAnsi="Times New Roman" w:cs="Times New Roman"/>
          <w:i/>
          <w:iCs/>
        </w:rPr>
        <w:t xml:space="preserve">: policy responsiveness, service responsiveness, and symbolic/constituency-making </w:t>
      </w:r>
      <w:proofErr w:type="gramStart"/>
      <w:r w:rsidR="009122D1">
        <w:rPr>
          <w:rFonts w:ascii="Times New Roman" w:hAnsi="Times New Roman" w:cs="Times New Roman"/>
          <w:i/>
          <w:iCs/>
        </w:rPr>
        <w:t>stuff</w:t>
      </w:r>
      <w:r w:rsidR="00A273CB">
        <w:rPr>
          <w:rFonts w:ascii="Times New Roman" w:hAnsi="Times New Roman" w:cs="Times New Roman"/>
          <w:i/>
          <w:iCs/>
        </w:rPr>
        <w:t xml:space="preserve"> </w:t>
      </w:r>
      <w:r w:rsidR="00A273CB">
        <w:rPr>
          <w:rFonts w:ascii="Times New Roman" w:hAnsi="Times New Roman" w:cs="Times New Roman"/>
        </w:rPr>
        <w:t>]</w:t>
      </w:r>
      <w:proofErr w:type="gramEnd"/>
      <w:r w:rsidR="00A273CB">
        <w:rPr>
          <w:rFonts w:ascii="Times New Roman" w:hAnsi="Times New Roman" w:cs="Times New Roman"/>
        </w:rPr>
        <w:t>. In recognition of this</w:t>
      </w:r>
      <w:r w:rsidR="00872495">
        <w:rPr>
          <w:rFonts w:ascii="Times New Roman" w:hAnsi="Times New Roman" w:cs="Times New Roman"/>
        </w:rPr>
        <w:t>,</w:t>
      </w:r>
      <w:r w:rsidR="00A273CB">
        <w:rPr>
          <w:rFonts w:ascii="Times New Roman" w:hAnsi="Times New Roman" w:cs="Times New Roman"/>
        </w:rPr>
        <w:t xml:space="preserve"> countries like Mexico, France, and Bolivia mandate candidate gender quotas, and in Germany and Norway, for example, parties voluntarily adopt them. </w:t>
      </w:r>
    </w:p>
    <w:p w14:paraId="634B417A" w14:textId="77777777" w:rsidR="00240A6F" w:rsidRDefault="00240A6F" w:rsidP="00963639">
      <w:pPr>
        <w:spacing w:line="360" w:lineRule="auto"/>
        <w:rPr>
          <w:rFonts w:ascii="Times New Roman" w:hAnsi="Times New Roman" w:cs="Times New Roman"/>
        </w:rPr>
      </w:pPr>
    </w:p>
    <w:p w14:paraId="30CD724C" w14:textId="77777777"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Moreover, empirical work has found that legislators [discriminate/are more responsive] – troubling normative theorists as US legislatures are still over-represented by white, white-collar and affluent legislators (). </w:t>
      </w:r>
    </w:p>
    <w:p w14:paraId="54A69FE1" w14:textId="77777777"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Those most impacted by the carceral state or likely to be in prison or jail are not white and affluent: the carceral state disproportionately impacts Black, Hispanic/Latino, and low-income communities. That these groups already bear the historical brunt of political exclusion, to Mansbridge, creates a context where descriptive representation is particularly important (1999).  </w:t>
      </w:r>
    </w:p>
    <w:p w14:paraId="1C137071" w14:textId="5B192CC4"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Mansbridge (1999) and Pitkin (1967) argue legislators can uniquely communicate with and understand needs and interests of constituencies who share their identities. Writes Mansbridge, </w:t>
      </w:r>
      <w:r w:rsidRPr="00240A6F">
        <w:rPr>
          <w:rFonts w:ascii="Times New Roman" w:hAnsi="Times New Roman"/>
        </w:rPr>
        <w:t xml:space="preserve">“the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4AEDB45E" w14:textId="1B58E2AF" w:rsidR="00240A6F" w:rsidRPr="00240A6F" w:rsidRDefault="00240A6F" w:rsidP="00240A6F">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Mansbridge argues that descriptive representation is particularly important under conditions of historical exclusion and unequal political voice (Mansbridge 1999 contingent defense. Descriptive rep should be response to structural inequality - </w:t>
      </w:r>
      <w:proofErr w:type="spellStart"/>
      <w:r w:rsidRPr="00240A6F">
        <w:rPr>
          <w:rFonts w:ascii="Times New Roman" w:hAnsi="Times New Roman" w:cs="Times New Roman"/>
        </w:rPr>
        <w:t>ie</w:t>
      </w:r>
      <w:proofErr w:type="spellEnd"/>
      <w:r w:rsidRPr="00240A6F">
        <w:rPr>
          <w:rFonts w:ascii="Times New Roman" w:hAnsi="Times New Roman" w:cs="Times New Roman"/>
        </w:rPr>
        <w:t xml:space="preserve"> when communication, trust, or recognition is systematically distorted.)</w:t>
      </w:r>
    </w:p>
    <w:p w14:paraId="746ED61E" w14:textId="77777777" w:rsidR="00240A6F" w:rsidRDefault="00240A6F" w:rsidP="00963639">
      <w:pPr>
        <w:spacing w:line="360" w:lineRule="auto"/>
        <w:rPr>
          <w:rFonts w:ascii="Times New Roman" w:hAnsi="Times New Roman" w:cs="Times New Roman"/>
        </w:rPr>
      </w:pPr>
    </w:p>
    <w:p w14:paraId="70A4D4AC" w14:textId="38D69F51" w:rsidR="00872495" w:rsidRPr="00240A6F" w:rsidRDefault="00240A6F" w:rsidP="00963639">
      <w:pPr>
        <w:spacing w:line="360" w:lineRule="auto"/>
        <w:rPr>
          <w:rFonts w:ascii="Times New Roman" w:hAnsi="Times New Roman" w:cs="Times New Roman"/>
          <w:b/>
          <w:bCs/>
        </w:rPr>
      </w:pPr>
      <w:r w:rsidRPr="00240A6F">
        <w:rPr>
          <w:rFonts w:ascii="Times New Roman" w:hAnsi="Times New Roman" w:cs="Times New Roman"/>
          <w:b/>
          <w:bCs/>
        </w:rPr>
        <w:t xml:space="preserve">Paragraph’s laying out </w:t>
      </w:r>
      <w:r w:rsidR="00872495" w:rsidRPr="00240A6F">
        <w:rPr>
          <w:rFonts w:ascii="Times New Roman" w:hAnsi="Times New Roman" w:cs="Times New Roman"/>
          <w:b/>
          <w:bCs/>
        </w:rPr>
        <w:t>implicit roadmap for why this is ultimately about test #3:</w:t>
      </w:r>
    </w:p>
    <w:p w14:paraId="2CD8DEE1" w14:textId="7521B671" w:rsidR="00872495" w:rsidRDefault="00872495" w:rsidP="00872495">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may shape policy responsiveness</w:t>
      </w:r>
    </w:p>
    <w:p w14:paraId="51B57DEA" w14:textId="77777777"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view carceral citizens</w:t>
      </w:r>
    </w:p>
    <w:p w14:paraId="0458CE2B" w14:textId="7D6940BC"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lastRenderedPageBreak/>
        <w:t>How understand problems</w:t>
      </w:r>
    </w:p>
    <w:p w14:paraId="5BECA5C7" w14:textId="5C3EA8BE"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How state/state legitimacy is viewed </w:t>
      </w:r>
      <w:r w:rsidR="009122D1">
        <w:rPr>
          <w:rFonts w:ascii="Times New Roman" w:hAnsi="Times New Roman" w:cs="Times New Roman"/>
        </w:rPr>
        <w:t>/ dual knowledge:</w:t>
      </w:r>
    </w:p>
    <w:p w14:paraId="5F28D627" w14:textId="6D3B517B" w:rsidR="009122D1" w:rsidRDefault="009122D1" w:rsidP="009122D1">
      <w:pPr>
        <w:pStyle w:val="ListParagraph"/>
        <w:numPr>
          <w:ilvl w:val="2"/>
          <w:numId w:val="20"/>
        </w:numPr>
        <w:spacing w:line="360" w:lineRule="auto"/>
        <w:rPr>
          <w:rFonts w:ascii="Times New Roman" w:hAnsi="Times New Roman" w:cs="Times New Roman"/>
        </w:rPr>
      </w:pPr>
      <w:r w:rsidRPr="009122D1">
        <w:rPr>
          <w:rFonts w:ascii="Times New Roman" w:hAnsi="Times New Roman" w:cs="Times New Roman"/>
        </w:rPr>
        <w:t>“Carceral contact produces political knowledge through domination rather than democratic participation” (Weaver, Prowse &amp; Piston 2019),</w:t>
      </w:r>
    </w:p>
    <w:p w14:paraId="7CF5BAF5" w14:textId="02497A47" w:rsidR="00872495" w:rsidRDefault="00872495"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What punitiveness/inequality is tolerated</w:t>
      </w:r>
    </w:p>
    <w:p w14:paraId="78DA1DC6" w14:textId="7F41565D" w:rsidR="00872495" w:rsidRDefault="00872495" w:rsidP="00872495">
      <w:pPr>
        <w:pStyle w:val="ListParagraph"/>
        <w:numPr>
          <w:ilvl w:val="1"/>
          <w:numId w:val="20"/>
        </w:numPr>
        <w:spacing w:line="360" w:lineRule="auto"/>
        <w:rPr>
          <w:rFonts w:ascii="Times New Roman" w:hAnsi="Times New Roman" w:cs="Times New Roman"/>
        </w:rPr>
      </w:pPr>
      <w:r w:rsidRPr="00872495">
        <w:rPr>
          <w:rFonts w:ascii="Times New Roman" w:hAnsi="Times New Roman" w:cs="Times New Roman"/>
        </w:rPr>
        <w:sym w:font="Wingdings" w:char="F0E0"/>
      </w:r>
      <w:r>
        <w:rPr>
          <w:rFonts w:ascii="Times New Roman" w:hAnsi="Times New Roman" w:cs="Times New Roman"/>
        </w:rPr>
        <w:t xml:space="preserve"> the things that </w:t>
      </w:r>
      <w:r w:rsidR="009122D1">
        <w:rPr>
          <w:rFonts w:ascii="Times New Roman" w:hAnsi="Times New Roman" w:cs="Times New Roman"/>
        </w:rPr>
        <w:t xml:space="preserve">can really be understood as epistemic community and </w:t>
      </w:r>
      <w:r w:rsidRPr="00872495">
        <w:rPr>
          <w:rFonts w:ascii="Times New Roman" w:hAnsi="Times New Roman" w:cs="Times New Roman"/>
        </w:rPr>
        <w:sym w:font="Wingdings" w:char="F0E0"/>
      </w:r>
      <w:r>
        <w:rPr>
          <w:rFonts w:ascii="Times New Roman" w:hAnsi="Times New Roman" w:cs="Times New Roman"/>
        </w:rPr>
        <w:t xml:space="preserve"> policy outcomes</w:t>
      </w:r>
    </w:p>
    <w:p w14:paraId="5302C357" w14:textId="42BEFB70" w:rsidR="00872495" w:rsidRDefault="00872495" w:rsidP="00872495">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forms of </w:t>
      </w:r>
      <w:r w:rsidR="009122D1">
        <w:rPr>
          <w:rFonts w:ascii="Times New Roman" w:hAnsi="Times New Roman" w:cs="Times New Roman"/>
        </w:rPr>
        <w:t>service responsiveness</w:t>
      </w:r>
    </w:p>
    <w:p w14:paraId="04FB6E6F" w14:textId="40217917" w:rsidR="00872495"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Many of same reasons as above</w:t>
      </w:r>
    </w:p>
    <w:p w14:paraId="3346A871" w14:textId="6A9C610A" w:rsidR="009122D1"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a legislator has even thought of incarcerated people as constituents </w:t>
      </w:r>
      <w:r w:rsidRPr="009122D1">
        <w:rPr>
          <w:rFonts w:ascii="Times New Roman" w:hAnsi="Times New Roman" w:cs="Times New Roman"/>
        </w:rPr>
        <w:sym w:font="Wingdings" w:char="F0E0"/>
      </w:r>
      <w:r>
        <w:rPr>
          <w:rFonts w:ascii="Times New Roman" w:hAnsi="Times New Roman" w:cs="Times New Roman"/>
        </w:rPr>
        <w:t xml:space="preserve"> treat as constituents</w:t>
      </w:r>
    </w:p>
    <w:p w14:paraId="70791D4A" w14:textId="365E44BA" w:rsidR="009122D1" w:rsidRDefault="009122D1" w:rsidP="00872495">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legislators </w:t>
      </w:r>
    </w:p>
    <w:p w14:paraId="22462595" w14:textId="32F18759" w:rsidR="009122D1" w:rsidRDefault="009122D1" w:rsidP="009122D1">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might shape whether legislator symbolically recognizes carceral constituencies</w:t>
      </w:r>
    </w:p>
    <w:p w14:paraId="5CC33E29" w14:textId="33529DC7" w:rsidR="009122D1" w:rsidRPr="00872495" w:rsidRDefault="009122D1" w:rsidP="009122D1">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w:t>
      </w:r>
      <w:r>
        <w:rPr>
          <w:rFonts w:ascii="Times New Roman" w:hAnsi="Times New Roman" w:cs="Times New Roman"/>
          <w:i/>
          <w:iCs/>
        </w:rPr>
        <w:t>how</w:t>
      </w:r>
      <w:r>
        <w:rPr>
          <w:rFonts w:ascii="Times New Roman" w:hAnsi="Times New Roman" w:cs="Times New Roman"/>
        </w:rPr>
        <w:t xml:space="preserve"> legislator does any/all the above, and whether in ways that are hollow/distancing or centering.</w:t>
      </w:r>
    </w:p>
    <w:p w14:paraId="094B031F" w14:textId="77777777" w:rsidR="00872495" w:rsidRDefault="00872495" w:rsidP="00963639">
      <w:pPr>
        <w:spacing w:line="360" w:lineRule="auto"/>
        <w:rPr>
          <w:rFonts w:ascii="Times New Roman" w:hAnsi="Times New Roman" w:cs="Times New Roman"/>
        </w:rPr>
      </w:pPr>
    </w:p>
    <w:p w14:paraId="0463DFD4" w14:textId="6EA7BC2C" w:rsidR="00240A6F" w:rsidRPr="00240A6F" w:rsidRDefault="006C16E1" w:rsidP="00240A6F">
      <w:pPr>
        <w:spacing w:line="360" w:lineRule="auto"/>
        <w:rPr>
          <w:rFonts w:ascii="Times New Roman" w:hAnsi="Times New Roman" w:cs="Times New Roman"/>
          <w:b/>
          <w:bCs/>
        </w:rPr>
      </w:pPr>
      <w:commentRangeStart w:id="12"/>
      <w:commentRangeStart w:id="13"/>
      <w:commentRangeEnd w:id="12"/>
      <w:r>
        <w:rPr>
          <w:rStyle w:val="CommentReference"/>
        </w:rPr>
        <w:commentReference w:id="12"/>
      </w:r>
      <w:commentRangeEnd w:id="13"/>
      <w:r w:rsidR="00963639">
        <w:rPr>
          <w:rStyle w:val="CommentReference"/>
        </w:rPr>
        <w:commentReference w:id="13"/>
      </w:r>
      <w:r w:rsidR="00240A6F" w:rsidRPr="00240A6F">
        <w:rPr>
          <w:rFonts w:ascii="Times New Roman" w:hAnsi="Times New Roman" w:cs="Times New Roman"/>
          <w:b/>
          <w:bCs/>
        </w:rPr>
        <w:t xml:space="preserve"> </w:t>
      </w:r>
      <w:r w:rsidR="00240A6F">
        <w:rPr>
          <w:rFonts w:ascii="Times New Roman" w:hAnsi="Times New Roman" w:cs="Times New Roman"/>
          <w:b/>
          <w:bCs/>
        </w:rPr>
        <w:t>Then, paragraph on idiots/idiots, proximal impact, surrogate representation</w:t>
      </w:r>
    </w:p>
    <w:p w14:paraId="52EB7BB4" w14:textId="2F53F37C" w:rsidR="009122D1" w:rsidRPr="00774DA6" w:rsidRDefault="00774DA6" w:rsidP="009122D1">
      <w:r w:rsidRPr="00774DA6">
        <w:t>First</w:t>
      </w:r>
    </w:p>
    <w:p w14:paraId="69B94A6C" w14:textId="14E27D5E" w:rsidR="00774DA6" w:rsidRDefault="00774DA6" w:rsidP="00774DA6">
      <w:pPr>
        <w:pStyle w:val="ListParagraph"/>
        <w:numPr>
          <w:ilvl w:val="0"/>
          <w:numId w:val="22"/>
        </w:numPr>
      </w:pPr>
      <w:r>
        <w:t>Idiots/idiots</w:t>
      </w:r>
    </w:p>
    <w:p w14:paraId="4C31FD0A" w14:textId="44C4EE94" w:rsidR="00774DA6" w:rsidRDefault="00774DA6" w:rsidP="00774DA6">
      <w:pPr>
        <w:pStyle w:val="ListParagraph"/>
        <w:numPr>
          <w:ilvl w:val="0"/>
          <w:numId w:val="22"/>
        </w:numPr>
      </w:pPr>
      <w:r>
        <w:t>Also reasons we should not expect many folks with convictions</w:t>
      </w:r>
    </w:p>
    <w:p w14:paraId="7E451E5E" w14:textId="7C10F4AB" w:rsidR="00774DA6" w:rsidRDefault="00774DA6" w:rsidP="00774DA6">
      <w:pPr>
        <w:pStyle w:val="ListParagraph"/>
        <w:numPr>
          <w:ilvl w:val="0"/>
          <w:numId w:val="22"/>
        </w:numPr>
      </w:pPr>
      <w:proofErr w:type="gramStart"/>
      <w:r>
        <w:t>Thus</w:t>
      </w:r>
      <w:proofErr w:type="gramEnd"/>
      <w:r>
        <w:t xml:space="preserve"> considering legislators who have been proximally impacted important </w:t>
      </w:r>
    </w:p>
    <w:p w14:paraId="1CA44759" w14:textId="28D75536" w:rsidR="00774DA6" w:rsidRDefault="00774DA6" w:rsidP="00774DA6">
      <w:r>
        <w:t>Second</w:t>
      </w:r>
    </w:p>
    <w:p w14:paraId="0905EA04" w14:textId="45C7B759" w:rsidR="00F759F4" w:rsidRDefault="00774DA6" w:rsidP="00774DA6">
      <w:pPr>
        <w:pStyle w:val="ListParagraph"/>
        <w:numPr>
          <w:ilvl w:val="0"/>
          <w:numId w:val="22"/>
        </w:numPr>
      </w:pPr>
      <w:r>
        <w:t xml:space="preserve">Moreover, </w:t>
      </w:r>
      <w:commentRangeStart w:id="14"/>
      <w:r w:rsidR="00F759F4">
        <w:t>Kristina Miler () shows that in Congress, “surrogate” representation for poor constituencies</w:t>
      </w:r>
      <w:commentRangeEnd w:id="14"/>
      <w:r w:rsidR="00876A4C">
        <w:rPr>
          <w:rStyle w:val="CommentReference"/>
        </w:rPr>
        <w:commentReference w:id="14"/>
      </w:r>
    </w:p>
    <w:p w14:paraId="0CD045DD" w14:textId="1BDB4076" w:rsidR="000223F2" w:rsidRDefault="00806BEF" w:rsidP="00774DA6">
      <w:pPr>
        <w:pStyle w:val="ListParagraph"/>
        <w:numPr>
          <w:ilvl w:val="0"/>
          <w:numId w:val="2"/>
        </w:numPr>
      </w:pPr>
      <w:r>
        <w:t xml:space="preserve">Legislators themselves not one identity and concentric circles/counter-constituencies </w:t>
      </w:r>
      <w:r>
        <w:sym w:font="Wingdings" w:char="F0E0"/>
      </w:r>
      <w:r>
        <w:t xml:space="preserve">  </w:t>
      </w:r>
    </w:p>
    <w:p w14:paraId="5C703F79" w14:textId="77777777" w:rsidR="000A76EF" w:rsidRDefault="000A76EF" w:rsidP="000A76EF">
      <w:pPr>
        <w:jc w:val="both"/>
      </w:pPr>
    </w:p>
    <w:p w14:paraId="773CD495" w14:textId="32B0B09F" w:rsidR="000A76EF" w:rsidRDefault="00A34739" w:rsidP="00D30FC8">
      <w:pPr>
        <w:pStyle w:val="Heading2"/>
      </w:pPr>
      <w:bookmarkStart w:id="15" w:name="_Toc220591736"/>
      <w:r>
        <w:lastRenderedPageBreak/>
        <w:t>Section Header, Maybe Representation Beyond Responsiveness</w:t>
      </w:r>
      <w:bookmarkEnd w:id="15"/>
    </w:p>
    <w:p w14:paraId="1E9CAAC2" w14:textId="780A9FCB" w:rsidR="003D04AB" w:rsidRDefault="00E82284" w:rsidP="000A76EF">
      <w:pPr>
        <w:jc w:val="both"/>
      </w:pPr>
      <w:r>
        <w:t xml:space="preserve">However, political scientists have long recognized that representation </w:t>
      </w:r>
      <w:proofErr w:type="spellStart"/>
      <w:r>
        <w:t>encompases</w:t>
      </w:r>
      <w:proofErr w:type="spellEnd"/>
      <w:r>
        <w:t xml:space="preserve"> more than congruence between constituent preference and legislators’ roll-call votes. [</w:t>
      </w:r>
      <w:r>
        <w:rPr>
          <w:i/>
          <w:iCs/>
        </w:rPr>
        <w:t xml:space="preserve">maybe something that instead more directly transitions with Disch, or assumption undergirding descriptive – substantive connection?] </w:t>
      </w:r>
      <w:r>
        <w:t>Representatives actively construct meaning about constituency groups (Schneider and Ingram 1993), interact with groups in ways that shape whom they perceive as politically relevant and in turn communicate attentiveness and concern to publics through rhetoric, presence, and performance (</w:t>
      </w:r>
      <w:proofErr w:type="spellStart"/>
      <w:r>
        <w:t>Fenno</w:t>
      </w:r>
      <w:proofErr w:type="spellEnd"/>
      <w:r>
        <w:t xml:space="preserve"> 1978). </w:t>
      </w:r>
      <w:r w:rsidR="00B4437D">
        <w:t>Representation</w:t>
      </w:r>
      <w:r>
        <w:t xml:space="preserve"> is thus constituted by communicative practices – symbolic representation – that signal who belongs within the representative’s imagined constituency, “create a sense of trust and support in the relationship between representative and represented (Eulau &amp; </w:t>
      </w:r>
      <w:proofErr w:type="spellStart"/>
      <w:r>
        <w:t>Kaprs</w:t>
      </w:r>
      <w:proofErr w:type="spellEnd"/>
      <w:r>
        <w:t xml:space="preserve"> 1997 p. 241). </w:t>
      </w:r>
      <w:r w:rsidR="006C0245">
        <w:t>These a</w:t>
      </w:r>
      <w:r>
        <w:t xml:space="preserve">cts of symbolic representation   </w:t>
      </w:r>
      <w:r w:rsidR="006C0245">
        <w:t xml:space="preserve">- coupled with service responsiveness and policy responsiveness – are part of how representatives can establish bounds of political membership and determine constituency groups and shape their interests (Disch 2011, Saward 2010). </w:t>
      </w:r>
    </w:p>
    <w:p w14:paraId="3ED33638" w14:textId="09280232" w:rsidR="006C0245" w:rsidRDefault="006C0245" w:rsidP="006C0245">
      <w:pPr>
        <w:pStyle w:val="Heading2"/>
      </w:pPr>
      <w:bookmarkStart w:id="16" w:name="_Toc220591737"/>
      <w:r>
        <w:t>Section Header, What We Know about Symbolic Representation</w:t>
      </w:r>
      <w:bookmarkEnd w:id="16"/>
    </w:p>
    <w:p w14:paraId="2785512F" w14:textId="77777777" w:rsidR="006C0245" w:rsidRDefault="006C0245" w:rsidP="000A76EF">
      <w:pPr>
        <w:jc w:val="both"/>
      </w:pPr>
    </w:p>
    <w:p w14:paraId="315D90C1" w14:textId="0D904CD3" w:rsidR="000A76EF" w:rsidRPr="001B48DC" w:rsidRDefault="00A56C15" w:rsidP="00A56C15">
      <w:pPr>
        <w:pStyle w:val="Heading1"/>
      </w:pPr>
      <w:bookmarkStart w:id="17" w:name="_Toc220591738"/>
      <w:r>
        <w:t xml:space="preserve">III. </w:t>
      </w:r>
      <w:r w:rsidR="001B48DC" w:rsidRPr="001B48DC">
        <w:t>Test 1</w:t>
      </w:r>
      <w:r>
        <w:t>: CJ-Impacted vs. Weird Publics and Criminal Legal Policy Preferences</w:t>
      </w:r>
      <w:bookmarkEnd w:id="17"/>
    </w:p>
    <w:p w14:paraId="1346C527" w14:textId="6437A90E" w:rsidR="001B48DC" w:rsidRDefault="00A56C15" w:rsidP="00A56C15">
      <w:pPr>
        <w:pStyle w:val="Heading2"/>
      </w:pPr>
      <w:bookmarkStart w:id="18" w:name="_Toc220591739"/>
      <w:r>
        <w:t>3.1 (Theory) Policy Feedback, Experience, and Political Reasoning</w:t>
      </w:r>
      <w:bookmarkEnd w:id="18"/>
      <w:r>
        <w:t xml:space="preserve"> </w:t>
      </w:r>
    </w:p>
    <w:p w14:paraId="261CC03C" w14:textId="2A27FECA" w:rsidR="00B4437D" w:rsidRDefault="00B4437D" w:rsidP="00A56C15">
      <w:pPr>
        <w:pStyle w:val="ListParagraph"/>
        <w:numPr>
          <w:ilvl w:val="0"/>
          <w:numId w:val="10"/>
        </w:numPr>
      </w:pPr>
      <w:r>
        <w:rPr>
          <w:i/>
          <w:iCs/>
        </w:rPr>
        <w:t>Repurpose/revise existing theory section from prelim</w:t>
      </w:r>
    </w:p>
    <w:p w14:paraId="7AE897CB" w14:textId="4AA13937" w:rsidR="00A56C15" w:rsidRDefault="00A56C15" w:rsidP="00A56C15">
      <w:pPr>
        <w:pStyle w:val="ListParagraph"/>
        <w:numPr>
          <w:ilvl w:val="0"/>
          <w:numId w:val="10"/>
        </w:numPr>
      </w:pPr>
      <w:r>
        <w:t>Weaver, Soss, Michener</w:t>
      </w:r>
    </w:p>
    <w:p w14:paraId="41FC3123" w14:textId="7E49A6B2" w:rsidR="00A56C15" w:rsidRDefault="00A56C15" w:rsidP="00A56C15">
      <w:pPr>
        <w:pStyle w:val="ListParagraph"/>
        <w:numPr>
          <w:ilvl w:val="0"/>
          <w:numId w:val="10"/>
        </w:numPr>
      </w:pPr>
      <w:r>
        <w:t>Contact, proximity, experience</w:t>
      </w:r>
    </w:p>
    <w:p w14:paraId="3DF1A439" w14:textId="2F9C8C4C" w:rsidR="00A56C15" w:rsidRPr="00A56C15" w:rsidRDefault="006C0245" w:rsidP="00A56C15">
      <w:pPr>
        <w:pStyle w:val="ListParagraph"/>
        <w:numPr>
          <w:ilvl w:val="0"/>
          <w:numId w:val="10"/>
        </w:numPr>
      </w:pPr>
      <w:r>
        <w:t>Deservingness</w:t>
      </w:r>
      <w:r w:rsidR="00A56C15">
        <w:t>/stigma</w:t>
      </w:r>
    </w:p>
    <w:p w14:paraId="45664B20" w14:textId="6061E870" w:rsidR="001B48DC" w:rsidRDefault="00A56C15" w:rsidP="00A56C15">
      <w:pPr>
        <w:pStyle w:val="Heading2"/>
      </w:pPr>
      <w:bookmarkStart w:id="19" w:name="_Toc220591740"/>
      <w:r>
        <w:t>3.2 (Theory) Experience as Political Knowledge</w:t>
      </w:r>
      <w:bookmarkEnd w:id="19"/>
      <w:r w:rsidR="00B4437D">
        <w:t xml:space="preserve"> </w:t>
      </w:r>
    </w:p>
    <w:p w14:paraId="69A1F3FF" w14:textId="61A0A494" w:rsidR="00B4437D" w:rsidRDefault="00B4437D" w:rsidP="00816D52">
      <w:pPr>
        <w:pStyle w:val="ListParagraph"/>
        <w:numPr>
          <w:ilvl w:val="0"/>
          <w:numId w:val="14"/>
        </w:numPr>
      </w:pPr>
      <w:r>
        <w:rPr>
          <w:i/>
          <w:iCs/>
        </w:rPr>
        <w:t>Ideally add in:</w:t>
      </w:r>
    </w:p>
    <w:p w14:paraId="3C4FF633" w14:textId="271EF4CC" w:rsidR="00816D52" w:rsidRDefault="00816D52" w:rsidP="00816D52">
      <w:pPr>
        <w:pStyle w:val="ListParagraph"/>
        <w:numPr>
          <w:ilvl w:val="0"/>
          <w:numId w:val="14"/>
        </w:numPr>
      </w:pPr>
      <w:r>
        <w:t xml:space="preserve">Weaver – not just distinct policy </w:t>
      </w:r>
      <w:proofErr w:type="spellStart"/>
      <w:r>
        <w:t>prefs</w:t>
      </w:r>
      <w:proofErr w:type="spellEnd"/>
      <w:r>
        <w:t xml:space="preserve"> or reasoning processes, but ways of knowing and knowledge of govt’s real versus hidden rules</w:t>
      </w:r>
    </w:p>
    <w:p w14:paraId="0E76A0A5" w14:textId="08CC4C0B" w:rsidR="00816D52" w:rsidRPr="00816D52" w:rsidRDefault="00816D52" w:rsidP="00816D52">
      <w:pPr>
        <w:pStyle w:val="ListParagraph"/>
        <w:numPr>
          <w:ilvl w:val="0"/>
          <w:numId w:val="14"/>
        </w:numPr>
      </w:pPr>
      <w:r>
        <w:t>Introduce as epistemic</w:t>
      </w:r>
    </w:p>
    <w:p w14:paraId="16705F7F" w14:textId="1E08B6F7" w:rsidR="00A56C15" w:rsidRDefault="00A56C15" w:rsidP="00A56C15">
      <w:pPr>
        <w:pStyle w:val="Heading2"/>
      </w:pPr>
      <w:bookmarkStart w:id="20" w:name="_Toc220591741"/>
      <w:r>
        <w:lastRenderedPageBreak/>
        <w:t>3.3 (Hypotheses/Expectations)</w:t>
      </w:r>
      <w:bookmarkEnd w:id="20"/>
    </w:p>
    <w:p w14:paraId="2A216853" w14:textId="7282B5C1" w:rsidR="00A56C15" w:rsidRPr="00A56C15" w:rsidRDefault="00A56C15" w:rsidP="00B56A00">
      <w:pPr>
        <w:pStyle w:val="Heading2"/>
      </w:pPr>
      <w:bookmarkStart w:id="21" w:name="_Toc220591742"/>
      <w:r>
        <w:t>3..4 (Data</w:t>
      </w:r>
      <w:r w:rsidR="00B56A00">
        <w:t>/Design)</w:t>
      </w:r>
      <w:bookmarkEnd w:id="21"/>
    </w:p>
    <w:p w14:paraId="03FAFA55" w14:textId="6C61D0FF" w:rsidR="001B48DC" w:rsidRPr="001B48DC" w:rsidRDefault="00A56C15" w:rsidP="00A56C15">
      <w:pPr>
        <w:pStyle w:val="Heading1"/>
      </w:pPr>
      <w:bookmarkStart w:id="22" w:name="_Toc220591743"/>
      <w:r>
        <w:t xml:space="preserve">IV. </w:t>
      </w:r>
      <w:r w:rsidR="001B48DC" w:rsidRPr="001B48DC">
        <w:t>Test 2</w:t>
      </w:r>
      <w:r>
        <w:t>: Descriptive and Substantive Representation of Carceral Constituencies</w:t>
      </w:r>
      <w:bookmarkEnd w:id="22"/>
    </w:p>
    <w:p w14:paraId="10924C90" w14:textId="2E15643C" w:rsidR="00B56A00" w:rsidRDefault="00B56A00" w:rsidP="00B56A00">
      <w:pPr>
        <w:pStyle w:val="Heading2"/>
      </w:pPr>
      <w:bookmarkStart w:id="23" w:name="_Toc220591744"/>
      <w:r>
        <w:t>4.1 (Theory) Do We Care Who Our Legislators Are?</w:t>
      </w:r>
      <w:bookmarkEnd w:id="23"/>
    </w:p>
    <w:p w14:paraId="75BD1671" w14:textId="6295DC66" w:rsidR="00B56A00" w:rsidRDefault="00B56A00" w:rsidP="00B56A00">
      <w:pPr>
        <w:pStyle w:val="ListParagraph"/>
        <w:numPr>
          <w:ilvl w:val="0"/>
          <w:numId w:val="10"/>
        </w:numPr>
      </w:pPr>
      <w:r>
        <w:t xml:space="preserve">Descriptive rep – why </w:t>
      </w:r>
      <w:r w:rsidR="00E2726F">
        <w:t xml:space="preserve">it </w:t>
      </w:r>
      <w:r>
        <w:t>theoretically maters</w:t>
      </w:r>
    </w:p>
    <w:p w14:paraId="4585F101" w14:textId="217C1635" w:rsidR="00B56A00" w:rsidRDefault="00B56A00" w:rsidP="00B56A00">
      <w:pPr>
        <w:pStyle w:val="ListParagraph"/>
        <w:numPr>
          <w:ilvl w:val="0"/>
          <w:numId w:val="10"/>
        </w:numPr>
      </w:pPr>
      <w:r>
        <w:t>What descriptive rep scholars have studied</w:t>
      </w:r>
    </w:p>
    <w:p w14:paraId="551895AC" w14:textId="0726CD67" w:rsidR="00B56A00" w:rsidRDefault="00B56A00" w:rsidP="00B56A00">
      <w:pPr>
        <w:pStyle w:val="ListParagraph"/>
        <w:numPr>
          <w:ilvl w:val="0"/>
          <w:numId w:val="10"/>
        </w:numPr>
      </w:pPr>
      <w:r>
        <w:t>Why experience is also relevant</w:t>
      </w:r>
    </w:p>
    <w:p w14:paraId="54DF38E9" w14:textId="4A4AA94F" w:rsidR="00B56A00" w:rsidRDefault="00B56A00" w:rsidP="00B56A00">
      <w:pPr>
        <w:pStyle w:val="ListParagraph"/>
        <w:numPr>
          <w:ilvl w:val="0"/>
          <w:numId w:val="10"/>
        </w:numPr>
      </w:pPr>
      <w:r>
        <w:t>Why experience is also potentially especially relevant here</w:t>
      </w:r>
    </w:p>
    <w:p w14:paraId="5201E087" w14:textId="77777777" w:rsidR="00B56A00" w:rsidRPr="00A56C15" w:rsidRDefault="00B56A00" w:rsidP="00B56A00">
      <w:pPr>
        <w:pStyle w:val="ListParagraph"/>
        <w:ind w:left="1440"/>
      </w:pPr>
    </w:p>
    <w:p w14:paraId="7212DAE5" w14:textId="39754870" w:rsidR="00B56A00" w:rsidRDefault="00B56A00" w:rsidP="00B56A00">
      <w:pPr>
        <w:pStyle w:val="Heading2"/>
      </w:pPr>
      <w:bookmarkStart w:id="24" w:name="_Toc220591745"/>
      <w:r>
        <w:t>4.2 (Theory) Expectations About Experience</w:t>
      </w:r>
      <w:bookmarkEnd w:id="24"/>
    </w:p>
    <w:p w14:paraId="2749C48F" w14:textId="77777777" w:rsidR="00B56A00" w:rsidRDefault="00B56A00" w:rsidP="00B56A00">
      <w:pPr>
        <w:pStyle w:val="ListParagraph"/>
        <w:numPr>
          <w:ilvl w:val="0"/>
          <w:numId w:val="10"/>
        </w:numPr>
      </w:pPr>
      <w:r>
        <w:t>State of descriptive rep maybe here</w:t>
      </w:r>
    </w:p>
    <w:p w14:paraId="12A0616B" w14:textId="05005257" w:rsidR="00B56A00" w:rsidRDefault="00B56A00" w:rsidP="00B56A00">
      <w:pPr>
        <w:pStyle w:val="ListParagraph"/>
        <w:numPr>
          <w:ilvl w:val="0"/>
          <w:numId w:val="10"/>
        </w:numPr>
      </w:pPr>
      <w:r>
        <w:t>Who is likely not present / why would expect legislators to be rare</w:t>
      </w:r>
    </w:p>
    <w:p w14:paraId="1CC387FE" w14:textId="4B7A2EA0" w:rsidR="00B56A00" w:rsidRDefault="00B56A00" w:rsidP="00B56A00">
      <w:pPr>
        <w:pStyle w:val="ListParagraph"/>
        <w:numPr>
          <w:ilvl w:val="0"/>
          <w:numId w:val="10"/>
        </w:numPr>
      </w:pPr>
      <w:r>
        <w:t xml:space="preserve">[“returning to the Mansbridge quoting the other guy famous </w:t>
      </w:r>
      <w:proofErr w:type="gramStart"/>
      <w:r>
        <w:t>question”…</w:t>
      </w:r>
      <w:proofErr w:type="gramEnd"/>
      <w:r>
        <w:t>proxies, or representation by people with proximate impact, also important because:</w:t>
      </w:r>
    </w:p>
    <w:p w14:paraId="3955488E" w14:textId="45D58AEF" w:rsidR="00B56A00" w:rsidRDefault="00B56A00" w:rsidP="00B56A00">
      <w:pPr>
        <w:pStyle w:val="ListParagraph"/>
        <w:numPr>
          <w:ilvl w:val="1"/>
          <w:numId w:val="10"/>
        </w:numPr>
      </w:pPr>
      <w:r>
        <w:t>While incarcerated people can file paperwork to run for office, they practically can’t</w:t>
      </w:r>
    </w:p>
    <w:p w14:paraId="26030E49" w14:textId="5D65430B" w:rsidR="00B56A00" w:rsidRDefault="00B56A00" w:rsidP="00B56A00">
      <w:pPr>
        <w:pStyle w:val="ListParagraph"/>
        <w:numPr>
          <w:ilvl w:val="1"/>
          <w:numId w:val="10"/>
        </w:numPr>
      </w:pPr>
      <w:r>
        <w:t>Refuse to engage any “inherent type” (TW: people suggesting incarcerated ppl who want to vote are trying to do something devious)</w:t>
      </w:r>
    </w:p>
    <w:p w14:paraId="299A200D" w14:textId="50450550" w:rsidR="00B56A00" w:rsidRDefault="00B56A00" w:rsidP="00B56A00">
      <w:pPr>
        <w:pStyle w:val="ListParagraph"/>
        <w:numPr>
          <w:ilvl w:val="1"/>
          <w:numId w:val="10"/>
        </w:numPr>
      </w:pPr>
      <w:r>
        <w:t xml:space="preserve">Still, in the world as it is </w:t>
      </w:r>
      <w:proofErr w:type="gramStart"/>
      <w:r>
        <w:t>its</w:t>
      </w:r>
      <w:proofErr w:type="gramEnd"/>
      <w:r>
        <w:t xml:space="preserve"> true that having committed or been convicted of a crime could be a barrier to election</w:t>
      </w:r>
    </w:p>
    <w:p w14:paraId="2ABA37CD" w14:textId="64D95DB4" w:rsidR="00B56A00" w:rsidRDefault="00B56A00" w:rsidP="00B56A00">
      <w:pPr>
        <w:pStyle w:val="ListParagraph"/>
        <w:numPr>
          <w:ilvl w:val="1"/>
          <w:numId w:val="10"/>
        </w:numPr>
      </w:pPr>
      <w:r>
        <w:t>Thus, assuming we’ve just seen that people who are proximally impacted think more like people who’ve been down than weirdos, these folks become important.</w:t>
      </w:r>
    </w:p>
    <w:p w14:paraId="0E0675F6" w14:textId="58A6CDFA" w:rsidR="00271D07" w:rsidRPr="00271D07" w:rsidRDefault="00271D07" w:rsidP="00271D07">
      <w:pPr>
        <w:rPr>
          <w:b/>
          <w:bCs/>
          <w:i/>
          <w:iCs/>
        </w:rPr>
      </w:pPr>
      <w:r w:rsidRPr="00271D07">
        <w:rPr>
          <w:b/>
          <w:bCs/>
          <w:i/>
          <w:iCs/>
        </w:rPr>
        <w:t>Scratch from earlier theory for this 4.1 and 4.2 theory</w:t>
      </w:r>
    </w:p>
    <w:p w14:paraId="1A2AE2E6" w14:textId="77777777" w:rsidR="00271D07" w:rsidRDefault="00271D07" w:rsidP="00271D07">
      <w:pPr>
        <w:ind w:left="720"/>
      </w:pPr>
      <w:r>
        <w:t xml:space="preserve">In political science, debates about how legislators should translate constituent interests into action date back to Burke. Ideas about delegate vs trustee vs politico all contend that constituents – either their preferences or their interests – are to be included in some way via elected representatives. </w:t>
      </w:r>
    </w:p>
    <w:p w14:paraId="7A4F5044" w14:textId="77777777" w:rsidR="00271D07" w:rsidRDefault="00271D07" w:rsidP="00271D07">
      <w:pPr>
        <w:ind w:left="720"/>
      </w:pPr>
      <w:r>
        <w:lastRenderedPageBreak/>
        <w:t>[^something better, -&gt; smoother transition]</w:t>
      </w:r>
    </w:p>
    <w:p w14:paraId="4FC7422E" w14:textId="77777777" w:rsidR="00271D07" w:rsidRDefault="00271D07" w:rsidP="00271D07">
      <w:pPr>
        <w:ind w:left="720"/>
      </w:pPr>
      <w:r>
        <w:t xml:space="preserve">But since Burke, legislatures constructed via explicit </w:t>
      </w:r>
      <w:r>
        <w:rPr>
          <w:i/>
          <w:iCs/>
        </w:rPr>
        <w:t>de jure</w:t>
      </w:r>
      <w:r>
        <w:t xml:space="preserve"> political exclusion and constituted exclusively by the white gentry have been deemed intolerable. In pursuit of representational equality in ends, rather than means only, some countries like France, Mexico, and Bolivia to implement gender candidate quotas, and parties in others like German, Norway, and Sweden to adopt quotas voluntarily. </w:t>
      </w:r>
    </w:p>
    <w:p w14:paraId="2A42B3C2" w14:textId="77777777" w:rsidR="00271D07" w:rsidRPr="00AA79AA" w:rsidRDefault="00271D07" w:rsidP="00271D07">
      <w:pPr>
        <w:ind w:left="720"/>
        <w:rPr>
          <w:b/>
          <w:bCs/>
        </w:rPr>
      </w:pPr>
      <w:r>
        <w:rPr>
          <w:b/>
          <w:bCs/>
        </w:rPr>
        <w:t xml:space="preserve">Paragraph on what is known about state of descriptive rep: </w:t>
      </w:r>
    </w:p>
    <w:p w14:paraId="5BF6D32C" w14:textId="77777777" w:rsidR="00271D07" w:rsidRDefault="00271D07" w:rsidP="00271D07">
      <w:pPr>
        <w:ind w:left="720"/>
      </w:pPr>
      <w:r>
        <w:t xml:space="preserve">In the US, such matters prompted an interest among political scientists in understanding who legislators are – primarily their race, gender, and socioeconomic background (Carnes, Clark &amp; Hansen). [Skipping over structures that -&gt; state of descriptive rep]. Despite gains since the passage of the Voting Rights Act, descriptive representation in the US remains substantially below proportional levels across race, ethnicity, gender, and socioeconomic background (). Congress and state legislatures continue to underrepresent Black, Latino, and working-class Americans, particularly in leadership positions that correspond with political resources. </w:t>
      </w:r>
      <w:proofErr w:type="spellStart"/>
      <w:r>
        <w:t>Electeds</w:t>
      </w:r>
      <w:proofErr w:type="spellEnd"/>
      <w:r>
        <w:t xml:space="preserve"> are overwhelmingly wealthier and more likely to come from white-collar professions than the populations they represent – legislators from working-class backgrounds are especially unrepresented given their relative share of the labor force (Carnes). While early scholarship on descriptive representation noted linear relationships between district demographics and minority representation, more recent work shows that these relationships are conditional and often constrained by institutional and political dynamics including “racial threat,” party gatekeeping, and limits on majority minority districting (Shah, Clark, …). Often attributed to [nod to structural?], demographic change alone in the US does not produce proportional descriptive representation. This is particularly so in state legislatures, where policies domains - like that of the carceral state – which disproportionately affect marginalized communities are </w:t>
      </w:r>
      <w:commentRangeStart w:id="25"/>
      <w:commentRangeStart w:id="26"/>
      <w:commentRangeStart w:id="27"/>
      <w:r>
        <w:t>governed</w:t>
      </w:r>
      <w:commentRangeEnd w:id="25"/>
      <w:r>
        <w:rPr>
          <w:rStyle w:val="CommentReference"/>
        </w:rPr>
        <w:commentReference w:id="25"/>
      </w:r>
      <w:commentRangeEnd w:id="26"/>
      <w:r>
        <w:rPr>
          <w:rStyle w:val="CommentReference"/>
        </w:rPr>
        <w:commentReference w:id="26"/>
      </w:r>
      <w:commentRangeEnd w:id="27"/>
      <w:r>
        <w:rPr>
          <w:rStyle w:val="CommentReference"/>
        </w:rPr>
        <w:commentReference w:id="27"/>
      </w:r>
      <w:r>
        <w:t xml:space="preserve">. </w:t>
      </w:r>
    </w:p>
    <w:p w14:paraId="27101395" w14:textId="77777777" w:rsidR="00271D07" w:rsidRDefault="00271D07" w:rsidP="00271D07">
      <w:pPr>
        <w:ind w:left="720"/>
      </w:pPr>
      <w:r>
        <w:rPr>
          <w:b/>
          <w:bCs/>
        </w:rPr>
        <w:t xml:space="preserve">Paragraph </w:t>
      </w:r>
      <w:proofErr w:type="gramStart"/>
      <w:r>
        <w:rPr>
          <w:b/>
          <w:bCs/>
        </w:rPr>
        <w:t>on:</w:t>
      </w:r>
      <w:proofErr w:type="gramEnd"/>
      <w:r>
        <w:rPr>
          <w:b/>
          <w:bCs/>
        </w:rPr>
        <w:t xml:space="preserve"> the literature tells us that </w:t>
      </w:r>
      <w:proofErr w:type="gramStart"/>
      <w:r>
        <w:rPr>
          <w:b/>
          <w:bCs/>
        </w:rPr>
        <w:t>descriptive  -</w:t>
      </w:r>
      <w:proofErr w:type="gramEnd"/>
      <w:r>
        <w:rPr>
          <w:b/>
          <w:bCs/>
        </w:rPr>
        <w:t>&gt; substantive (policy responsiveness) and (for now) service responsiveness</w:t>
      </w:r>
    </w:p>
    <w:p w14:paraId="2ECBF161" w14:textId="77777777" w:rsidR="00271D07" w:rsidRDefault="00271D07" w:rsidP="00271D07">
      <w:pPr>
        <w:ind w:left="720"/>
      </w:pPr>
      <w:r>
        <w:t xml:space="preserve">[Many of these same scholars have established that descriptive representation matters for substantive policy outcomes – or policy responsiveness]. Legislators are more likely to support, introduce, and prioritize policies affecting groups with whom they share race and class characteristics, as measured by roll-call voting, agenda setting behavior, and committee activity (FIX/FILL IN) (Hutchings 1998, Tate 2004, Burden 2007, Carnes 2012, Gamble 2007). </w:t>
      </w:r>
    </w:p>
    <w:p w14:paraId="60F7DD32" w14:textId="77777777" w:rsidR="00271D07" w:rsidRDefault="00271D07" w:rsidP="00271D07">
      <w:pPr>
        <w:pStyle w:val="ListParagraph"/>
        <w:numPr>
          <w:ilvl w:val="0"/>
          <w:numId w:val="13"/>
        </w:numPr>
        <w:ind w:left="1440"/>
      </w:pPr>
      <w:proofErr w:type="spellStart"/>
      <w:r>
        <w:lastRenderedPageBreak/>
        <w:t>Broockman</w:t>
      </w:r>
      <w:proofErr w:type="spellEnd"/>
      <w:r>
        <w:t xml:space="preserve"> 2013</w:t>
      </w:r>
    </w:p>
    <w:p w14:paraId="1FEDA188" w14:textId="77777777" w:rsidR="00271D07" w:rsidRDefault="00271D07" w:rsidP="00271D07">
      <w:pPr>
        <w:pStyle w:val="ListParagraph"/>
        <w:numPr>
          <w:ilvl w:val="0"/>
          <w:numId w:val="13"/>
        </w:numPr>
        <w:ind w:left="1440"/>
      </w:pPr>
      <w:r>
        <w:t>Black descriptive representation predicts state policy agendas and outcomes, including in the domain of criminal justice reform (</w:t>
      </w:r>
      <w:proofErr w:type="spellStart"/>
      <w:r>
        <w:t>Preuhs</w:t>
      </w:r>
      <w:proofErr w:type="spellEnd"/>
      <w:r>
        <w:t xml:space="preserve"> 20016; Owens 2020), although </w:t>
      </w:r>
      <w:proofErr w:type="spellStart"/>
      <w:r>
        <w:t>hese</w:t>
      </w:r>
      <w:proofErr w:type="spellEnd"/>
      <w:r>
        <w:t xml:space="preserve"> effects remain contingent on institutional context, party control, and overall minority representation (Hawkesworth 2003). </w:t>
      </w:r>
    </w:p>
    <w:p w14:paraId="7A5A9420" w14:textId="77777777" w:rsidR="00271D07" w:rsidRDefault="00271D07" w:rsidP="00271D07">
      <w:pPr>
        <w:ind w:left="720"/>
        <w:rPr>
          <w:b/>
          <w:bCs/>
        </w:rPr>
      </w:pPr>
    </w:p>
    <w:p w14:paraId="7FF198E4" w14:textId="77777777" w:rsidR="00271D07" w:rsidRDefault="00271D07" w:rsidP="00271D07">
      <w:pPr>
        <w:ind w:left="720"/>
      </w:pPr>
      <w:r>
        <w:rPr>
          <w:b/>
          <w:bCs/>
        </w:rPr>
        <w:t xml:space="preserve">Transition to Contribution </w:t>
      </w:r>
    </w:p>
    <w:p w14:paraId="72835A09" w14:textId="77777777" w:rsidR="00271D07" w:rsidRDefault="00271D07" w:rsidP="00271D07">
      <w:pPr>
        <w:ind w:left="720"/>
      </w:pPr>
      <w:r>
        <w:t xml:space="preserve">Moreover, </w:t>
      </w:r>
    </w:p>
    <w:p w14:paraId="284C822E" w14:textId="77777777" w:rsidR="00271D07" w:rsidRDefault="00271D07" w:rsidP="00271D07"/>
    <w:p w14:paraId="586467F8" w14:textId="5ABD4984" w:rsidR="00B56A00" w:rsidRDefault="00B56A00" w:rsidP="00B56A00">
      <w:pPr>
        <w:pStyle w:val="Heading2"/>
      </w:pPr>
      <w:bookmarkStart w:id="28" w:name="_Toc220591746"/>
      <w:r>
        <w:t>4.3 (Hypotheses/Expectations)</w:t>
      </w:r>
      <w:bookmarkEnd w:id="28"/>
    </w:p>
    <w:p w14:paraId="63F95862" w14:textId="77777777" w:rsidR="007F047D" w:rsidRPr="007F047D" w:rsidRDefault="007F047D" w:rsidP="007F047D"/>
    <w:p w14:paraId="1EF57AC6" w14:textId="56009A7D" w:rsidR="00B56A00" w:rsidRDefault="00B56A00" w:rsidP="00B56A00">
      <w:pPr>
        <w:pStyle w:val="Heading2"/>
      </w:pPr>
      <w:bookmarkStart w:id="29" w:name="_Toc220591747"/>
      <w:r>
        <w:t>4.4 (Data/Design)</w:t>
      </w:r>
      <w:bookmarkEnd w:id="29"/>
    </w:p>
    <w:p w14:paraId="6E3AC934" w14:textId="701A69F4" w:rsidR="00B56A00" w:rsidRDefault="00871980" w:rsidP="00871980">
      <w:pPr>
        <w:pStyle w:val="ListParagraph"/>
        <w:numPr>
          <w:ilvl w:val="0"/>
          <w:numId w:val="19"/>
        </w:numPr>
      </w:pPr>
      <w:r>
        <w:t>Build “Impact” Dataset Route 1</w:t>
      </w:r>
    </w:p>
    <w:p w14:paraId="67685073" w14:textId="335511E6" w:rsidR="00871980" w:rsidRDefault="00871980" w:rsidP="00871980">
      <w:pPr>
        <w:pStyle w:val="ListParagraph"/>
        <w:numPr>
          <w:ilvl w:val="1"/>
          <w:numId w:val="19"/>
        </w:numPr>
      </w:pPr>
      <w:r>
        <w:t>FOIA</w:t>
      </w:r>
    </w:p>
    <w:p w14:paraId="4BDD7809" w14:textId="7A24C74A" w:rsidR="00871980" w:rsidRDefault="00871980" w:rsidP="00871980">
      <w:pPr>
        <w:pStyle w:val="ListParagraph"/>
        <w:numPr>
          <w:ilvl w:val="1"/>
          <w:numId w:val="19"/>
        </w:numPr>
      </w:pPr>
      <w:r>
        <w:t>Birth records</w:t>
      </w:r>
    </w:p>
    <w:p w14:paraId="4115580E" w14:textId="3A3CE398" w:rsidR="00871980" w:rsidRDefault="00871980" w:rsidP="00871980">
      <w:pPr>
        <w:pStyle w:val="ListParagraph"/>
        <w:numPr>
          <w:ilvl w:val="0"/>
          <w:numId w:val="19"/>
        </w:numPr>
      </w:pPr>
      <w:r>
        <w:t>Build “Impact” Dataset Route 2</w:t>
      </w:r>
    </w:p>
    <w:p w14:paraId="6ADFFA35" w14:textId="596B1899" w:rsidR="00871980" w:rsidRDefault="00871980" w:rsidP="00871980">
      <w:pPr>
        <w:pStyle w:val="ListParagraph"/>
        <w:numPr>
          <w:ilvl w:val="1"/>
          <w:numId w:val="19"/>
        </w:numPr>
      </w:pPr>
      <w:r>
        <w:t xml:space="preserve">Mentions of self-ID impact in: </w:t>
      </w:r>
    </w:p>
    <w:p w14:paraId="769EEAF1" w14:textId="0E8D323A" w:rsidR="00871980" w:rsidRDefault="00871980" w:rsidP="00871980">
      <w:pPr>
        <w:pStyle w:val="ListParagraph"/>
        <w:numPr>
          <w:ilvl w:val="2"/>
          <w:numId w:val="19"/>
        </w:numPr>
      </w:pPr>
      <w:r>
        <w:t>Newsletters</w:t>
      </w:r>
    </w:p>
    <w:p w14:paraId="1DA07136" w14:textId="64114B7A" w:rsidR="00871980" w:rsidRDefault="00871980" w:rsidP="00871980">
      <w:pPr>
        <w:pStyle w:val="ListParagraph"/>
        <w:numPr>
          <w:ilvl w:val="2"/>
          <w:numId w:val="19"/>
        </w:numPr>
      </w:pPr>
      <w:r>
        <w:t>Speech</w:t>
      </w:r>
    </w:p>
    <w:p w14:paraId="3047EFD2" w14:textId="4EF42B8F" w:rsidR="00871980" w:rsidRDefault="00871980" w:rsidP="00871980">
      <w:pPr>
        <w:pStyle w:val="ListParagraph"/>
        <w:numPr>
          <w:ilvl w:val="2"/>
          <w:numId w:val="19"/>
        </w:numPr>
      </w:pPr>
      <w:r>
        <w:t>Public testimony</w:t>
      </w:r>
    </w:p>
    <w:p w14:paraId="64A61928" w14:textId="6F8ACF8C" w:rsidR="00871980" w:rsidRDefault="00871980" w:rsidP="00871980">
      <w:pPr>
        <w:pStyle w:val="ListParagraph"/>
        <w:numPr>
          <w:ilvl w:val="2"/>
          <w:numId w:val="19"/>
        </w:numPr>
      </w:pPr>
      <w:r>
        <w:t>Social media</w:t>
      </w:r>
    </w:p>
    <w:p w14:paraId="735B0674" w14:textId="18903CD9" w:rsidR="00871980" w:rsidRDefault="00871980" w:rsidP="00871980">
      <w:pPr>
        <w:pStyle w:val="ListParagraph"/>
        <w:numPr>
          <w:ilvl w:val="0"/>
          <w:numId w:val="19"/>
        </w:numPr>
      </w:pPr>
      <w:r>
        <w:t>Route 3</w:t>
      </w:r>
    </w:p>
    <w:p w14:paraId="3C668518" w14:textId="2D826F1C" w:rsidR="00871980" w:rsidRDefault="00871980" w:rsidP="00871980">
      <w:pPr>
        <w:pStyle w:val="ListParagraph"/>
        <w:numPr>
          <w:ilvl w:val="1"/>
          <w:numId w:val="19"/>
        </w:numPr>
      </w:pPr>
      <w:r>
        <w:t xml:space="preserve"> Interview impacted legislators…advocates? – their sense of legislature makeup</w:t>
      </w:r>
    </w:p>
    <w:p w14:paraId="777B761B" w14:textId="7105EA88" w:rsidR="00B56A00" w:rsidRDefault="00B56A00" w:rsidP="00B56A00">
      <w:pPr>
        <w:pStyle w:val="Heading2"/>
      </w:pPr>
      <w:bookmarkStart w:id="30" w:name="_Toc220591748"/>
      <w:r>
        <w:t>4.</w:t>
      </w:r>
      <w:r w:rsidR="000F5AC3">
        <w:t>5</w:t>
      </w:r>
      <w:r>
        <w:t xml:space="preserve"> (</w:t>
      </w:r>
      <w:r w:rsidR="000F5AC3">
        <w:t>Theory</w:t>
      </w:r>
      <w:r>
        <w:t>)</w:t>
      </w:r>
      <w:r w:rsidR="000F5AC3">
        <w:t>: When Descriptive Representation Matters</w:t>
      </w:r>
      <w:bookmarkEnd w:id="30"/>
    </w:p>
    <w:p w14:paraId="1C254871" w14:textId="0B5EA0A4" w:rsidR="000F5AC3" w:rsidRDefault="000F5AC3" w:rsidP="000F5AC3">
      <w:pPr>
        <w:pStyle w:val="ListParagraph"/>
        <w:numPr>
          <w:ilvl w:val="0"/>
          <w:numId w:val="11"/>
        </w:numPr>
      </w:pPr>
      <w:r>
        <w:t>Mansbridge (communication, trust, historical, critical mass)</w:t>
      </w:r>
    </w:p>
    <w:p w14:paraId="2C77DFC4" w14:textId="76AD78D0" w:rsidR="000F5AC3" w:rsidRDefault="000F5AC3" w:rsidP="000F5AC3">
      <w:pPr>
        <w:pStyle w:val="ListParagraph"/>
        <w:numPr>
          <w:ilvl w:val="0"/>
          <w:numId w:val="11"/>
        </w:numPr>
      </w:pPr>
      <w:r>
        <w:t>Brown (intersectionality, limits)</w:t>
      </w:r>
    </w:p>
    <w:p w14:paraId="4E8B9D29" w14:textId="43EFC021" w:rsidR="000F5AC3" w:rsidRPr="000F5AC3" w:rsidRDefault="000F5AC3" w:rsidP="000F5AC3">
      <w:pPr>
        <w:pStyle w:val="ListParagraph"/>
        <w:numPr>
          <w:ilvl w:val="0"/>
          <w:numId w:val="11"/>
        </w:numPr>
      </w:pPr>
      <w:r>
        <w:t>Incentives and Institutional Constraints</w:t>
      </w:r>
    </w:p>
    <w:p w14:paraId="3EBA148D" w14:textId="77777777" w:rsidR="000F5AC3" w:rsidRDefault="000F5AC3" w:rsidP="000F5AC3">
      <w:pPr>
        <w:pStyle w:val="Heading2"/>
      </w:pPr>
    </w:p>
    <w:p w14:paraId="0CAEADD9" w14:textId="31357F4F" w:rsidR="000F5AC3" w:rsidRDefault="000F5AC3" w:rsidP="000F5AC3">
      <w:pPr>
        <w:pStyle w:val="Heading2"/>
      </w:pPr>
      <w:bookmarkStart w:id="31" w:name="_Toc220591749"/>
      <w:r>
        <w:t>4.6 (Theory): Expectations About Legislative Action</w:t>
      </w:r>
      <w:bookmarkEnd w:id="31"/>
      <w:r>
        <w:t xml:space="preserve"> </w:t>
      </w:r>
    </w:p>
    <w:p w14:paraId="24500FF6" w14:textId="509DCAF1" w:rsidR="000F5AC3" w:rsidRDefault="000F5AC3" w:rsidP="000F5AC3">
      <w:pPr>
        <w:pStyle w:val="ListParagraph"/>
        <w:numPr>
          <w:ilvl w:val="0"/>
          <w:numId w:val="11"/>
        </w:numPr>
      </w:pPr>
      <w:r>
        <w:t>Who files CJ bills</w:t>
      </w:r>
    </w:p>
    <w:p w14:paraId="4304F267" w14:textId="72440AC6" w:rsidR="000F5AC3" w:rsidRDefault="000F5AC3" w:rsidP="000F5AC3">
      <w:pPr>
        <w:pStyle w:val="ListParagraph"/>
        <w:numPr>
          <w:ilvl w:val="1"/>
          <w:numId w:val="11"/>
        </w:numPr>
      </w:pPr>
      <w:r>
        <w:t>Eckhouse: Black representation important</w:t>
      </w:r>
    </w:p>
    <w:p w14:paraId="371389AB" w14:textId="5E101BA9" w:rsidR="000F5AC3" w:rsidRDefault="000F5AC3" w:rsidP="000F5AC3">
      <w:pPr>
        <w:pStyle w:val="ListParagraph"/>
        <w:numPr>
          <w:ilvl w:val="0"/>
          <w:numId w:val="11"/>
        </w:numPr>
      </w:pPr>
      <w:r>
        <w:t xml:space="preserve">Who talks about CJ issues </w:t>
      </w:r>
    </w:p>
    <w:p w14:paraId="297704DF" w14:textId="1059341E" w:rsidR="000F5AC3" w:rsidRDefault="000F5AC3" w:rsidP="000F5AC3">
      <w:pPr>
        <w:pStyle w:val="ListParagraph"/>
        <w:numPr>
          <w:ilvl w:val="0"/>
          <w:numId w:val="11"/>
        </w:numPr>
      </w:pPr>
      <w:r>
        <w:t>Who you are…where you sit</w:t>
      </w:r>
    </w:p>
    <w:p w14:paraId="7C876348" w14:textId="474E9FEE" w:rsidR="000F5AC3" w:rsidRPr="000F5AC3" w:rsidRDefault="000F5AC3" w:rsidP="000F5AC3">
      <w:pPr>
        <w:pStyle w:val="ListParagraph"/>
        <w:numPr>
          <w:ilvl w:val="1"/>
          <w:numId w:val="11"/>
        </w:numPr>
      </w:pPr>
      <w:r>
        <w:t>Districts may not predict action neatly</w:t>
      </w:r>
    </w:p>
    <w:p w14:paraId="71E84A68" w14:textId="77777777" w:rsidR="00B56A00" w:rsidRDefault="00B56A00" w:rsidP="00B56A00"/>
    <w:p w14:paraId="7C19124B" w14:textId="6C60939B" w:rsidR="00EA21E4" w:rsidRDefault="00EA21E4" w:rsidP="00EA21E4">
      <w:pPr>
        <w:pStyle w:val="Heading2"/>
      </w:pPr>
      <w:bookmarkStart w:id="32" w:name="_Toc220591750"/>
      <w:r>
        <w:t>4.7 (Hypotheses/Expectations)</w:t>
      </w:r>
      <w:bookmarkEnd w:id="32"/>
    </w:p>
    <w:p w14:paraId="69C14A71" w14:textId="53F8D448" w:rsidR="00EA21E4" w:rsidRDefault="00EA21E4" w:rsidP="00EA21E4">
      <w:pPr>
        <w:pStyle w:val="Heading2"/>
      </w:pPr>
      <w:bookmarkStart w:id="33" w:name="_Toc220591751"/>
      <w:r>
        <w:t>4.8 (Data/Design)</w:t>
      </w:r>
      <w:bookmarkEnd w:id="33"/>
    </w:p>
    <w:p w14:paraId="245C0A50" w14:textId="06D5C896" w:rsidR="001B48DC" w:rsidRDefault="00871980" w:rsidP="003F75C4">
      <w:pPr>
        <w:pStyle w:val="ListParagraph"/>
        <w:numPr>
          <w:ilvl w:val="0"/>
          <w:numId w:val="18"/>
        </w:numPr>
        <w:jc w:val="both"/>
      </w:pPr>
      <w:r>
        <w:t>Big dataset on who does what on bills</w:t>
      </w:r>
    </w:p>
    <w:p w14:paraId="1868F0F1" w14:textId="35AE448A" w:rsidR="00871980" w:rsidRDefault="00871980" w:rsidP="00871980">
      <w:pPr>
        <w:pStyle w:val="ListParagraph"/>
        <w:numPr>
          <w:ilvl w:val="1"/>
          <w:numId w:val="18"/>
        </w:numPr>
        <w:jc w:val="both"/>
      </w:pPr>
      <w:proofErr w:type="spellStart"/>
      <w:r>
        <w:t>Legistorm</w:t>
      </w:r>
      <w:proofErr w:type="spellEnd"/>
    </w:p>
    <w:p w14:paraId="3BF41734" w14:textId="4C0F7A43" w:rsidR="001B48DC" w:rsidRPr="001B48DC" w:rsidRDefault="00A56C15" w:rsidP="00A56C15">
      <w:pPr>
        <w:pStyle w:val="Heading1"/>
      </w:pPr>
      <w:bookmarkStart w:id="34" w:name="_Toc220591752"/>
      <w:r>
        <w:t xml:space="preserve">V. </w:t>
      </w:r>
      <w:r w:rsidR="001B48DC" w:rsidRPr="001B48DC">
        <w:t>Test 3</w:t>
      </w:r>
      <w:r>
        <w:t>: Symbolic and Epistemic Representation</w:t>
      </w:r>
      <w:bookmarkEnd w:id="34"/>
    </w:p>
    <w:p w14:paraId="5AF087CF" w14:textId="77777777" w:rsidR="001B48DC" w:rsidRDefault="001B48DC" w:rsidP="000A76EF">
      <w:pPr>
        <w:jc w:val="both"/>
      </w:pPr>
    </w:p>
    <w:p w14:paraId="3066B5C3" w14:textId="3BE1F6E2" w:rsidR="001B48DC" w:rsidRDefault="00EA21E4" w:rsidP="00EA21E4">
      <w:pPr>
        <w:pStyle w:val="Heading2"/>
      </w:pPr>
      <w:bookmarkStart w:id="35" w:name="_Toc220591753"/>
      <w:r>
        <w:t>5.1 (Theory) Symbolic Representation as Constitutive</w:t>
      </w:r>
      <w:bookmarkEnd w:id="35"/>
    </w:p>
    <w:p w14:paraId="4B0B13D8" w14:textId="65324EF6" w:rsidR="00EA21E4" w:rsidRDefault="00EA21E4" w:rsidP="00EA21E4">
      <w:pPr>
        <w:pStyle w:val="Heading2"/>
      </w:pPr>
      <w:bookmarkStart w:id="36" w:name="_Toc220591754"/>
      <w:r>
        <w:t>5.2 (Theory) Epistemic Injustice and Selective Hearing</w:t>
      </w:r>
      <w:bookmarkEnd w:id="36"/>
    </w:p>
    <w:p w14:paraId="70D626B2" w14:textId="2C01BE28" w:rsidR="00EA21E4" w:rsidRDefault="00EA21E4" w:rsidP="00EA21E4">
      <w:pPr>
        <w:pStyle w:val="Heading2"/>
      </w:pPr>
      <w:bookmarkStart w:id="37" w:name="_Toc220591755"/>
      <w:r>
        <w:t>5.3 Expectations About Symbolic Recognition</w:t>
      </w:r>
      <w:bookmarkEnd w:id="37"/>
    </w:p>
    <w:p w14:paraId="04C0796C" w14:textId="5847D29D" w:rsidR="00EA21E4" w:rsidRDefault="00EA21E4" w:rsidP="00EA21E4">
      <w:pPr>
        <w:pStyle w:val="Heading2"/>
      </w:pPr>
      <w:bookmarkStart w:id="38" w:name="_Toc220591756"/>
      <w:r>
        <w:t>5.4 (Hypotheses/Expectations)</w:t>
      </w:r>
      <w:bookmarkEnd w:id="38"/>
    </w:p>
    <w:p w14:paraId="74FD6F13" w14:textId="77777777" w:rsidR="00A34739" w:rsidRPr="00A34739" w:rsidRDefault="00A34739" w:rsidP="003F75C4">
      <w:pPr>
        <w:pStyle w:val="ListParagraph"/>
      </w:pPr>
    </w:p>
    <w:p w14:paraId="49CD4094" w14:textId="6F56C538" w:rsidR="00EA21E4" w:rsidRDefault="00EA21E4" w:rsidP="00EA21E4">
      <w:pPr>
        <w:pStyle w:val="Heading2"/>
      </w:pPr>
      <w:bookmarkStart w:id="39" w:name="_Toc220591757"/>
      <w:r>
        <w:t>5.5 (Data/Design)</w:t>
      </w:r>
      <w:bookmarkEnd w:id="39"/>
    </w:p>
    <w:p w14:paraId="51DC1FE5" w14:textId="6E6785B7" w:rsidR="00EA21E4" w:rsidRDefault="008B7300" w:rsidP="008B7300">
      <w:pPr>
        <w:pStyle w:val="ListParagraph"/>
        <w:numPr>
          <w:ilvl w:val="0"/>
          <w:numId w:val="15"/>
        </w:numPr>
      </w:pPr>
      <w:r>
        <w:t>At this point I have already created dataset(s) on:</w:t>
      </w:r>
    </w:p>
    <w:p w14:paraId="4F87BDA2" w14:textId="70CA8192" w:rsidR="008B7300" w:rsidRDefault="008B7300" w:rsidP="008B7300">
      <w:pPr>
        <w:pStyle w:val="ListParagraph"/>
        <w:numPr>
          <w:ilvl w:val="1"/>
          <w:numId w:val="15"/>
        </w:numPr>
      </w:pPr>
      <w:r>
        <w:t>(A) Who files, cosponsors, X CJ policy legislation</w:t>
      </w:r>
    </w:p>
    <w:p w14:paraId="2BEDB557" w14:textId="4E8EE58B" w:rsidR="008B7300" w:rsidRDefault="008B7300" w:rsidP="008B7300">
      <w:pPr>
        <w:pStyle w:val="ListParagraph"/>
        <w:numPr>
          <w:ilvl w:val="1"/>
          <w:numId w:val="15"/>
        </w:numPr>
      </w:pPr>
      <w:r>
        <w:t>Impacted legislators</w:t>
      </w:r>
    </w:p>
    <w:p w14:paraId="7EE2929C" w14:textId="373761E8" w:rsidR="008B7300" w:rsidRDefault="008B7300" w:rsidP="008B7300">
      <w:pPr>
        <w:pStyle w:val="ListParagraph"/>
        <w:numPr>
          <w:ilvl w:val="2"/>
          <w:numId w:val="15"/>
        </w:numPr>
      </w:pPr>
      <w:r>
        <w:t xml:space="preserve">(B) Maybe this can be </w:t>
      </w:r>
      <w:proofErr w:type="spellStart"/>
      <w:r>
        <w:t>FOIA’d</w:t>
      </w:r>
      <w:proofErr w:type="spellEnd"/>
      <w:r>
        <w:t xml:space="preserve">, but if </w:t>
      </w:r>
      <w:proofErr w:type="gramStart"/>
      <w:r>
        <w:t>not</w:t>
      </w:r>
      <w:proofErr w:type="gramEnd"/>
      <w:r>
        <w:t xml:space="preserve"> maybe I have already scraped for legislators talking about impacted identify from</w:t>
      </w:r>
    </w:p>
    <w:p w14:paraId="677CE849" w14:textId="5C9F05C9" w:rsidR="008B7300" w:rsidRDefault="008B7300" w:rsidP="008B7300">
      <w:pPr>
        <w:pStyle w:val="ListParagraph"/>
        <w:numPr>
          <w:ilvl w:val="3"/>
          <w:numId w:val="15"/>
        </w:numPr>
      </w:pPr>
      <w:r>
        <w:t>Newsletters</w:t>
      </w:r>
    </w:p>
    <w:p w14:paraId="401A2B3A" w14:textId="6F40A115" w:rsidR="008B7300" w:rsidRDefault="008B7300" w:rsidP="008B7300">
      <w:pPr>
        <w:pStyle w:val="ListParagraph"/>
        <w:numPr>
          <w:ilvl w:val="3"/>
          <w:numId w:val="15"/>
        </w:numPr>
      </w:pPr>
      <w:r>
        <w:t>Social media</w:t>
      </w:r>
    </w:p>
    <w:p w14:paraId="0391293C" w14:textId="752572A5" w:rsidR="008B7300" w:rsidRDefault="008B7300" w:rsidP="008B7300">
      <w:pPr>
        <w:pStyle w:val="ListParagraph"/>
        <w:numPr>
          <w:ilvl w:val="3"/>
          <w:numId w:val="15"/>
        </w:numPr>
      </w:pPr>
      <w:r>
        <w:lastRenderedPageBreak/>
        <w:t>Floor speech or public testimony</w:t>
      </w:r>
    </w:p>
    <w:p w14:paraId="3DFF1C1B" w14:textId="4FE4BA8B" w:rsidR="008B7300" w:rsidRDefault="008B7300" w:rsidP="008B7300">
      <w:pPr>
        <w:pStyle w:val="ListParagraph"/>
        <w:numPr>
          <w:ilvl w:val="3"/>
          <w:numId w:val="15"/>
        </w:numPr>
      </w:pPr>
      <w:proofErr w:type="spellStart"/>
      <w:r>
        <w:t>Etc</w:t>
      </w:r>
      <w:proofErr w:type="spellEnd"/>
    </w:p>
    <w:p w14:paraId="659C3C9F" w14:textId="0B1B3042" w:rsidR="008B7300" w:rsidRDefault="008B7300" w:rsidP="008B7300">
      <w:pPr>
        <w:pStyle w:val="ListParagraph"/>
        <w:numPr>
          <w:ilvl w:val="2"/>
          <w:numId w:val="15"/>
        </w:numPr>
      </w:pPr>
      <w:r>
        <w:t xml:space="preserve">(C) If so, </w:t>
      </w:r>
      <w:proofErr w:type="gramStart"/>
      <w:r>
        <w:t>ideally</w:t>
      </w:r>
      <w:proofErr w:type="gramEnd"/>
      <w:r>
        <w:t xml:space="preserve"> I can have also gathered data on:</w:t>
      </w:r>
    </w:p>
    <w:p w14:paraId="43BFAB1E" w14:textId="7829FC9D" w:rsidR="008B7300" w:rsidRDefault="008B7300" w:rsidP="008B7300">
      <w:pPr>
        <w:pStyle w:val="ListParagraph"/>
        <w:numPr>
          <w:ilvl w:val="3"/>
          <w:numId w:val="15"/>
        </w:numPr>
      </w:pPr>
      <w:r>
        <w:t>How legislators talk about problems</w:t>
      </w:r>
    </w:p>
    <w:p w14:paraId="3FDAD7BC" w14:textId="11EC39F1" w:rsidR="008B7300" w:rsidRDefault="008B7300" w:rsidP="008B7300">
      <w:pPr>
        <w:pStyle w:val="ListParagraph"/>
        <w:numPr>
          <w:ilvl w:val="3"/>
          <w:numId w:val="15"/>
        </w:numPr>
      </w:pPr>
      <w:r>
        <w:t>How legislators talk about people/carceral citizens</w:t>
      </w:r>
    </w:p>
    <w:p w14:paraId="66100F9F" w14:textId="4E744D11" w:rsidR="008B7300" w:rsidRDefault="008B7300" w:rsidP="008B7300">
      <w:pPr>
        <w:pStyle w:val="ListParagraph"/>
        <w:numPr>
          <w:ilvl w:val="0"/>
          <w:numId w:val="15"/>
        </w:numPr>
      </w:pPr>
      <w:r>
        <w:t>Implement coding schemes for A, B, C</w:t>
      </w:r>
    </w:p>
    <w:p w14:paraId="36BE491D" w14:textId="072A4524" w:rsidR="00EA21E4" w:rsidRDefault="00EA21E4" w:rsidP="00EA21E4">
      <w:pPr>
        <w:pStyle w:val="Heading1"/>
      </w:pPr>
      <w:bookmarkStart w:id="40" w:name="_Toc220591758"/>
      <w:r>
        <w:t>VI. Conclusion &amp; Implications</w:t>
      </w:r>
      <w:bookmarkEnd w:id="40"/>
    </w:p>
    <w:p w14:paraId="6DB9DD09" w14:textId="77777777" w:rsidR="00EA21E4" w:rsidRDefault="00EA21E4" w:rsidP="00EA21E4"/>
    <w:p w14:paraId="50136B30" w14:textId="484EAAD0" w:rsidR="00EA21E4" w:rsidRDefault="00EA21E4" w:rsidP="00EA21E4">
      <w:pPr>
        <w:pStyle w:val="ListParagraph"/>
        <w:numPr>
          <w:ilvl w:val="0"/>
          <w:numId w:val="12"/>
        </w:numPr>
      </w:pPr>
      <w:r>
        <w:t>What the project contributes</w:t>
      </w:r>
    </w:p>
    <w:p w14:paraId="75B495BF" w14:textId="026D1476" w:rsidR="00EA21E4" w:rsidRDefault="00EA21E4" w:rsidP="00EA21E4">
      <w:pPr>
        <w:pStyle w:val="ListParagraph"/>
        <w:numPr>
          <w:ilvl w:val="0"/>
          <w:numId w:val="12"/>
        </w:numPr>
      </w:pPr>
      <w:r>
        <w:t xml:space="preserve">Maybe actually notes on viability, backups, exit ramps, </w:t>
      </w:r>
      <w:proofErr w:type="spellStart"/>
      <w:r>
        <w:t>etc</w:t>
      </w:r>
      <w:proofErr w:type="spellEnd"/>
    </w:p>
    <w:p w14:paraId="7B2ACDF4" w14:textId="07B1455A" w:rsidR="00EA21E4" w:rsidRDefault="00EA21E4" w:rsidP="00EA21E4">
      <w:pPr>
        <w:pStyle w:val="Heading2"/>
      </w:pPr>
    </w:p>
    <w:p w14:paraId="12DB1E6C" w14:textId="77777777" w:rsidR="00EA21E4" w:rsidRPr="00EA21E4" w:rsidRDefault="00EA21E4" w:rsidP="00EA21E4"/>
    <w:p w14:paraId="276EFB69" w14:textId="77777777" w:rsidR="00EA21E4" w:rsidRDefault="00EA21E4" w:rsidP="00EA21E4"/>
    <w:p w14:paraId="5A9B2672" w14:textId="77777777" w:rsidR="00EA21E4" w:rsidRPr="00EA21E4" w:rsidRDefault="00EA21E4" w:rsidP="00EA21E4"/>
    <w:sectPr w:rsidR="00EA21E4"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ristina Mensik" w:date="2026-01-21T21:23:00Z" w:initials="KM">
    <w:p w14:paraId="3EC0E363" w14:textId="77777777" w:rsidR="0033373D" w:rsidRDefault="0033373D" w:rsidP="0033373D">
      <w:r>
        <w:rPr>
          <w:rStyle w:val="CommentReference"/>
        </w:rPr>
        <w:annotationRef/>
      </w:r>
      <w:r>
        <w:rPr>
          <w:sz w:val="20"/>
          <w:szCs w:val="20"/>
        </w:rPr>
        <w:t>IK a real paper can't start with anecdotal claims</w:t>
      </w:r>
    </w:p>
  </w:comment>
  <w:comment w:id="3" w:author="Kristina Mensik" w:date="2026-01-21T21:30:00Z" w:initials="KM">
    <w:p w14:paraId="18D6CDE5" w14:textId="77777777" w:rsidR="008728BF" w:rsidRDefault="008728BF" w:rsidP="008728BF">
      <w:r>
        <w:rPr>
          <w:rStyle w:val="CommentReference"/>
        </w:rPr>
        <w:annotationRef/>
      </w:r>
      <w:r>
        <w:rPr>
          <w:sz w:val="20"/>
          <w:szCs w:val="20"/>
        </w:rPr>
        <w:t>bring this closer to CJ/subject area</w:t>
      </w:r>
    </w:p>
  </w:comment>
  <w:comment w:id="4" w:author="Kristina Mensik" w:date="2026-01-28T22:44:00Z" w:initials="KM">
    <w:p w14:paraId="5D169D64" w14:textId="77777777" w:rsidR="007D6D50" w:rsidRDefault="007D6D50" w:rsidP="007D6D50">
      <w:r>
        <w:rPr>
          <w:rStyle w:val="CommentReference"/>
        </w:rPr>
        <w:annotationRef/>
      </w:r>
      <w:r>
        <w:rPr>
          <w:sz w:val="20"/>
          <w:szCs w:val="20"/>
        </w:rPr>
        <w:t>missing idiots idiots</w:t>
      </w:r>
    </w:p>
  </w:comment>
  <w:comment w:id="5" w:author="Kristina Mensik" w:date="2026-01-29T13:13:00Z" w:initials="KM">
    <w:p w14:paraId="29A37879" w14:textId="77777777" w:rsidR="004161A4" w:rsidRDefault="004161A4" w:rsidP="004161A4">
      <w:r>
        <w:rPr>
          <w:rStyle w:val="CommentReference"/>
        </w:rPr>
        <w:annotationRef/>
      </w:r>
      <w:r>
        <w:rPr>
          <w:sz w:val="20"/>
          <w:szCs w:val="20"/>
        </w:rPr>
        <w:t>Possible thesis/arg that descriptive representation may be particularly important in this case because of potential for centering symbolic recognition + responsiveness, + ep. inclusion? that would be justification to start with descriptive representation, rather than "we can't talk about other things until we talk about descriptive"</w:t>
      </w:r>
    </w:p>
  </w:comment>
  <w:comment w:id="6" w:author="Kristina Mensik" w:date="2026-01-29T13:09:00Z" w:initials="KM">
    <w:p w14:paraId="06546313" w14:textId="4C4FEED0" w:rsidR="00941B9C" w:rsidRDefault="00941B9C" w:rsidP="00941B9C">
      <w:r>
        <w:rPr>
          <w:rStyle w:val="CommentReference"/>
        </w:rPr>
        <w:annotationRef/>
      </w:r>
      <w:r>
        <w:rPr>
          <w:sz w:val="20"/>
          <w:szCs w:val="20"/>
        </w:rPr>
        <w:t xml:space="preserve">·      In other words, who legislators are may decide whether the interests and preferences of carceral citizens are represented. </w:t>
      </w:r>
    </w:p>
    <w:p w14:paraId="6E6989F8" w14:textId="77777777" w:rsidR="00941B9C" w:rsidRDefault="00941B9C" w:rsidP="00941B9C">
      <w:r>
        <w:rPr>
          <w:sz w:val="20"/>
          <w:szCs w:val="20"/>
        </w:rPr>
        <w:t xml:space="preserve">o   carceral citizens and impacted communities are descriptively represented; whether legislators who have been directly or proximally impacted constitute a [] share of legislatures </w:t>
      </w:r>
    </w:p>
    <w:p w14:paraId="61DEE687" w14:textId="77777777" w:rsidR="00941B9C" w:rsidRDefault="00941B9C" w:rsidP="00941B9C">
      <w:r>
        <w:rPr>
          <w:sz w:val="20"/>
          <w:szCs w:val="20"/>
        </w:rPr>
        <w:t xml:space="preserve">·      This may correlate with this other thing that is constitutive of representation: legislators shape constituencies. </w:t>
      </w:r>
    </w:p>
    <w:p w14:paraId="3F3EB790" w14:textId="77777777" w:rsidR="00941B9C" w:rsidRDefault="00941B9C" w:rsidP="00941B9C">
      <w:r>
        <w:rPr>
          <w:sz w:val="20"/>
          <w:szCs w:val="20"/>
        </w:rPr>
        <w:t xml:space="preserve">·      Whether/when legislators view, treat, and construct carceral citizens as constituents. </w:t>
      </w:r>
    </w:p>
    <w:p w14:paraId="6414E614" w14:textId="77777777" w:rsidR="00941B9C" w:rsidRDefault="00941B9C" w:rsidP="00941B9C">
      <w:r>
        <w:rPr>
          <w:sz w:val="20"/>
          <w:szCs w:val="20"/>
        </w:rPr>
        <w:t xml:space="preserve">·       [disincentives etc] </w:t>
      </w:r>
      <w:r>
        <w:rPr>
          <w:sz w:val="20"/>
          <w:szCs w:val="20"/>
        </w:rPr>
        <w:t xml:space="preserve"> policy action and symbolic representation that may at first glance appear to be symbolic recognition may instead be hollow, distancing, or emblematic of what Weaver () terms “selective hearing:” offering policy solutions that tailor to the policy preferences and distinct epistemological orientation of non-impacted, disproportionately white and affluent constituencies. </w:t>
      </w:r>
    </w:p>
    <w:p w14:paraId="528311BE" w14:textId="77777777" w:rsidR="00941B9C" w:rsidRDefault="00941B9C" w:rsidP="00941B9C"/>
  </w:comment>
  <w:comment w:id="9" w:author="Kristina Mensik" w:date="2026-02-11T15:24:00Z" w:initials="KM">
    <w:p w14:paraId="5DC80DD2" w14:textId="77777777" w:rsidR="002A3F9E" w:rsidRDefault="002A3F9E" w:rsidP="002A3F9E">
      <w:r>
        <w:rPr>
          <w:rStyle w:val="CommentReference"/>
        </w:rPr>
        <w:annotationRef/>
      </w:r>
      <w:r>
        <w:rPr>
          <w:sz w:val="20"/>
          <w:szCs w:val="20"/>
        </w:rPr>
        <w:t>maybe here clarify cultures, norms, epistemes (maybe not latter yet)</w:t>
      </w:r>
    </w:p>
  </w:comment>
  <w:comment w:id="10" w:author="Kristina Mensik" w:date="2026-01-27T23:42:00Z" w:initials="KM">
    <w:p w14:paraId="1ABF7D46" w14:textId="0795C3D2" w:rsidR="00963639" w:rsidRDefault="00963639" w:rsidP="00963639">
      <w:r>
        <w:rPr>
          <w:rStyle w:val="CommentReference"/>
        </w:rPr>
        <w:annotationRef/>
      </w:r>
      <w:r>
        <w:rPr>
          <w:sz w:val="20"/>
          <w:szCs w:val="20"/>
        </w:rPr>
        <w:t>§  Descriptive representation is particularly important – not to mention normatively justified – under conditions of historical exclusion and unequal political voice (Mansbridge 1999 contingent defense. Descriptive rep should be response to structural inequality - ie when communication, trust, or recognition is systematically distorted.)</w:t>
      </w:r>
    </w:p>
    <w:p w14:paraId="3F35B242" w14:textId="77777777" w:rsidR="00963639" w:rsidRDefault="00963639" w:rsidP="00963639">
      <w:r>
        <w:rPr>
          <w:sz w:val="20"/>
          <w:szCs w:val="20"/>
        </w:rPr>
        <w:t xml:space="preserve">§  [Increasingly or in response, a literature on descriptive representation has emerged to help, in part, answer the question of first, who legislators are, and then whether that matters for congruency or what they do]. </w:t>
      </w:r>
    </w:p>
    <w:p w14:paraId="0A0460ED" w14:textId="77777777" w:rsidR="00963639" w:rsidRDefault="00963639" w:rsidP="00963639"/>
  </w:comment>
  <w:comment w:id="11" w:author="Kristina Mensik" w:date="2026-01-27T23:43:00Z" w:initials="KM">
    <w:p w14:paraId="65071A7E" w14:textId="77777777" w:rsidR="00963639" w:rsidRDefault="00963639" w:rsidP="00963639">
      <w:r>
        <w:rPr>
          <w:rStyle w:val="CommentReference"/>
        </w:rPr>
        <w:annotationRef/>
      </w:r>
      <w:r>
        <w:rPr>
          <w:sz w:val="20"/>
          <w:szCs w:val="20"/>
        </w:rPr>
        <w:t>§  Two mattering clusters:</w:t>
      </w:r>
      <w:r>
        <w:rPr>
          <w:color w:val="0000ED"/>
          <w:sz w:val="20"/>
          <w:szCs w:val="20"/>
          <w:u w:val="single"/>
        </w:rPr>
        <w:t>[KM1]</w:t>
      </w:r>
      <w:r>
        <w:rPr>
          <w:sz w:val="20"/>
          <w:szCs w:val="20"/>
        </w:rPr>
        <w:t> </w:t>
      </w:r>
    </w:p>
    <w:p w14:paraId="5C904F07" w14:textId="77777777" w:rsidR="00963639" w:rsidRDefault="00963639" w:rsidP="00963639">
      <w:r>
        <w:rPr>
          <w:sz w:val="20"/>
          <w:szCs w:val="20"/>
        </w:rPr>
        <w:t>o   For policy and service responsiveness</w:t>
      </w:r>
    </w:p>
    <w:p w14:paraId="2734B808" w14:textId="77777777" w:rsidR="00963639" w:rsidRDefault="00963639" w:rsidP="00963639">
      <w:r>
        <w:rPr>
          <w:sz w:val="20"/>
          <w:szCs w:val="20"/>
        </w:rPr>
        <w:t>o   Symbolic / epistemic goodies</w:t>
      </w:r>
    </w:p>
    <w:p w14:paraId="2C84C161" w14:textId="77777777" w:rsidR="00963639" w:rsidRDefault="00963639" w:rsidP="00963639"/>
    <w:p w14:paraId="7BFB8219" w14:textId="77777777" w:rsidR="00963639" w:rsidRDefault="00963639" w:rsidP="00963639">
      <w:r>
        <w:rPr>
          <w:sz w:val="20"/>
          <w:szCs w:val="20"/>
        </w:rPr>
        <w:t> </w:t>
      </w:r>
      <w:r>
        <w:rPr>
          <w:color w:val="0000ED"/>
          <w:sz w:val="20"/>
          <w:szCs w:val="20"/>
          <w:u w:val="single"/>
        </w:rPr>
        <w:t>[KM1]</w:t>
      </w:r>
      <w:r>
        <w:rPr>
          <w:sz w:val="20"/>
          <w:szCs w:val="20"/>
        </w:rPr>
        <w:t>maybe this goes below</w:t>
      </w:r>
    </w:p>
    <w:p w14:paraId="7ABAED71" w14:textId="77777777" w:rsidR="00963639" w:rsidRDefault="00963639" w:rsidP="00963639"/>
  </w:comment>
  <w:comment w:id="12" w:author="Kristina Mensik" w:date="2026-01-29T13:23:00Z" w:initials="KM">
    <w:p w14:paraId="28922A3F" w14:textId="77777777" w:rsidR="006C16E1" w:rsidRDefault="006C16E1" w:rsidP="006C16E1">
      <w:r>
        <w:rPr>
          <w:rStyle w:val="CommentReference"/>
        </w:rPr>
        <w:annotationRef/>
      </w:r>
      <w:r>
        <w:rPr>
          <w:sz w:val="20"/>
          <w:szCs w:val="20"/>
        </w:rPr>
        <w:t xml:space="preserve">Jane Mansbridge articulates this symbolic power, and argues it can generate second-order effects. Namely, descriptive representation can strengthen perceptions of political inclusion and what Charles Taylor (1992) terms “equal dignity” under a politics of recognition. While critical in it’s own right – particularly in carceral contexts, this, in turn proves perceptions of government legitimacy, or “enhance de facto legitimacy by making citizens, and particularly members of historically underrepresented groups, feel as if they themselves were present in the deliberations” (Mansbridge 1999). </w:t>
      </w:r>
    </w:p>
    <w:p w14:paraId="7B2F238D" w14:textId="77777777" w:rsidR="006C16E1" w:rsidRDefault="006C16E1" w:rsidP="006C16E1"/>
  </w:comment>
  <w:comment w:id="13" w:author="Kristina Mensik" w:date="2026-01-29T13:24:00Z" w:initials="KM">
    <w:p w14:paraId="45D9B783" w14:textId="77777777" w:rsidR="00963639" w:rsidRDefault="00963639" w:rsidP="00963639">
      <w:r>
        <w:rPr>
          <w:rStyle w:val="CommentReference"/>
        </w:rPr>
        <w:annotationRef/>
      </w:r>
      <w:r>
        <w:rPr>
          <w:sz w:val="20"/>
          <w:szCs w:val="20"/>
        </w:rPr>
        <w:t xml:space="preserve">Where descriptive representation involves the presence of groups in government, substantive representation concerns the representation of groups’ interests (Pitkins 1967). Theorists argue -- and empirical scholars investigate whether and when – descriptive representation translates to substantive representation. First, Mansbridge and Pitkin argue that descriptive representation can facilitate better legislative understanding of constituent needs (Pitkin 1967, Mansbridge 1999). Mansbridge assumes this can occur implicitly, or that shared experiences translate to shared understandings and interests. But she also argues representatives and voters who share common experiences and have “the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3AEBABC2" w14:textId="77777777" w:rsidR="00963639" w:rsidRDefault="00963639" w:rsidP="00963639"/>
  </w:comment>
  <w:comment w:id="14" w:author="Kristina Mensik" w:date="2026-01-22T13:31:00Z" w:initials="KM">
    <w:p w14:paraId="38BFAA75" w14:textId="6E5B286F" w:rsidR="00876A4C" w:rsidRDefault="00876A4C" w:rsidP="00876A4C">
      <w:r>
        <w:rPr>
          <w:rStyle w:val="CommentReference"/>
        </w:rPr>
        <w:annotationRef/>
      </w:r>
      <w:r>
        <w:rPr>
          <w:sz w:val="20"/>
          <w:szCs w:val="20"/>
        </w:rPr>
        <w:t xml:space="preserve">why does this matter? </w:t>
      </w:r>
    </w:p>
  </w:comment>
  <w:comment w:id="25" w:author="Kristina Mensik" w:date="2026-01-27T23:55:00Z" w:initials="KM">
    <w:p w14:paraId="34220B2C" w14:textId="77777777" w:rsidR="00271D07" w:rsidRDefault="00271D07" w:rsidP="00271D07">
      <w:r>
        <w:rPr>
          <w:rStyle w:val="CommentReference"/>
        </w:rPr>
        <w:annotationRef/>
      </w:r>
      <w:r>
        <w:rPr>
          <w:sz w:val="20"/>
          <w:szCs w:val="20"/>
        </w:rPr>
        <w:t>this could be where I go to -&gt; we don't know about experience or -&gt; why descrip should /may predict anything</w:t>
      </w:r>
    </w:p>
  </w:comment>
  <w:comment w:id="26" w:author="Kristina Mensik" w:date="2026-01-28T00:13:00Z" w:initials="KM">
    <w:p w14:paraId="19137339" w14:textId="77777777" w:rsidR="00271D07" w:rsidRDefault="00271D07" w:rsidP="00271D07">
      <w:r>
        <w:rPr>
          <w:rStyle w:val="CommentReference"/>
        </w:rPr>
        <w:annotationRef/>
      </w:r>
      <w:r>
        <w:rPr>
          <w:sz w:val="20"/>
          <w:szCs w:val="20"/>
        </w:rPr>
        <w:t xml:space="preserve">Also if I move the bulk of descriptive from the start of the intro to later or back to test 2a, then this would definitely go to 'but we don't know about experience' - </w:t>
      </w:r>
    </w:p>
  </w:comment>
  <w:comment w:id="27" w:author="Kristina Mensik" w:date="2026-01-28T00:14:00Z" w:initials="KM">
    <w:p w14:paraId="1A381C30" w14:textId="77777777" w:rsidR="00271D07" w:rsidRDefault="00271D07" w:rsidP="00271D07">
      <w:r>
        <w:rPr>
          <w:rStyle w:val="CommentReference"/>
        </w:rPr>
        <w:annotationRef/>
      </w:r>
      <w:r>
        <w:rPr>
          <w:sz w:val="20"/>
          <w:szCs w:val="20"/>
        </w:rPr>
        <w:t>Also then this would be more of a "What we know about descriptive rep suggests these expectations about non-weird rep"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0E363" w15:done="0"/>
  <w15:commentEx w15:paraId="18D6CDE5" w15:done="0"/>
  <w15:commentEx w15:paraId="5D169D64" w15:done="0"/>
  <w15:commentEx w15:paraId="29A37879" w15:done="0"/>
  <w15:commentEx w15:paraId="528311BE" w15:done="0"/>
  <w15:commentEx w15:paraId="5DC80DD2" w15:done="0"/>
  <w15:commentEx w15:paraId="0A0460ED" w15:done="0"/>
  <w15:commentEx w15:paraId="7ABAED71" w15:paraIdParent="0A0460ED" w15:done="0"/>
  <w15:commentEx w15:paraId="7B2F238D" w15:done="0"/>
  <w15:commentEx w15:paraId="3AEBABC2" w15:paraIdParent="7B2F238D" w15:done="0"/>
  <w15:commentEx w15:paraId="38BFAA75" w15:done="1"/>
  <w15:commentEx w15:paraId="34220B2C" w15:done="0"/>
  <w15:commentEx w15:paraId="19137339" w15:paraIdParent="34220B2C" w15:done="0"/>
  <w15:commentEx w15:paraId="1A381C30" w15:paraIdParent="34220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89AEA" w16cex:dateUtc="2026-01-22T02:23:00Z"/>
  <w16cex:commentExtensible w16cex:durableId="70652D6A" w16cex:dateUtc="2026-01-22T02:30:00Z"/>
  <w16cex:commentExtensible w16cex:durableId="268AD70F" w16cex:dateUtc="2026-01-29T03:44:00Z"/>
  <w16cex:commentExtensible w16cex:durableId="00C2E603" w16cex:dateUtc="2026-01-29T18:13:00Z"/>
  <w16cex:commentExtensible w16cex:durableId="5A409247" w16cex:dateUtc="2026-01-29T18:09:00Z"/>
  <w16cex:commentExtensible w16cex:durableId="650D88F5" w16cex:dateUtc="2026-02-11T20:24:00Z"/>
  <w16cex:commentExtensible w16cex:durableId="5BD61028" w16cex:dateUtc="2026-01-28T04:42:00Z"/>
  <w16cex:commentExtensible w16cex:durableId="7C79411E" w16cex:dateUtc="2026-01-28T04:43:00Z"/>
  <w16cex:commentExtensible w16cex:durableId="0ACFC060" w16cex:dateUtc="2026-01-29T18:23:00Z"/>
  <w16cex:commentExtensible w16cex:durableId="0D1E7F19" w16cex:dateUtc="2026-01-29T18:24:00Z"/>
  <w16cex:commentExtensible w16cex:durableId="3CEE4AD2" w16cex:dateUtc="2026-01-22T18:31:00Z"/>
  <w16cex:commentExtensible w16cex:durableId="42F418E9" w16cex:dateUtc="2026-01-28T04:55:00Z"/>
  <w16cex:commentExtensible w16cex:durableId="07B91AF4" w16cex:dateUtc="2026-01-28T05:13:00Z"/>
  <w16cex:commentExtensible w16cex:durableId="0BCBB365" w16cex:dateUtc="2026-01-28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0E363" w16cid:durableId="7EA89AEA"/>
  <w16cid:commentId w16cid:paraId="18D6CDE5" w16cid:durableId="70652D6A"/>
  <w16cid:commentId w16cid:paraId="5D169D64" w16cid:durableId="268AD70F"/>
  <w16cid:commentId w16cid:paraId="29A37879" w16cid:durableId="00C2E603"/>
  <w16cid:commentId w16cid:paraId="528311BE" w16cid:durableId="5A409247"/>
  <w16cid:commentId w16cid:paraId="5DC80DD2" w16cid:durableId="650D88F5"/>
  <w16cid:commentId w16cid:paraId="0A0460ED" w16cid:durableId="5BD61028"/>
  <w16cid:commentId w16cid:paraId="7ABAED71" w16cid:durableId="7C79411E"/>
  <w16cid:commentId w16cid:paraId="7B2F238D" w16cid:durableId="0ACFC060"/>
  <w16cid:commentId w16cid:paraId="3AEBABC2" w16cid:durableId="0D1E7F19"/>
  <w16cid:commentId w16cid:paraId="38BFAA75" w16cid:durableId="3CEE4AD2"/>
  <w16cid:commentId w16cid:paraId="34220B2C" w16cid:durableId="42F418E9"/>
  <w16cid:commentId w16cid:paraId="19137339" w16cid:durableId="07B91AF4"/>
  <w16cid:commentId w16cid:paraId="1A381C30" w16cid:durableId="0BCBB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DF49A0"/>
    <w:multiLevelType w:val="hybridMultilevel"/>
    <w:tmpl w:val="7334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33E54"/>
    <w:multiLevelType w:val="hybridMultilevel"/>
    <w:tmpl w:val="349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2A64"/>
    <w:multiLevelType w:val="hybridMultilevel"/>
    <w:tmpl w:val="072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90A4E"/>
    <w:multiLevelType w:val="hybridMultilevel"/>
    <w:tmpl w:val="0D84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F04AE7"/>
    <w:multiLevelType w:val="hybridMultilevel"/>
    <w:tmpl w:val="ADC01B2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8" w15:restartNumberingAfterBreak="0">
    <w:nsid w:val="59C77987"/>
    <w:multiLevelType w:val="hybridMultilevel"/>
    <w:tmpl w:val="EEEA4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B25705"/>
    <w:multiLevelType w:val="hybridMultilevel"/>
    <w:tmpl w:val="3FDE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B035E"/>
    <w:multiLevelType w:val="hybridMultilevel"/>
    <w:tmpl w:val="94F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E115F0"/>
    <w:multiLevelType w:val="hybridMultilevel"/>
    <w:tmpl w:val="B2A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19"/>
  </w:num>
  <w:num w:numId="3" w16cid:durableId="1941909325">
    <w:abstractNumId w:val="15"/>
  </w:num>
  <w:num w:numId="4" w16cid:durableId="1778213345">
    <w:abstractNumId w:val="10"/>
  </w:num>
  <w:num w:numId="5" w16cid:durableId="433479709">
    <w:abstractNumId w:val="1"/>
  </w:num>
  <w:num w:numId="6" w16cid:durableId="11615285">
    <w:abstractNumId w:val="4"/>
  </w:num>
  <w:num w:numId="7" w16cid:durableId="1448307287">
    <w:abstractNumId w:val="20"/>
  </w:num>
  <w:num w:numId="8" w16cid:durableId="1409426247">
    <w:abstractNumId w:val="9"/>
  </w:num>
  <w:num w:numId="9" w16cid:durableId="1345519617">
    <w:abstractNumId w:val="16"/>
  </w:num>
  <w:num w:numId="10" w16cid:durableId="607542148">
    <w:abstractNumId w:val="5"/>
  </w:num>
  <w:num w:numId="11" w16cid:durableId="591202567">
    <w:abstractNumId w:val="3"/>
  </w:num>
  <w:num w:numId="12" w16cid:durableId="681200645">
    <w:abstractNumId w:val="7"/>
  </w:num>
  <w:num w:numId="13" w16cid:durableId="1063063690">
    <w:abstractNumId w:val="13"/>
  </w:num>
  <w:num w:numId="14" w16cid:durableId="1687562852">
    <w:abstractNumId w:val="2"/>
  </w:num>
  <w:num w:numId="15" w16cid:durableId="1490898072">
    <w:abstractNumId w:val="11"/>
  </w:num>
  <w:num w:numId="16" w16cid:durableId="1250312468">
    <w:abstractNumId w:val="17"/>
  </w:num>
  <w:num w:numId="17" w16cid:durableId="175534330">
    <w:abstractNumId w:val="22"/>
  </w:num>
  <w:num w:numId="18" w16cid:durableId="1852602535">
    <w:abstractNumId w:val="21"/>
  </w:num>
  <w:num w:numId="19" w16cid:durableId="1392343131">
    <w:abstractNumId w:val="6"/>
  </w:num>
  <w:num w:numId="20" w16cid:durableId="350179728">
    <w:abstractNumId w:val="18"/>
  </w:num>
  <w:num w:numId="21" w16cid:durableId="1198662055">
    <w:abstractNumId w:val="12"/>
  </w:num>
  <w:num w:numId="22" w16cid:durableId="1512258154">
    <w:abstractNumId w:val="14"/>
  </w:num>
  <w:num w:numId="23" w16cid:durableId="648899330">
    <w:abstractNumId w:val="23"/>
  </w:num>
  <w:num w:numId="24" w16cid:durableId="210471952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223F2"/>
    <w:rsid w:val="00094164"/>
    <w:rsid w:val="000A76EF"/>
    <w:rsid w:val="000B30FA"/>
    <w:rsid w:val="000B4664"/>
    <w:rsid w:val="000F5AC3"/>
    <w:rsid w:val="00111FF6"/>
    <w:rsid w:val="00125550"/>
    <w:rsid w:val="00131DE9"/>
    <w:rsid w:val="001322D3"/>
    <w:rsid w:val="00136AC2"/>
    <w:rsid w:val="00137F24"/>
    <w:rsid w:val="00143D48"/>
    <w:rsid w:val="001531D9"/>
    <w:rsid w:val="00174ED0"/>
    <w:rsid w:val="001B2D86"/>
    <w:rsid w:val="001B48DC"/>
    <w:rsid w:val="00205AEE"/>
    <w:rsid w:val="00225C10"/>
    <w:rsid w:val="00233390"/>
    <w:rsid w:val="00240A6F"/>
    <w:rsid w:val="00246AF1"/>
    <w:rsid w:val="00266341"/>
    <w:rsid w:val="00270898"/>
    <w:rsid w:val="00271D07"/>
    <w:rsid w:val="00283691"/>
    <w:rsid w:val="002A3948"/>
    <w:rsid w:val="002A3F9E"/>
    <w:rsid w:val="002B3DB6"/>
    <w:rsid w:val="002B4613"/>
    <w:rsid w:val="002C5E98"/>
    <w:rsid w:val="002E11D9"/>
    <w:rsid w:val="002E45DE"/>
    <w:rsid w:val="002E554D"/>
    <w:rsid w:val="002F253B"/>
    <w:rsid w:val="0030716D"/>
    <w:rsid w:val="0033373D"/>
    <w:rsid w:val="003C5E61"/>
    <w:rsid w:val="003D04AB"/>
    <w:rsid w:val="003F5B8E"/>
    <w:rsid w:val="003F75C4"/>
    <w:rsid w:val="00401201"/>
    <w:rsid w:val="004161A4"/>
    <w:rsid w:val="004209C6"/>
    <w:rsid w:val="0043318F"/>
    <w:rsid w:val="0043512D"/>
    <w:rsid w:val="00436053"/>
    <w:rsid w:val="00446FB8"/>
    <w:rsid w:val="00470BC2"/>
    <w:rsid w:val="00484ECE"/>
    <w:rsid w:val="004C5FFA"/>
    <w:rsid w:val="004D6C30"/>
    <w:rsid w:val="00507543"/>
    <w:rsid w:val="00513587"/>
    <w:rsid w:val="005148E4"/>
    <w:rsid w:val="005224C6"/>
    <w:rsid w:val="00547DFE"/>
    <w:rsid w:val="00566F1C"/>
    <w:rsid w:val="0058199D"/>
    <w:rsid w:val="005830D8"/>
    <w:rsid w:val="005A41B1"/>
    <w:rsid w:val="005A43C2"/>
    <w:rsid w:val="005E0F1E"/>
    <w:rsid w:val="005F0549"/>
    <w:rsid w:val="005F0876"/>
    <w:rsid w:val="005F2754"/>
    <w:rsid w:val="00664ED4"/>
    <w:rsid w:val="00680A7B"/>
    <w:rsid w:val="006A4D59"/>
    <w:rsid w:val="006A7CB9"/>
    <w:rsid w:val="006B2E88"/>
    <w:rsid w:val="006B637B"/>
    <w:rsid w:val="006C0245"/>
    <w:rsid w:val="006C16E1"/>
    <w:rsid w:val="006C1F9D"/>
    <w:rsid w:val="006F1100"/>
    <w:rsid w:val="00717843"/>
    <w:rsid w:val="00730171"/>
    <w:rsid w:val="0077211D"/>
    <w:rsid w:val="0077426E"/>
    <w:rsid w:val="00774DA6"/>
    <w:rsid w:val="00790F56"/>
    <w:rsid w:val="00794095"/>
    <w:rsid w:val="007B7A94"/>
    <w:rsid w:val="007C5054"/>
    <w:rsid w:val="007D6D50"/>
    <w:rsid w:val="007F047D"/>
    <w:rsid w:val="00806BEF"/>
    <w:rsid w:val="00816D08"/>
    <w:rsid w:val="00816D52"/>
    <w:rsid w:val="008341D1"/>
    <w:rsid w:val="008355EE"/>
    <w:rsid w:val="00837F45"/>
    <w:rsid w:val="00842B23"/>
    <w:rsid w:val="00860986"/>
    <w:rsid w:val="00871980"/>
    <w:rsid w:val="00872495"/>
    <w:rsid w:val="008728BF"/>
    <w:rsid w:val="0087482E"/>
    <w:rsid w:val="008763DC"/>
    <w:rsid w:val="00876A4C"/>
    <w:rsid w:val="008804DB"/>
    <w:rsid w:val="00887E83"/>
    <w:rsid w:val="008A5243"/>
    <w:rsid w:val="008B3DA1"/>
    <w:rsid w:val="008B7300"/>
    <w:rsid w:val="008C69B6"/>
    <w:rsid w:val="008F3A00"/>
    <w:rsid w:val="008F7450"/>
    <w:rsid w:val="00905D0C"/>
    <w:rsid w:val="009122D1"/>
    <w:rsid w:val="00914F65"/>
    <w:rsid w:val="0092629B"/>
    <w:rsid w:val="00941B9C"/>
    <w:rsid w:val="00963639"/>
    <w:rsid w:val="00970A16"/>
    <w:rsid w:val="009800D5"/>
    <w:rsid w:val="00986478"/>
    <w:rsid w:val="009E1C32"/>
    <w:rsid w:val="00A07EB3"/>
    <w:rsid w:val="00A273CB"/>
    <w:rsid w:val="00A310F1"/>
    <w:rsid w:val="00A34739"/>
    <w:rsid w:val="00A45569"/>
    <w:rsid w:val="00A55848"/>
    <w:rsid w:val="00A56C15"/>
    <w:rsid w:val="00A830ED"/>
    <w:rsid w:val="00A91186"/>
    <w:rsid w:val="00AA79AA"/>
    <w:rsid w:val="00AC5462"/>
    <w:rsid w:val="00AD405A"/>
    <w:rsid w:val="00AF25FC"/>
    <w:rsid w:val="00B16575"/>
    <w:rsid w:val="00B22777"/>
    <w:rsid w:val="00B2420D"/>
    <w:rsid w:val="00B316C7"/>
    <w:rsid w:val="00B4437D"/>
    <w:rsid w:val="00B47922"/>
    <w:rsid w:val="00B500FA"/>
    <w:rsid w:val="00B56A00"/>
    <w:rsid w:val="00C1170E"/>
    <w:rsid w:val="00C27A2F"/>
    <w:rsid w:val="00C349D5"/>
    <w:rsid w:val="00C72AA0"/>
    <w:rsid w:val="00C76FC2"/>
    <w:rsid w:val="00C92ED2"/>
    <w:rsid w:val="00CA79E1"/>
    <w:rsid w:val="00CB5C42"/>
    <w:rsid w:val="00CC1890"/>
    <w:rsid w:val="00CE17D6"/>
    <w:rsid w:val="00CF121A"/>
    <w:rsid w:val="00D11123"/>
    <w:rsid w:val="00D14C56"/>
    <w:rsid w:val="00D30FC8"/>
    <w:rsid w:val="00D406C3"/>
    <w:rsid w:val="00D43D9B"/>
    <w:rsid w:val="00D54981"/>
    <w:rsid w:val="00D8245A"/>
    <w:rsid w:val="00D92C2B"/>
    <w:rsid w:val="00D95CAD"/>
    <w:rsid w:val="00DA65F4"/>
    <w:rsid w:val="00DE4A5C"/>
    <w:rsid w:val="00DF01EF"/>
    <w:rsid w:val="00DF58C2"/>
    <w:rsid w:val="00DF638A"/>
    <w:rsid w:val="00E256ED"/>
    <w:rsid w:val="00E2726F"/>
    <w:rsid w:val="00E31CA4"/>
    <w:rsid w:val="00E451D6"/>
    <w:rsid w:val="00E82284"/>
    <w:rsid w:val="00E87CD4"/>
    <w:rsid w:val="00EA21E4"/>
    <w:rsid w:val="00EA287F"/>
    <w:rsid w:val="00EA384C"/>
    <w:rsid w:val="00EC61F1"/>
    <w:rsid w:val="00ED4ED6"/>
    <w:rsid w:val="00ED67E1"/>
    <w:rsid w:val="00EF4A48"/>
    <w:rsid w:val="00F05259"/>
    <w:rsid w:val="00F416BB"/>
    <w:rsid w:val="00F67544"/>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 w:type="paragraph" w:customStyle="1" w:styleId="font-claude-response-body">
    <w:name w:val="font-claude-response-body"/>
    <w:basedOn w:val="Normal"/>
    <w:rsid w:val="00816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6D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32</Pages>
  <Words>8905</Words>
  <Characters>58421</Characters>
  <Application>Microsoft Office Word</Application>
  <DocSecurity>0</DocSecurity>
  <Lines>1390</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20</cp:revision>
  <cp:lastPrinted>2026-02-16T21:08:00Z</cp:lastPrinted>
  <dcterms:created xsi:type="dcterms:W3CDTF">2026-02-11T14:02:00Z</dcterms:created>
  <dcterms:modified xsi:type="dcterms:W3CDTF">2026-02-16T22:06:00Z</dcterms:modified>
</cp:coreProperties>
</file>