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06A41" w14:textId="27AE0708" w:rsidR="00AA1271" w:rsidRDefault="00E71396" w:rsidP="00E71396">
      <w:pPr>
        <w:jc w:val="center"/>
        <w:rPr>
          <w:rFonts w:ascii="Times New Roman" w:hAnsi="Times New Roman" w:cs="Times New Roman"/>
        </w:rPr>
      </w:pPr>
      <w:r>
        <w:rPr>
          <w:rFonts w:ascii="Times New Roman" w:hAnsi="Times New Roman" w:cs="Times New Roman"/>
        </w:rPr>
        <w:t>Fellowship-Grant Proposal</w:t>
      </w:r>
    </w:p>
    <w:p w14:paraId="761EE4B6" w14:textId="748F1827" w:rsidR="006E176E" w:rsidRDefault="00E71396" w:rsidP="006E176E">
      <w:pPr>
        <w:spacing w:line="360" w:lineRule="auto"/>
        <w:ind w:firstLine="720"/>
        <w:rPr>
          <w:rFonts w:ascii="Times New Roman" w:hAnsi="Times New Roman" w:cs="Times New Roman"/>
        </w:rPr>
      </w:pPr>
      <w:r>
        <w:rPr>
          <w:rFonts w:ascii="Times New Roman" w:hAnsi="Times New Roman" w:cs="Times New Roman"/>
        </w:rPr>
        <w:t xml:space="preserve">Massachusetts Congresswoman Ayanna </w:t>
      </w:r>
      <w:r w:rsidR="00D31719">
        <w:rPr>
          <w:rFonts w:ascii="Times New Roman" w:hAnsi="Times New Roman" w:cs="Times New Roman"/>
        </w:rPr>
        <w:t>Pressley often says that</w:t>
      </w:r>
      <w:r>
        <w:rPr>
          <w:rFonts w:ascii="Times New Roman" w:hAnsi="Times New Roman" w:cs="Times New Roman"/>
        </w:rPr>
        <w:t xml:space="preserve"> “the people closest to the pain</w:t>
      </w:r>
      <w:r w:rsidR="00D31719">
        <w:rPr>
          <w:rFonts w:ascii="Times New Roman" w:hAnsi="Times New Roman" w:cs="Times New Roman"/>
        </w:rPr>
        <w:t xml:space="preserve"> should be closest to the power.” She is referring to those doubly burdened by sedimented inequality and policy harms – often specifically communities who are targets of state surveillance and incarceration, or carceral citizens. Like Congresswoman Pressley, Massachusetts State Senator Liz Miranda often leads with her “</w:t>
      </w:r>
      <w:proofErr w:type="gramStart"/>
      <w:r w:rsidR="00D31719">
        <w:rPr>
          <w:rFonts w:ascii="Times New Roman" w:hAnsi="Times New Roman" w:cs="Times New Roman"/>
        </w:rPr>
        <w:t>proximally-impacted</w:t>
      </w:r>
      <w:proofErr w:type="gramEnd"/>
      <w:r w:rsidR="00D31719">
        <w:rPr>
          <w:rFonts w:ascii="Times New Roman" w:hAnsi="Times New Roman" w:cs="Times New Roman"/>
        </w:rPr>
        <w:t xml:space="preserve">” identity, drawing on her familial and personal connections to carceral citizens who are or have been behind the wall. </w:t>
      </w:r>
      <w:r w:rsidR="00E05846">
        <w:rPr>
          <w:rFonts w:ascii="Times New Roman" w:hAnsi="Times New Roman" w:cs="Times New Roman"/>
        </w:rPr>
        <w:t xml:space="preserve">Both are distinctive </w:t>
      </w:r>
      <w:r w:rsidR="006E176E">
        <w:rPr>
          <w:rFonts w:ascii="Times New Roman" w:hAnsi="Times New Roman" w:cs="Times New Roman"/>
        </w:rPr>
        <w:t>in their linking of their impacted identities to representational styles – for example, routinely meeting with constituents in prison and maintaining ongoing lines of communication with their loved ones – and to their policy priorities, demonstrating</w:t>
      </w:r>
      <w:r w:rsidR="00E05846">
        <w:rPr>
          <w:rFonts w:ascii="Times New Roman" w:hAnsi="Times New Roman" w:cs="Times New Roman"/>
        </w:rPr>
        <w:t xml:space="preserve"> that in representative democracies, legislators play a foundational role in determining which groups are politically visible, and whose knowledge </w:t>
      </w:r>
      <w:r w:rsidR="00701387" w:rsidRPr="00701387">
        <w:rPr>
          <w:rFonts w:ascii="Times New Roman" w:hAnsi="Times New Roman" w:cs="Times New Roman"/>
        </w:rPr>
        <w:t>is treated as relevant for policymaking (</w:t>
      </w:r>
      <w:proofErr w:type="spellStart"/>
      <w:r w:rsidR="00701387" w:rsidRPr="00701387">
        <w:rPr>
          <w:rFonts w:ascii="Times New Roman" w:hAnsi="Times New Roman" w:cs="Times New Roman"/>
        </w:rPr>
        <w:t>Fenno</w:t>
      </w:r>
      <w:proofErr w:type="spellEnd"/>
      <w:r w:rsidR="00701387" w:rsidRPr="00701387">
        <w:rPr>
          <w:rFonts w:ascii="Times New Roman" w:hAnsi="Times New Roman" w:cs="Times New Roman"/>
        </w:rPr>
        <w:t xml:space="preserve"> 1978; Miler 2018; Pottle 2025).</w:t>
      </w:r>
      <w:r w:rsidR="00701387">
        <w:rPr>
          <w:rFonts w:ascii="Times New Roman" w:hAnsi="Times New Roman" w:cs="Times New Roman"/>
        </w:rPr>
        <w:t xml:space="preserve"> </w:t>
      </w:r>
    </w:p>
    <w:p w14:paraId="53B91CC3" w14:textId="2962F29A" w:rsidR="006E176E" w:rsidRDefault="006E176E" w:rsidP="00FC2656">
      <w:pPr>
        <w:spacing w:line="360" w:lineRule="auto"/>
        <w:rPr>
          <w:rFonts w:ascii="Times New Roman" w:hAnsi="Times New Roman" w:cs="Times New Roman"/>
        </w:rPr>
      </w:pPr>
      <w:r>
        <w:rPr>
          <w:rFonts w:ascii="Times New Roman" w:hAnsi="Times New Roman" w:cs="Times New Roman"/>
        </w:rPr>
        <w:t>An</w:t>
      </w:r>
      <w:r w:rsidR="00701387">
        <w:rPr>
          <w:rFonts w:ascii="Times New Roman" w:hAnsi="Times New Roman" w:cs="Times New Roman"/>
        </w:rPr>
        <w:t xml:space="preserve"> ever</w:t>
      </w:r>
      <w:r>
        <w:rPr>
          <w:rFonts w:ascii="Times New Roman" w:hAnsi="Times New Roman" w:cs="Times New Roman"/>
        </w:rPr>
        <w:t>-g</w:t>
      </w:r>
      <w:r w:rsidR="00701387">
        <w:rPr>
          <w:rFonts w:ascii="Times New Roman" w:hAnsi="Times New Roman" w:cs="Times New Roman"/>
        </w:rPr>
        <w:t xml:space="preserve">rowing body of scholarship demonstrates </w:t>
      </w:r>
      <w:r>
        <w:rPr>
          <w:rFonts w:ascii="Times New Roman" w:hAnsi="Times New Roman" w:cs="Times New Roman"/>
        </w:rPr>
        <w:t xml:space="preserve">that Congresswoman Pressley and Senator Miranda are </w:t>
      </w:r>
      <w:r w:rsidR="00E15018">
        <w:rPr>
          <w:rFonts w:ascii="Times New Roman" w:hAnsi="Times New Roman" w:cs="Times New Roman"/>
        </w:rPr>
        <w:t>probably not</w:t>
      </w:r>
      <w:r>
        <w:rPr>
          <w:rFonts w:ascii="Times New Roman" w:hAnsi="Times New Roman" w:cs="Times New Roman"/>
        </w:rPr>
        <w:t xml:space="preserve"> the norm</w:t>
      </w:r>
      <w:r w:rsidR="00E15018">
        <w:rPr>
          <w:rFonts w:ascii="Times New Roman" w:hAnsi="Times New Roman" w:cs="Times New Roman"/>
        </w:rPr>
        <w:t>. This work instead suggests that the</w:t>
      </w:r>
      <w:r w:rsidR="00701387">
        <w:rPr>
          <w:rFonts w:ascii="Times New Roman" w:hAnsi="Times New Roman" w:cs="Times New Roman"/>
        </w:rPr>
        <w:t xml:space="preserve"> </w:t>
      </w:r>
      <w:r w:rsidR="00701387" w:rsidRPr="00701387">
        <w:rPr>
          <w:rFonts w:ascii="Times New Roman" w:hAnsi="Times New Roman" w:cs="Times New Roman"/>
        </w:rPr>
        <w:t>more than 2 million</w:t>
      </w:r>
      <w:r>
        <w:rPr>
          <w:rFonts w:ascii="Times New Roman" w:hAnsi="Times New Roman" w:cs="Times New Roman"/>
        </w:rPr>
        <w:t xml:space="preserve">, disproportionately Black, Latino/Hispanic, and low-income </w:t>
      </w:r>
      <w:r w:rsidR="00701387" w:rsidRPr="00701387">
        <w:rPr>
          <w:rFonts w:ascii="Times New Roman" w:hAnsi="Times New Roman" w:cs="Times New Roman"/>
        </w:rPr>
        <w:t>incarcerated people in the United States</w:t>
      </w:r>
      <w:r w:rsidR="00701387">
        <w:rPr>
          <w:rFonts w:ascii="Times New Roman" w:hAnsi="Times New Roman" w:cs="Times New Roman"/>
        </w:rPr>
        <w:t xml:space="preserve"> are </w:t>
      </w:r>
      <w:r w:rsidR="00E71396">
        <w:rPr>
          <w:rFonts w:ascii="Times New Roman" w:hAnsi="Times New Roman" w:cs="Times New Roman"/>
        </w:rPr>
        <w:t>politically</w:t>
      </w:r>
      <w:r w:rsidR="00701387">
        <w:rPr>
          <w:rFonts w:ascii="Times New Roman" w:hAnsi="Times New Roman" w:cs="Times New Roman"/>
        </w:rPr>
        <w:t xml:space="preserve"> </w:t>
      </w:r>
      <w:proofErr w:type="spellStart"/>
      <w:r w:rsidR="00701387">
        <w:rPr>
          <w:rFonts w:ascii="Times New Roman" w:hAnsi="Times New Roman" w:cs="Times New Roman"/>
        </w:rPr>
        <w:t>invisibilized</w:t>
      </w:r>
      <w:proofErr w:type="spellEnd"/>
      <w:r w:rsidR="00E15018">
        <w:rPr>
          <w:rFonts w:ascii="Times New Roman" w:hAnsi="Times New Roman" w:cs="Times New Roman"/>
        </w:rPr>
        <w:t xml:space="preserve"> and epistemically erased</w:t>
      </w:r>
      <w:r w:rsidR="00701387">
        <w:rPr>
          <w:rFonts w:ascii="Times New Roman" w:hAnsi="Times New Roman" w:cs="Times New Roman"/>
        </w:rPr>
        <w:t xml:space="preserve">, </w:t>
      </w:r>
      <w:r w:rsidR="00E15018">
        <w:rPr>
          <w:rFonts w:ascii="Times New Roman" w:hAnsi="Times New Roman" w:cs="Times New Roman"/>
        </w:rPr>
        <w:t>given myriad</w:t>
      </w:r>
      <w:r w:rsidR="00701387">
        <w:rPr>
          <w:rFonts w:ascii="Times New Roman" w:hAnsi="Times New Roman" w:cs="Times New Roman"/>
        </w:rPr>
        <w:t xml:space="preserve"> barriers to recognition </w:t>
      </w:r>
      <w:r w:rsidR="00701387" w:rsidRPr="00701387">
        <w:rPr>
          <w:rFonts w:ascii="Times New Roman" w:hAnsi="Times New Roman" w:cs="Times New Roman"/>
        </w:rPr>
        <w:t>as political constituents</w:t>
      </w:r>
      <w:r w:rsidR="00701387">
        <w:rPr>
          <w:rFonts w:ascii="Times New Roman" w:hAnsi="Times New Roman" w:cs="Times New Roman"/>
        </w:rPr>
        <w:t xml:space="preserve"> </w:t>
      </w:r>
      <w:r w:rsidR="00572215">
        <w:rPr>
          <w:rFonts w:ascii="Times New Roman" w:hAnsi="Times New Roman" w:cs="Times New Roman"/>
        </w:rPr>
        <w:t>through dislocation and systematic exclusion from both electoral and discursive arenas</w:t>
      </w:r>
      <w:r w:rsidR="00701387" w:rsidRPr="00701387">
        <w:rPr>
          <w:rFonts w:ascii="Times New Roman" w:hAnsi="Times New Roman" w:cs="Times New Roman"/>
        </w:rPr>
        <w:t xml:space="preserve"> (Nellis 2021).</w:t>
      </w:r>
      <w:r w:rsidR="00701387">
        <w:rPr>
          <w:rFonts w:ascii="Times New Roman" w:hAnsi="Times New Roman" w:cs="Times New Roman"/>
        </w:rPr>
        <w:t xml:space="preserve"> </w:t>
      </w:r>
      <w:r>
        <w:rPr>
          <w:rFonts w:ascii="Times New Roman" w:hAnsi="Times New Roman" w:cs="Times New Roman"/>
        </w:rPr>
        <w:t>White and white-</w:t>
      </w:r>
      <w:r w:rsidR="00E15018">
        <w:rPr>
          <w:rFonts w:ascii="Times New Roman" w:hAnsi="Times New Roman" w:cs="Times New Roman"/>
        </w:rPr>
        <w:t>collar</w:t>
      </w:r>
      <w:r>
        <w:rPr>
          <w:rFonts w:ascii="Times New Roman" w:hAnsi="Times New Roman" w:cs="Times New Roman"/>
        </w:rPr>
        <w:t xml:space="preserve"> dominated legislatures are more likely to consider “criminals” and criminal legal policy through the lens of </w:t>
      </w:r>
      <w:r w:rsidR="00E15018">
        <w:rPr>
          <w:rFonts w:ascii="Times New Roman" w:hAnsi="Times New Roman" w:cs="Times New Roman"/>
        </w:rPr>
        <w:t xml:space="preserve">racialized </w:t>
      </w:r>
      <w:r>
        <w:rPr>
          <w:rFonts w:ascii="Times New Roman" w:hAnsi="Times New Roman" w:cs="Times New Roman"/>
        </w:rPr>
        <w:t xml:space="preserve">imagination rather than unwanted lived experience (Weaver and Hinton), contributing to Democratic legislators’ proclivity to selectively hear policy needs expressed by racially marginalized communities (Weaver &amp; Prowse 2020; Eckhouse 2018). Criminal legal policy </w:t>
      </w:r>
      <w:r w:rsidR="00E15018">
        <w:rPr>
          <w:rFonts w:ascii="Times New Roman" w:hAnsi="Times New Roman" w:cs="Times New Roman"/>
        </w:rPr>
        <w:t>is thus not a matter of partisan polarization only</w:t>
      </w:r>
      <w:r>
        <w:rPr>
          <w:rFonts w:ascii="Times New Roman" w:hAnsi="Times New Roman" w:cs="Times New Roman"/>
        </w:rPr>
        <w:t xml:space="preserve"> – as evidenced by </w:t>
      </w:r>
      <w:r w:rsidR="00BC5549">
        <w:rPr>
          <w:rFonts w:ascii="Times New Roman" w:hAnsi="Times New Roman" w:cs="Times New Roman"/>
        </w:rPr>
        <w:t xml:space="preserve">the maintenance of punitive and exclusionary policy in Democratic and liberal-leaning states. Massachusetts, for instance, </w:t>
      </w:r>
      <w:r w:rsidR="00744D2C">
        <w:rPr>
          <w:rFonts w:ascii="Times New Roman" w:hAnsi="Times New Roman" w:cs="Times New Roman"/>
        </w:rPr>
        <w:t>passed a law disenfranchising</w:t>
      </w:r>
      <w:r w:rsidR="00BC5549">
        <w:rPr>
          <w:rFonts w:ascii="Times New Roman" w:hAnsi="Times New Roman" w:cs="Times New Roman"/>
        </w:rPr>
        <w:t xml:space="preserve"> incarcerated citizens </w:t>
      </w:r>
      <w:r w:rsidR="00744D2C">
        <w:rPr>
          <w:rFonts w:ascii="Times New Roman" w:hAnsi="Times New Roman" w:cs="Times New Roman"/>
        </w:rPr>
        <w:t>in 2000</w:t>
      </w:r>
      <w:r w:rsidR="00BC5549">
        <w:rPr>
          <w:rFonts w:ascii="Times New Roman" w:hAnsi="Times New Roman" w:cs="Times New Roman"/>
        </w:rPr>
        <w:t xml:space="preserve">. </w:t>
      </w:r>
    </w:p>
    <w:p w14:paraId="4AD916DF" w14:textId="4D486887" w:rsidR="000F38CE" w:rsidRDefault="00701387" w:rsidP="00FC2656">
      <w:pPr>
        <w:spacing w:line="360" w:lineRule="auto"/>
        <w:rPr>
          <w:rFonts w:ascii="Times New Roman" w:hAnsi="Times New Roman" w:cs="Times New Roman"/>
        </w:rPr>
      </w:pPr>
      <w:r w:rsidRPr="00701387">
        <w:rPr>
          <w:rFonts w:ascii="Times New Roman" w:hAnsi="Times New Roman" w:cs="Times New Roman"/>
        </w:rPr>
        <w:t>Yet</w:t>
      </w:r>
      <w:r w:rsidR="00BC5549">
        <w:rPr>
          <w:rFonts w:ascii="Times New Roman" w:hAnsi="Times New Roman" w:cs="Times New Roman"/>
        </w:rPr>
        <w:t xml:space="preserve">, Senator Miranda and Congresswoman Pressley have also yielded substantive gains: 20 years after the fact, both were instrumental in passing </w:t>
      </w:r>
      <w:r w:rsidR="00744D2C">
        <w:rPr>
          <w:rFonts w:ascii="Times New Roman" w:hAnsi="Times New Roman" w:cs="Times New Roman"/>
        </w:rPr>
        <w:t>a different bill</w:t>
      </w:r>
      <w:r w:rsidR="00BC5549">
        <w:rPr>
          <w:rFonts w:ascii="Times New Roman" w:hAnsi="Times New Roman" w:cs="Times New Roman"/>
        </w:rPr>
        <w:t xml:space="preserve"> to </w:t>
      </w:r>
      <w:r w:rsidR="00BC5549" w:rsidRPr="00744D2C">
        <w:rPr>
          <w:rFonts w:ascii="Times New Roman" w:hAnsi="Times New Roman" w:cs="Times New Roman"/>
          <w:i/>
          <w:iCs/>
        </w:rPr>
        <w:t>strengthen</w:t>
      </w:r>
      <w:r w:rsidR="00BC5549">
        <w:rPr>
          <w:rFonts w:ascii="Times New Roman" w:hAnsi="Times New Roman" w:cs="Times New Roman"/>
        </w:rPr>
        <w:t xml:space="preserve"> carceral constituents’ access to the ballot, underscoring suggestions </w:t>
      </w:r>
      <w:r w:rsidR="00744D2C">
        <w:rPr>
          <w:rFonts w:ascii="Times New Roman" w:hAnsi="Times New Roman" w:cs="Times New Roman"/>
        </w:rPr>
        <w:t xml:space="preserve">that </w:t>
      </w:r>
      <w:r w:rsidR="00BC5549">
        <w:rPr>
          <w:rFonts w:ascii="Times New Roman" w:hAnsi="Times New Roman" w:cs="Times New Roman"/>
        </w:rPr>
        <w:t xml:space="preserve">through </w:t>
      </w:r>
      <w:r w:rsidRPr="00701387">
        <w:rPr>
          <w:rFonts w:ascii="Times New Roman" w:hAnsi="Times New Roman" w:cs="Times New Roman"/>
        </w:rPr>
        <w:t xml:space="preserve">descriptive </w:t>
      </w:r>
      <w:r w:rsidRPr="00701387">
        <w:rPr>
          <w:rFonts w:ascii="Times New Roman" w:hAnsi="Times New Roman" w:cs="Times New Roman"/>
        </w:rPr>
        <w:lastRenderedPageBreak/>
        <w:t xml:space="preserve">representation by directly impacted legislators </w:t>
      </w:r>
      <w:r w:rsidR="00BC5549">
        <w:rPr>
          <w:rFonts w:ascii="Times New Roman" w:hAnsi="Times New Roman" w:cs="Times New Roman"/>
        </w:rPr>
        <w:t xml:space="preserve">– and representational styles that symbolically represent and epistemically include carceral </w:t>
      </w:r>
      <w:r w:rsidR="006D66AA">
        <w:rPr>
          <w:rFonts w:ascii="Times New Roman" w:hAnsi="Times New Roman" w:cs="Times New Roman"/>
        </w:rPr>
        <w:t>citizens</w:t>
      </w:r>
      <w:r w:rsidR="00BC5549">
        <w:rPr>
          <w:rFonts w:ascii="Times New Roman" w:hAnsi="Times New Roman" w:cs="Times New Roman"/>
        </w:rPr>
        <w:t xml:space="preserve"> – these boundaries can be redrawn </w:t>
      </w:r>
      <w:r w:rsidRPr="00701387">
        <w:rPr>
          <w:rFonts w:ascii="Times New Roman" w:hAnsi="Times New Roman" w:cs="Times New Roman"/>
        </w:rPr>
        <w:t>(Brown 2014; Eckhouse 2018)</w:t>
      </w:r>
      <w:r w:rsidR="00BC5549">
        <w:rPr>
          <w:rFonts w:ascii="Times New Roman" w:hAnsi="Times New Roman" w:cs="Times New Roman"/>
        </w:rPr>
        <w:t>.</w:t>
      </w:r>
    </w:p>
    <w:p w14:paraId="26E75633" w14:textId="54EC47D1" w:rsidR="00AA1271" w:rsidRDefault="00744D2C" w:rsidP="000F38CE">
      <w:pPr>
        <w:spacing w:line="360" w:lineRule="auto"/>
        <w:rPr>
          <w:rFonts w:ascii="Times New Roman" w:hAnsi="Times New Roman" w:cs="Times New Roman"/>
        </w:rPr>
      </w:pPr>
      <w:r w:rsidRPr="00D1023F">
        <w:rPr>
          <w:rFonts w:ascii="Times New Roman" w:hAnsi="Times New Roman" w:cs="Times New Roman"/>
          <w:u w:val="single"/>
        </w:rPr>
        <w:t>I</w:t>
      </w:r>
      <w:r w:rsidR="00C64BAC" w:rsidRPr="00D1023F">
        <w:rPr>
          <w:rFonts w:ascii="Times New Roman" w:hAnsi="Times New Roman" w:cs="Times New Roman"/>
          <w:u w:val="single"/>
        </w:rPr>
        <w:t xml:space="preserve"> am applying to the grant/fellowship to </w:t>
      </w:r>
      <w:r w:rsidRPr="00D1023F">
        <w:rPr>
          <w:rFonts w:ascii="Times New Roman" w:hAnsi="Times New Roman" w:cs="Times New Roman"/>
          <w:u w:val="single"/>
        </w:rPr>
        <w:t xml:space="preserve">support a project that </w:t>
      </w:r>
      <w:r w:rsidR="005C450F" w:rsidRPr="00D1023F">
        <w:rPr>
          <w:rFonts w:ascii="Times New Roman" w:hAnsi="Times New Roman" w:cs="Times New Roman"/>
          <w:u w:val="single"/>
        </w:rPr>
        <w:t>asks</w:t>
      </w:r>
      <w:r w:rsidR="005C450F">
        <w:rPr>
          <w:rFonts w:ascii="Times New Roman" w:hAnsi="Times New Roman" w:cs="Times New Roman"/>
        </w:rPr>
        <w:t xml:space="preserve"> </w:t>
      </w:r>
      <w:r w:rsidR="00C64BAC">
        <w:rPr>
          <w:rFonts w:ascii="Times New Roman" w:hAnsi="Times New Roman" w:cs="Times New Roman"/>
        </w:rPr>
        <w:t>w</w:t>
      </w:r>
      <w:r w:rsidR="00AA1271">
        <w:rPr>
          <w:rFonts w:ascii="Times New Roman" w:hAnsi="Times New Roman" w:cs="Times New Roman"/>
        </w:rPr>
        <w:t xml:space="preserve">hen – and under what structural and </w:t>
      </w:r>
      <w:r w:rsidR="00C64BAC">
        <w:rPr>
          <w:rFonts w:ascii="Times New Roman" w:hAnsi="Times New Roman" w:cs="Times New Roman"/>
        </w:rPr>
        <w:t>identity-based</w:t>
      </w:r>
      <w:r w:rsidR="00AA1271">
        <w:rPr>
          <w:rFonts w:ascii="Times New Roman" w:hAnsi="Times New Roman" w:cs="Times New Roman"/>
        </w:rPr>
        <w:t xml:space="preserve"> conditions –incarcerated people </w:t>
      </w:r>
      <w:r>
        <w:rPr>
          <w:rFonts w:ascii="Times New Roman" w:hAnsi="Times New Roman" w:cs="Times New Roman"/>
        </w:rPr>
        <w:t xml:space="preserve">are </w:t>
      </w:r>
      <w:r w:rsidR="00AA1271">
        <w:rPr>
          <w:rFonts w:ascii="Times New Roman" w:hAnsi="Times New Roman" w:cs="Times New Roman"/>
        </w:rPr>
        <w:t xml:space="preserve">symbolically </w:t>
      </w:r>
      <w:r w:rsidR="00034833">
        <w:rPr>
          <w:rFonts w:ascii="Times New Roman" w:hAnsi="Times New Roman" w:cs="Times New Roman"/>
        </w:rPr>
        <w:t>recognized as constituents</w:t>
      </w:r>
      <w:r w:rsidR="00C64BAC">
        <w:rPr>
          <w:rFonts w:ascii="Times New Roman" w:hAnsi="Times New Roman" w:cs="Times New Roman"/>
        </w:rPr>
        <w:t xml:space="preserve"> and epistemically included</w:t>
      </w:r>
      <w:r>
        <w:rPr>
          <w:rFonts w:ascii="Times New Roman" w:hAnsi="Times New Roman" w:cs="Times New Roman"/>
        </w:rPr>
        <w:t>.</w:t>
      </w:r>
      <w:r w:rsidR="00C64BAC">
        <w:rPr>
          <w:rFonts w:ascii="Times New Roman" w:hAnsi="Times New Roman" w:cs="Times New Roman"/>
        </w:rPr>
        <w:t xml:space="preserve"> Specifically, I ask</w:t>
      </w:r>
      <w:r>
        <w:rPr>
          <w:rFonts w:ascii="Times New Roman" w:hAnsi="Times New Roman" w:cs="Times New Roman"/>
        </w:rPr>
        <w:t>:</w:t>
      </w:r>
      <w:r w:rsidR="00C64BAC">
        <w:rPr>
          <w:rFonts w:ascii="Times New Roman" w:hAnsi="Times New Roman" w:cs="Times New Roman"/>
        </w:rPr>
        <w:t xml:space="preserve"> when do legislators describe incarcerated people or carceral citizens as constituents, treat them as knowers, or respond to them as members of the policy rather than mere policy objects? This project will lay the foundations to ultimately examine links between representation and </w:t>
      </w:r>
      <w:r w:rsidR="00E40BCA">
        <w:rPr>
          <w:rFonts w:ascii="Times New Roman" w:hAnsi="Times New Roman" w:cs="Times New Roman"/>
        </w:rPr>
        <w:t xml:space="preserve">epistemic </w:t>
      </w:r>
      <w:r w:rsidR="00C64BAC">
        <w:rPr>
          <w:rFonts w:ascii="Times New Roman" w:hAnsi="Times New Roman" w:cs="Times New Roman"/>
        </w:rPr>
        <w:t xml:space="preserve">inclusion, and responsiveness – potentially explicating a feedback loop through which political exclusion begets politically excluding and epistemically erasing policy. </w:t>
      </w:r>
    </w:p>
    <w:p w14:paraId="5CFCA30C" w14:textId="5F898E9D" w:rsidR="0050455C" w:rsidRDefault="00AA1271" w:rsidP="000F38CE">
      <w:pPr>
        <w:spacing w:line="360" w:lineRule="auto"/>
        <w:rPr>
          <w:rFonts w:ascii="Times New Roman" w:hAnsi="Times New Roman" w:cs="Times New Roman"/>
        </w:rPr>
      </w:pPr>
      <w:r>
        <w:rPr>
          <w:rFonts w:ascii="Times New Roman" w:hAnsi="Times New Roman" w:cs="Times New Roman"/>
        </w:rPr>
        <w:t xml:space="preserve">In this project, I </w:t>
      </w:r>
      <w:r w:rsidR="001B097F">
        <w:rPr>
          <w:rFonts w:ascii="Times New Roman" w:hAnsi="Times New Roman" w:cs="Times New Roman"/>
        </w:rPr>
        <w:t xml:space="preserve">primarily focus on </w:t>
      </w:r>
      <w:r w:rsidR="001B097F" w:rsidRPr="00B4531A">
        <w:rPr>
          <w:rFonts w:ascii="Times New Roman" w:hAnsi="Times New Roman" w:cs="Times New Roman"/>
          <w:i/>
          <w:iCs/>
        </w:rPr>
        <w:t xml:space="preserve">symbolic </w:t>
      </w:r>
      <w:r w:rsidR="00E40BCA">
        <w:rPr>
          <w:rFonts w:ascii="Times New Roman" w:hAnsi="Times New Roman" w:cs="Times New Roman"/>
          <w:i/>
          <w:iCs/>
        </w:rPr>
        <w:t>representation</w:t>
      </w:r>
      <w:r w:rsidR="001B097F">
        <w:rPr>
          <w:rFonts w:ascii="Times New Roman" w:hAnsi="Times New Roman" w:cs="Times New Roman"/>
        </w:rPr>
        <w:t xml:space="preserve">, asking whether and when legislators publicly describe incarcerated people as members of their constituencies. Recent scholarship suggests that symbolic inclusion of </w:t>
      </w:r>
      <w:r w:rsidR="00B4531A">
        <w:rPr>
          <w:rFonts w:ascii="Times New Roman" w:hAnsi="Times New Roman" w:cs="Times New Roman"/>
        </w:rPr>
        <w:t xml:space="preserve">marginalized groups </w:t>
      </w:r>
      <w:r w:rsidR="00744D2C">
        <w:rPr>
          <w:rFonts w:ascii="Times New Roman" w:hAnsi="Times New Roman" w:cs="Times New Roman"/>
        </w:rPr>
        <w:t xml:space="preserve">is rare, and that such representational performances should be scrutinized for </w:t>
      </w:r>
      <w:r w:rsidR="00B4531A">
        <w:rPr>
          <w:rFonts w:ascii="Times New Roman" w:hAnsi="Times New Roman" w:cs="Times New Roman"/>
        </w:rPr>
        <w:t>“hollow signaling”</w:t>
      </w:r>
      <w:r w:rsidR="001B097F">
        <w:rPr>
          <w:rFonts w:ascii="Times New Roman" w:hAnsi="Times New Roman" w:cs="Times New Roman"/>
        </w:rPr>
        <w:t xml:space="preserve"> </w:t>
      </w:r>
      <w:r w:rsidR="00B4531A">
        <w:rPr>
          <w:rFonts w:ascii="Times New Roman" w:hAnsi="Times New Roman" w:cs="Times New Roman"/>
        </w:rPr>
        <w:t xml:space="preserve">or </w:t>
      </w:r>
      <w:r w:rsidR="00744D2C">
        <w:rPr>
          <w:rFonts w:ascii="Times New Roman" w:hAnsi="Times New Roman" w:cs="Times New Roman"/>
        </w:rPr>
        <w:t>“s</w:t>
      </w:r>
      <w:r w:rsidR="00B4531A">
        <w:rPr>
          <w:rFonts w:ascii="Times New Roman" w:hAnsi="Times New Roman" w:cs="Times New Roman"/>
        </w:rPr>
        <w:t xml:space="preserve">elective hearing” that subverts the interests and knowledge of the marginalized constituency (Pottle 2025, Weaver, Prowse, and Piston 2019). Thus, this project also explores questions of </w:t>
      </w:r>
      <w:r w:rsidR="00B4531A" w:rsidRPr="00B4531A">
        <w:rPr>
          <w:rFonts w:ascii="Times New Roman" w:hAnsi="Times New Roman" w:cs="Times New Roman"/>
          <w:i/>
          <w:iCs/>
        </w:rPr>
        <w:t>epistemic inclusion</w:t>
      </w:r>
      <w:r w:rsidR="00B4531A">
        <w:rPr>
          <w:rFonts w:ascii="Times New Roman" w:hAnsi="Times New Roman" w:cs="Times New Roman"/>
        </w:rPr>
        <w:t>. That is, it</w:t>
      </w:r>
      <w:r w:rsidR="001B097F">
        <w:rPr>
          <w:rFonts w:ascii="Times New Roman" w:hAnsi="Times New Roman" w:cs="Times New Roman"/>
        </w:rPr>
        <w:t xml:space="preserve"> </w:t>
      </w:r>
      <w:r w:rsidR="0050455C">
        <w:rPr>
          <w:rFonts w:ascii="Times New Roman" w:hAnsi="Times New Roman" w:cs="Times New Roman"/>
        </w:rPr>
        <w:t xml:space="preserve">does not treat symbolic representation as automatically epistemically </w:t>
      </w:r>
      <w:proofErr w:type="gramStart"/>
      <w:r w:rsidR="0050455C">
        <w:rPr>
          <w:rFonts w:ascii="Times New Roman" w:hAnsi="Times New Roman" w:cs="Times New Roman"/>
        </w:rPr>
        <w:t>inclusive, and</w:t>
      </w:r>
      <w:proofErr w:type="gramEnd"/>
      <w:r w:rsidR="0050455C">
        <w:rPr>
          <w:rFonts w:ascii="Times New Roman" w:hAnsi="Times New Roman" w:cs="Times New Roman"/>
        </w:rPr>
        <w:t xml:space="preserve"> instead asks when symbolic acts treat carceral constituencies as knowers (Pottle 2025).</w:t>
      </w:r>
      <w:r w:rsidR="001042D0">
        <w:rPr>
          <w:rFonts w:ascii="Times New Roman" w:hAnsi="Times New Roman" w:cs="Times New Roman"/>
        </w:rPr>
        <w:t xml:space="preserve"> </w:t>
      </w:r>
    </w:p>
    <w:p w14:paraId="4DBF22A1" w14:textId="6307F420" w:rsidR="001B097F" w:rsidRPr="00B4531A" w:rsidRDefault="00B4531A" w:rsidP="000F38CE">
      <w:pPr>
        <w:spacing w:line="360" w:lineRule="auto"/>
        <w:rPr>
          <w:rFonts w:ascii="Times New Roman" w:hAnsi="Times New Roman" w:cs="Times New Roman"/>
        </w:rPr>
      </w:pPr>
      <w:r>
        <w:rPr>
          <w:rFonts w:ascii="Times New Roman" w:hAnsi="Times New Roman" w:cs="Times New Roman"/>
        </w:rPr>
        <w:t xml:space="preserve">asks whether legislators incorporate the knowledge, perspectives, or testimony of incarcerated people into deliberation, and – at the intersection of epistemic inclusion and </w:t>
      </w:r>
      <w:r>
        <w:rPr>
          <w:rFonts w:ascii="Times New Roman" w:hAnsi="Times New Roman" w:cs="Times New Roman"/>
          <w:i/>
          <w:iCs/>
        </w:rPr>
        <w:t>responsiveness</w:t>
      </w:r>
      <w:r>
        <w:rPr>
          <w:rFonts w:ascii="Times New Roman" w:hAnsi="Times New Roman" w:cs="Times New Roman"/>
        </w:rPr>
        <w:t xml:space="preserve"> – it seeks to explore whether and when legislators act as bridges to carceral constituencies. In other words, this is also an exploratory project into the viability of studying whether symbolic and epistemic inclusion shape representational behavior and translate to policy responsiveness. </w:t>
      </w:r>
    </w:p>
    <w:p w14:paraId="0A5EA0B8" w14:textId="53DB0235" w:rsidR="001D36EF" w:rsidRDefault="001D36EF" w:rsidP="000F38CE">
      <w:pPr>
        <w:spacing w:line="360" w:lineRule="auto"/>
        <w:rPr>
          <w:rFonts w:ascii="Times New Roman" w:hAnsi="Times New Roman" w:cs="Times New Roman"/>
        </w:rPr>
      </w:pPr>
      <w:r>
        <w:rPr>
          <w:rFonts w:ascii="Times New Roman" w:hAnsi="Times New Roman" w:cs="Times New Roman"/>
        </w:rPr>
        <w:t xml:space="preserve">While I present these aims collectively in this proposal to indicate how a fellowship year will allow me to deepen the scope of my project/how particular questions will develop, this proposal’s methodology is primarily focused on measures of symbolic inclusion. Moreover, these questions constitute critical developmental components of my interest in – most broadly – how [systemic factures in the CJ system + systemic factors in systems of representation join to shape </w:t>
      </w:r>
      <w:r>
        <w:rPr>
          <w:rFonts w:ascii="Times New Roman" w:hAnsi="Times New Roman" w:cs="Times New Roman"/>
        </w:rPr>
        <w:lastRenderedPageBreak/>
        <w:t xml:space="preserve">which groups are recognized as worthy of representation, and how such recognition is in a feedback loop with policy outcomes]. </w:t>
      </w:r>
    </w:p>
    <w:p w14:paraId="56530963" w14:textId="23869609" w:rsidR="001D36EF" w:rsidRDefault="001D36EF" w:rsidP="000F38CE">
      <w:pPr>
        <w:spacing w:line="360" w:lineRule="auto"/>
        <w:jc w:val="center"/>
        <w:rPr>
          <w:rFonts w:ascii="Times New Roman" w:hAnsi="Times New Roman" w:cs="Times New Roman"/>
        </w:rPr>
      </w:pPr>
      <w:r>
        <w:rPr>
          <w:rFonts w:ascii="Times New Roman" w:hAnsi="Times New Roman" w:cs="Times New Roman"/>
        </w:rPr>
        <w:t>Literature</w:t>
      </w:r>
    </w:p>
    <w:p w14:paraId="44E75DDB" w14:textId="49173965" w:rsidR="00DA217A" w:rsidRDefault="00DA217A" w:rsidP="000F38CE">
      <w:pPr>
        <w:spacing w:line="360" w:lineRule="auto"/>
        <w:rPr>
          <w:rFonts w:ascii="Times New Roman" w:hAnsi="Times New Roman" w:cs="Times New Roman"/>
        </w:rPr>
      </w:pPr>
      <w:r>
        <w:rPr>
          <w:rFonts w:ascii="Times New Roman" w:hAnsi="Times New Roman" w:cs="Times New Roman"/>
        </w:rPr>
        <w:t xml:space="preserve">[Big theory question – who deserves rights and how those rights-bearing citizens are represented is a fundamental theoretical question in political science]. </w:t>
      </w:r>
      <w:r w:rsidR="00882A16">
        <w:rPr>
          <w:rFonts w:ascii="Times New Roman" w:hAnsi="Times New Roman" w:cs="Times New Roman"/>
        </w:rPr>
        <w:t>As part of that project, political scientists</w:t>
      </w:r>
      <w:r w:rsidR="00B4531A">
        <w:rPr>
          <w:rFonts w:ascii="Times New Roman" w:hAnsi="Times New Roman" w:cs="Times New Roman"/>
        </w:rPr>
        <w:t xml:space="preserve"> </w:t>
      </w:r>
      <w:r>
        <w:rPr>
          <w:rFonts w:ascii="Times New Roman" w:hAnsi="Times New Roman" w:cs="Times New Roman"/>
        </w:rPr>
        <w:t>have</w:t>
      </w:r>
      <w:r w:rsidR="00B662E0">
        <w:rPr>
          <w:rFonts w:ascii="Times New Roman" w:hAnsi="Times New Roman" w:cs="Times New Roman"/>
        </w:rPr>
        <w:t xml:space="preserve"> established that legislators’ perceptions of who “counts” as a constituency shapes who they respond to in various ways (</w:t>
      </w:r>
      <w:proofErr w:type="spellStart"/>
      <w:r w:rsidR="00B662E0">
        <w:rPr>
          <w:rFonts w:ascii="Times New Roman" w:hAnsi="Times New Roman" w:cs="Times New Roman"/>
        </w:rPr>
        <w:t>Fenno</w:t>
      </w:r>
      <w:proofErr w:type="spellEnd"/>
      <w:r w:rsidR="00B662E0">
        <w:rPr>
          <w:rFonts w:ascii="Times New Roman" w:hAnsi="Times New Roman" w:cs="Times New Roman"/>
        </w:rPr>
        <w:t xml:space="preserve"> 1978, Miler 2018, Mayhew 1974). Symbolic representation – broadly, publicly naming, acknowledging, or affirming constituency groups and interests – can shape substantive or policy responsiveness, and elite and public </w:t>
      </w:r>
      <w:r>
        <w:rPr>
          <w:rFonts w:ascii="Times New Roman" w:hAnsi="Times New Roman" w:cs="Times New Roman"/>
        </w:rPr>
        <w:t xml:space="preserve">information and </w:t>
      </w:r>
      <w:r w:rsidR="00B662E0">
        <w:rPr>
          <w:rFonts w:ascii="Times New Roman" w:hAnsi="Times New Roman" w:cs="Times New Roman"/>
        </w:rPr>
        <w:t>opinion (Lupia and McCubbins 1998, Disch 2011, Gillion</w:t>
      </w:r>
      <w:r>
        <w:rPr>
          <w:rFonts w:ascii="Times New Roman" w:hAnsi="Times New Roman" w:cs="Times New Roman"/>
        </w:rPr>
        <w:t xml:space="preserve"> 2013)</w:t>
      </w:r>
      <w:r w:rsidR="00B662E0">
        <w:rPr>
          <w:rFonts w:ascii="Times New Roman" w:hAnsi="Times New Roman" w:cs="Times New Roman"/>
        </w:rPr>
        <w:t xml:space="preserve">. But </w:t>
      </w:r>
      <w:r>
        <w:rPr>
          <w:rFonts w:ascii="Times New Roman" w:hAnsi="Times New Roman" w:cs="Times New Roman"/>
        </w:rPr>
        <w:t xml:space="preserve">theorists have also suggested that symbolic recognition carries its own independent democratic value </w:t>
      </w:r>
      <w:r w:rsidR="00882A16">
        <w:rPr>
          <w:rFonts w:ascii="Times New Roman" w:hAnsi="Times New Roman" w:cs="Times New Roman"/>
        </w:rPr>
        <w:t xml:space="preserve">– and may do so especially for excluded or marginalized groups </w:t>
      </w:r>
      <w:r>
        <w:rPr>
          <w:rFonts w:ascii="Times New Roman" w:hAnsi="Times New Roman" w:cs="Times New Roman"/>
        </w:rPr>
        <w:t xml:space="preserve">(Pottle 2025, Mansbridge 1999, Brown 2014). </w:t>
      </w:r>
    </w:p>
    <w:p w14:paraId="2B0A3FD2" w14:textId="1D9B6237" w:rsidR="00882A16" w:rsidRPr="00800801" w:rsidRDefault="00882A16" w:rsidP="000F38CE">
      <w:pPr>
        <w:spacing w:line="360" w:lineRule="auto"/>
        <w:rPr>
          <w:rFonts w:ascii="Times New Roman" w:hAnsi="Times New Roman" w:cs="Times New Roman"/>
        </w:rPr>
      </w:pPr>
      <w:r>
        <w:rPr>
          <w:rFonts w:ascii="Times New Roman" w:hAnsi="Times New Roman" w:cs="Times New Roman"/>
        </w:rPr>
        <w:t>However, through various mechanisms, exclusion and marginalization may feed back into symbolic erasure. Symbolic representation is structured by incentives: legislators speak more about groups in their district that are numerically large and electorally visible (Vishwanath 2025)</w:t>
      </w:r>
      <w:r w:rsidR="00800801">
        <w:rPr>
          <w:rFonts w:ascii="Times New Roman" w:hAnsi="Times New Roman" w:cs="Times New Roman"/>
        </w:rPr>
        <w:t xml:space="preserve">, and to </w:t>
      </w:r>
      <w:r>
        <w:rPr>
          <w:rFonts w:ascii="Times New Roman" w:hAnsi="Times New Roman" w:cs="Times New Roman"/>
        </w:rPr>
        <w:t xml:space="preserve">whom they associate clear policy interests and with whom they are in more contact (Miller 2010, </w:t>
      </w:r>
      <w:proofErr w:type="spellStart"/>
      <w:r>
        <w:rPr>
          <w:rFonts w:ascii="Times New Roman" w:hAnsi="Times New Roman" w:cs="Times New Roman"/>
        </w:rPr>
        <w:t>Fenno</w:t>
      </w:r>
      <w:proofErr w:type="spellEnd"/>
      <w:r>
        <w:rPr>
          <w:rFonts w:ascii="Times New Roman" w:hAnsi="Times New Roman" w:cs="Times New Roman"/>
        </w:rPr>
        <w:t xml:space="preserve"> 1978)</w:t>
      </w:r>
      <w:r w:rsidR="00800801">
        <w:rPr>
          <w:rFonts w:ascii="Times New Roman" w:hAnsi="Times New Roman" w:cs="Times New Roman"/>
        </w:rPr>
        <w:t>.</w:t>
      </w:r>
      <w:r>
        <w:rPr>
          <w:rFonts w:ascii="Times New Roman" w:hAnsi="Times New Roman" w:cs="Times New Roman"/>
        </w:rPr>
        <w:t xml:space="preserve"> </w:t>
      </w:r>
      <w:r w:rsidR="00800801">
        <w:rPr>
          <w:rFonts w:ascii="Times New Roman" w:hAnsi="Times New Roman" w:cs="Times New Roman"/>
        </w:rPr>
        <w:t xml:space="preserve">This model breaks down for incarcerated people, and implicitly (often erroneously) for the formerly incarcerated and proximately impacted, who are demographically large but politically erased through </w:t>
      </w:r>
      <w:r w:rsidR="00800801">
        <w:rPr>
          <w:rFonts w:ascii="Times New Roman" w:hAnsi="Times New Roman" w:cs="Times New Roman"/>
          <w:i/>
          <w:iCs/>
        </w:rPr>
        <w:t>de jure</w:t>
      </w:r>
      <w:r w:rsidR="00800801">
        <w:rPr>
          <w:rFonts w:ascii="Times New Roman" w:hAnsi="Times New Roman" w:cs="Times New Roman"/>
        </w:rPr>
        <w:t xml:space="preserve"> and </w:t>
      </w:r>
      <w:r w:rsidR="00800801">
        <w:rPr>
          <w:rFonts w:ascii="Times New Roman" w:hAnsi="Times New Roman" w:cs="Times New Roman"/>
          <w:i/>
          <w:iCs/>
        </w:rPr>
        <w:t>de facto</w:t>
      </w:r>
      <w:r w:rsidR="00800801">
        <w:rPr>
          <w:rFonts w:ascii="Times New Roman" w:hAnsi="Times New Roman" w:cs="Times New Roman"/>
        </w:rPr>
        <w:t xml:space="preserve"> disenfranchisement, prison gerrymandering, geographic and communicative isolation, and stigmatization (Pottle 2025, Nellis 2014; Thorpe; Weaver and Lerman). More pointedly, legislators operate within epistemic circuits and electoral incentives in which they are likely to prioritize “high-value” audiences – those they perceive both as mattering for their re-election as voting blocs in-and-of themselves, and when they expect to be electorally punished for helping groups their prospective voters will on aggregate view as undeserving, and who are too politically weak to even the scales (Schneider and Ingram, Pottle 2025, Mayhew 1974). Legislators are thus </w:t>
      </w:r>
      <w:r w:rsidR="0002007D">
        <w:rPr>
          <w:rFonts w:ascii="Times New Roman" w:hAnsi="Times New Roman" w:cs="Times New Roman"/>
        </w:rPr>
        <w:t xml:space="preserve">also </w:t>
      </w:r>
      <w:r w:rsidR="00800801">
        <w:rPr>
          <w:rFonts w:ascii="Times New Roman" w:hAnsi="Times New Roman" w:cs="Times New Roman"/>
        </w:rPr>
        <w:t xml:space="preserve">disincentivized from representing carceral citizens as they are </w:t>
      </w:r>
      <w:r w:rsidR="00BA5886">
        <w:rPr>
          <w:rFonts w:ascii="Times New Roman" w:hAnsi="Times New Roman" w:cs="Times New Roman"/>
        </w:rPr>
        <w:t xml:space="preserve">profoundly stigmatized (Smiley 2017). The well-documented political expediency of capitalizing on the racialization of crime, [Pottle?] and incentives for legislators to represent the interests of carceral economies or groups like police </w:t>
      </w:r>
      <w:r w:rsidR="00BA5886">
        <w:rPr>
          <w:rFonts w:ascii="Times New Roman" w:hAnsi="Times New Roman" w:cs="Times New Roman"/>
        </w:rPr>
        <w:lastRenderedPageBreak/>
        <w:t xml:space="preserve">unions and </w:t>
      </w:r>
      <w:proofErr w:type="spellStart"/>
      <w:proofErr w:type="gramStart"/>
      <w:r w:rsidR="00BA5886">
        <w:rPr>
          <w:rFonts w:ascii="Times New Roman" w:hAnsi="Times New Roman" w:cs="Times New Roman"/>
        </w:rPr>
        <w:t>victims</w:t>
      </w:r>
      <w:proofErr w:type="spellEnd"/>
      <w:proofErr w:type="gramEnd"/>
      <w:r w:rsidR="00BA5886">
        <w:rPr>
          <w:rFonts w:ascii="Times New Roman" w:hAnsi="Times New Roman" w:cs="Times New Roman"/>
        </w:rPr>
        <w:t xml:space="preserve"> rights groups – who they may perceive as “counter-constituencies,” suggest further reason numerical ‘rules’ of symbolic representation may not hold (Thorpe 2015). </w:t>
      </w:r>
    </w:p>
    <w:p w14:paraId="449DC2ED" w14:textId="7AF36568" w:rsidR="00B842E2" w:rsidRDefault="00BA5886" w:rsidP="000F38CE">
      <w:pPr>
        <w:spacing w:line="360" w:lineRule="auto"/>
        <w:rPr>
          <w:rFonts w:ascii="Times New Roman" w:hAnsi="Times New Roman" w:cs="Times New Roman"/>
        </w:rPr>
      </w:pPr>
      <w:r>
        <w:rPr>
          <w:rFonts w:ascii="Times New Roman" w:hAnsi="Times New Roman" w:cs="Times New Roman"/>
        </w:rPr>
        <w:br/>
        <w:t xml:space="preserve">Matters of representation for carceral constituencies are particularly fraught, as they invoke two core distinct and interacting challenges to democratic legitimacy. Specifically, while some question the merits of a carceral state in modern democracy including for its disparate racial footprint and motivation (Alexander 2010), </w:t>
      </w:r>
      <w:r w:rsidR="006879EE">
        <w:rPr>
          <w:rFonts w:ascii="Times New Roman" w:hAnsi="Times New Roman" w:cs="Times New Roman"/>
        </w:rPr>
        <w:t xml:space="preserve">others </w:t>
      </w:r>
      <w:r w:rsidR="00431BA6">
        <w:rPr>
          <w:rFonts w:ascii="Times New Roman" w:hAnsi="Times New Roman" w:cs="Times New Roman"/>
        </w:rPr>
        <w:t xml:space="preserve">underscore how historic and enduring forms of politically excluding racial minority and particularly Black Americans – compounded with sedimented wealth inequality </w:t>
      </w:r>
      <w:r w:rsidR="0002007D">
        <w:rPr>
          <w:rFonts w:ascii="Times New Roman" w:hAnsi="Times New Roman" w:cs="Times New Roman"/>
        </w:rPr>
        <w:t xml:space="preserve">– </w:t>
      </w:r>
      <w:r w:rsidR="00431BA6">
        <w:rPr>
          <w:rFonts w:ascii="Times New Roman" w:hAnsi="Times New Roman" w:cs="Times New Roman"/>
        </w:rPr>
        <w:t xml:space="preserve">troubles the US’s democratic claims </w:t>
      </w:r>
      <w:r w:rsidR="006879EE">
        <w:rPr>
          <w:rFonts w:ascii="Times New Roman" w:hAnsi="Times New Roman" w:cs="Times New Roman"/>
        </w:rPr>
        <w:t>(</w:t>
      </w:r>
      <w:proofErr w:type="spellStart"/>
      <w:r w:rsidR="006879EE">
        <w:rPr>
          <w:rFonts w:ascii="Times New Roman" w:hAnsi="Times New Roman" w:cs="Times New Roman"/>
        </w:rPr>
        <w:t>Keysar</w:t>
      </w:r>
      <w:proofErr w:type="spellEnd"/>
      <w:r w:rsidR="006879EE">
        <w:rPr>
          <w:rFonts w:ascii="Times New Roman" w:hAnsi="Times New Roman" w:cs="Times New Roman"/>
        </w:rPr>
        <w:t xml:space="preserve"> 2000</w:t>
      </w:r>
      <w:r w:rsidR="00431BA6">
        <w:rPr>
          <w:rFonts w:ascii="Times New Roman" w:hAnsi="Times New Roman" w:cs="Times New Roman"/>
        </w:rPr>
        <w:t>, Oliver and Shapiro 1995</w:t>
      </w:r>
      <w:r w:rsidR="006879EE">
        <w:rPr>
          <w:rFonts w:ascii="Times New Roman" w:hAnsi="Times New Roman" w:cs="Times New Roman"/>
        </w:rPr>
        <w:t xml:space="preserve">). Here, scholars show that representation and responsiveness depend on who legislators </w:t>
      </w:r>
      <w:proofErr w:type="gramStart"/>
      <w:r w:rsidR="006879EE">
        <w:rPr>
          <w:rFonts w:ascii="Times New Roman" w:hAnsi="Times New Roman" w:cs="Times New Roman"/>
        </w:rPr>
        <w:t>are:</w:t>
      </w:r>
      <w:proofErr w:type="gramEnd"/>
      <w:r w:rsidR="006879EE">
        <w:rPr>
          <w:rFonts w:ascii="Times New Roman" w:hAnsi="Times New Roman" w:cs="Times New Roman"/>
        </w:rPr>
        <w:t xml:space="preserve"> racial/ethnic and class identity and descriptive congruence condition attention to marginalized communities (Mansbridge 1999, Reingold, Haynie, and Widner 2019, Brown 2014). Recently, Ban and </w:t>
      </w:r>
      <w:proofErr w:type="spellStart"/>
      <w:r w:rsidR="006879EE">
        <w:rPr>
          <w:rFonts w:ascii="Times New Roman" w:hAnsi="Times New Roman" w:cs="Times New Roman"/>
        </w:rPr>
        <w:t>Kaslovsky</w:t>
      </w:r>
      <w:proofErr w:type="spellEnd"/>
      <w:r w:rsidR="006879EE">
        <w:rPr>
          <w:rFonts w:ascii="Times New Roman" w:hAnsi="Times New Roman" w:cs="Times New Roman"/>
        </w:rPr>
        <w:t xml:space="preserve"> (2025) found that gender identity is the strongest predictor of whether a legislator engages in constituency-oriented discourse, while Miler (2018) found that</w:t>
      </w:r>
      <w:r w:rsidR="00B842E2">
        <w:rPr>
          <w:rFonts w:ascii="Times New Roman" w:hAnsi="Times New Roman" w:cs="Times New Roman"/>
        </w:rPr>
        <w:t xml:space="preserve"> representation of poor communities emerges through surrogate representation by Democrats, women, and Black legislators. </w:t>
      </w:r>
    </w:p>
    <w:p w14:paraId="699893A9" w14:textId="6A7BE335" w:rsidR="00882A16" w:rsidRDefault="00B842E2" w:rsidP="000F38CE">
      <w:pPr>
        <w:spacing w:line="360" w:lineRule="auto"/>
        <w:rPr>
          <w:rFonts w:ascii="Times New Roman" w:hAnsi="Times New Roman" w:cs="Times New Roman"/>
        </w:rPr>
      </w:pPr>
      <w:r>
        <w:rPr>
          <w:rFonts w:ascii="Times New Roman" w:hAnsi="Times New Roman" w:cs="Times New Roman"/>
        </w:rPr>
        <w:t xml:space="preserve">While extant research on ‘carceral community’ representation suggests that Black representation is uniquely important for carceral representation (Eckhouse 2018), </w:t>
      </w:r>
      <w:r w:rsidR="00A51524">
        <w:rPr>
          <w:rFonts w:ascii="Times New Roman" w:hAnsi="Times New Roman" w:cs="Times New Roman"/>
        </w:rPr>
        <w:t>others suggest that the exclusion of highly policed and incarcerated communities “dual knowledge” (Weaver, Prowse and Piston 2019) because it is outside of the sedimented political “mainstream” (termed hermeneutic injustice) and because its “knowers” are treated as uncredible (testimonial injustice) constitute a self-perpetuating feedback of epistemic injustice,</w:t>
      </w:r>
      <w:r w:rsidR="007D4BCB">
        <w:rPr>
          <w:rFonts w:ascii="Times New Roman" w:hAnsi="Times New Roman" w:cs="Times New Roman"/>
        </w:rPr>
        <w:t xml:space="preserve"> to which minority legislators incentivized to engage in racial distancing or burdened with tokenism are not immune (Pottle 2025). </w:t>
      </w:r>
      <w:r w:rsidR="00431BA6">
        <w:rPr>
          <w:rFonts w:ascii="Times New Roman" w:hAnsi="Times New Roman" w:cs="Times New Roman"/>
        </w:rPr>
        <w:t xml:space="preserve">Weaver and Hinton (2020) and Eckhouse (2018) note that matters of criminal legal police are particularly fertile grounds for “selective hearing” and hollow representation, in which gestures of recognition are met by white-dominated legislatures with policy responses that deprioritize Black epistemes and policy preferences. </w:t>
      </w:r>
    </w:p>
    <w:p w14:paraId="1CF2FC68" w14:textId="7B24047A" w:rsidR="00886772" w:rsidRDefault="00886772" w:rsidP="00886772">
      <w:pPr>
        <w:spacing w:line="360" w:lineRule="auto"/>
        <w:jc w:val="center"/>
        <w:rPr>
          <w:rFonts w:ascii="Times New Roman" w:hAnsi="Times New Roman" w:cs="Times New Roman"/>
        </w:rPr>
      </w:pPr>
      <w:r>
        <w:rPr>
          <w:rFonts w:ascii="Times New Roman" w:hAnsi="Times New Roman" w:cs="Times New Roman"/>
        </w:rPr>
        <w:t>Gap</w:t>
      </w:r>
    </w:p>
    <w:p w14:paraId="2CC4B3BE" w14:textId="581BC627" w:rsidR="00B42687" w:rsidRDefault="000F4CFB" w:rsidP="000F38CE">
      <w:pPr>
        <w:spacing w:line="360" w:lineRule="auto"/>
        <w:rPr>
          <w:rFonts w:ascii="Times New Roman" w:hAnsi="Times New Roman" w:cs="Times New Roman"/>
        </w:rPr>
      </w:pPr>
      <w:r>
        <w:rPr>
          <w:rFonts w:ascii="Times New Roman" w:hAnsi="Times New Roman" w:cs="Times New Roman"/>
        </w:rPr>
        <w:t>Despite</w:t>
      </w:r>
      <w:r w:rsidR="007D4BCB">
        <w:rPr>
          <w:rFonts w:ascii="Times New Roman" w:hAnsi="Times New Roman" w:cs="Times New Roman"/>
        </w:rPr>
        <w:t xml:space="preserve"> the salience of criminal justice policy, we know almost nothing about whether legislators treat incarcerated people as constituents. </w:t>
      </w:r>
      <w:r>
        <w:rPr>
          <w:rFonts w:ascii="Times New Roman" w:hAnsi="Times New Roman" w:cs="Times New Roman"/>
        </w:rPr>
        <w:t>T</w:t>
      </w:r>
      <w:r w:rsidR="00B42687">
        <w:rPr>
          <w:rFonts w:ascii="Times New Roman" w:hAnsi="Times New Roman" w:cs="Times New Roman"/>
        </w:rPr>
        <w:t>o my knowledge, t</w:t>
      </w:r>
      <w:r>
        <w:rPr>
          <w:rFonts w:ascii="Times New Roman" w:hAnsi="Times New Roman" w:cs="Times New Roman"/>
        </w:rPr>
        <w:t>here is no</w:t>
      </w:r>
      <w:r w:rsidR="00261338">
        <w:rPr>
          <w:rFonts w:ascii="Times New Roman" w:hAnsi="Times New Roman" w:cs="Times New Roman"/>
        </w:rPr>
        <w:t xml:space="preserve"> systematic account of </w:t>
      </w:r>
      <w:r>
        <w:rPr>
          <w:rFonts w:ascii="Times New Roman" w:hAnsi="Times New Roman" w:cs="Times New Roman"/>
        </w:rPr>
        <w:lastRenderedPageBreak/>
        <w:t xml:space="preserve">how </w:t>
      </w:r>
      <w:r w:rsidR="00261338">
        <w:rPr>
          <w:rFonts w:ascii="Times New Roman" w:hAnsi="Times New Roman" w:cs="Times New Roman"/>
        </w:rPr>
        <w:t xml:space="preserve">carceral communities – </w:t>
      </w:r>
      <w:r>
        <w:rPr>
          <w:rFonts w:ascii="Times New Roman" w:hAnsi="Times New Roman" w:cs="Times New Roman"/>
        </w:rPr>
        <w:t xml:space="preserve">both </w:t>
      </w:r>
      <w:r w:rsidR="00261338">
        <w:rPr>
          <w:rFonts w:ascii="Times New Roman" w:hAnsi="Times New Roman" w:cs="Times New Roman"/>
        </w:rPr>
        <w:t>directly and proximally impacted</w:t>
      </w:r>
      <w:r>
        <w:rPr>
          <w:rFonts w:ascii="Times New Roman" w:hAnsi="Times New Roman" w:cs="Times New Roman"/>
        </w:rPr>
        <w:t xml:space="preserve"> </w:t>
      </w:r>
      <w:r w:rsidR="00261338">
        <w:rPr>
          <w:rFonts w:ascii="Times New Roman" w:hAnsi="Times New Roman" w:cs="Times New Roman"/>
        </w:rPr>
        <w:t>– are represented</w:t>
      </w:r>
      <w:r>
        <w:rPr>
          <w:rFonts w:ascii="Times New Roman" w:hAnsi="Times New Roman" w:cs="Times New Roman"/>
        </w:rPr>
        <w:t xml:space="preserve">. </w:t>
      </w:r>
      <w:r w:rsidR="00261338">
        <w:rPr>
          <w:rFonts w:ascii="Times New Roman" w:hAnsi="Times New Roman" w:cs="Times New Roman"/>
        </w:rPr>
        <w:t>While *forthcoming work* explores legislative service responsiveness to folks with felony records (</w:t>
      </w:r>
      <w:proofErr w:type="spellStart"/>
      <w:r w:rsidR="00261338">
        <w:rPr>
          <w:rFonts w:ascii="Times New Roman" w:hAnsi="Times New Roman" w:cs="Times New Roman"/>
        </w:rPr>
        <w:t>Anoll</w:t>
      </w:r>
      <w:proofErr w:type="spellEnd"/>
      <w:r w:rsidR="00261338">
        <w:rPr>
          <w:rFonts w:ascii="Times New Roman" w:hAnsi="Times New Roman" w:cs="Times New Roman"/>
        </w:rPr>
        <w:t xml:space="preserve">, Israel-Trummel, et al. forthcoming), symbolic recognition </w:t>
      </w:r>
      <w:r>
        <w:rPr>
          <w:rFonts w:ascii="Times New Roman" w:hAnsi="Times New Roman" w:cs="Times New Roman"/>
        </w:rPr>
        <w:t xml:space="preserve">and epistemic </w:t>
      </w:r>
      <w:r w:rsidR="00261338">
        <w:rPr>
          <w:rFonts w:ascii="Times New Roman" w:hAnsi="Times New Roman" w:cs="Times New Roman"/>
        </w:rPr>
        <w:t xml:space="preserve">inclusion operate in distinct venues – speeches, hearings, newsletters, and deliberation – that </w:t>
      </w:r>
      <w:r w:rsidR="00C53DB2">
        <w:rPr>
          <w:rFonts w:ascii="Times New Roman" w:hAnsi="Times New Roman" w:cs="Times New Roman"/>
        </w:rPr>
        <w:t>shape</w:t>
      </w:r>
      <w:r w:rsidR="00261338">
        <w:rPr>
          <w:rFonts w:ascii="Times New Roman" w:hAnsi="Times New Roman" w:cs="Times New Roman"/>
        </w:rPr>
        <w:t xml:space="preserve"> </w:t>
      </w:r>
      <w:r>
        <w:rPr>
          <w:rFonts w:ascii="Times New Roman" w:hAnsi="Times New Roman" w:cs="Times New Roman"/>
        </w:rPr>
        <w:t>policymaking epistemes</w:t>
      </w:r>
      <w:r w:rsidR="00C53DB2">
        <w:rPr>
          <w:rFonts w:ascii="Times New Roman" w:hAnsi="Times New Roman" w:cs="Times New Roman"/>
        </w:rPr>
        <w:t xml:space="preserve">. </w:t>
      </w:r>
      <w:r w:rsidRPr="000F4CFB">
        <w:rPr>
          <w:rFonts w:ascii="Times New Roman" w:hAnsi="Times New Roman" w:cs="Times New Roman"/>
        </w:rPr>
        <w:t>No study has traced how legislators</w:t>
      </w:r>
      <w:r>
        <w:rPr>
          <w:rFonts w:ascii="Times New Roman" w:hAnsi="Times New Roman" w:cs="Times New Roman"/>
        </w:rPr>
        <w:t xml:space="preserve"> at </w:t>
      </w:r>
      <w:r w:rsidR="00C53DB2">
        <w:rPr>
          <w:rFonts w:ascii="Times New Roman" w:hAnsi="Times New Roman" w:cs="Times New Roman"/>
        </w:rPr>
        <w:t xml:space="preserve">either </w:t>
      </w:r>
      <w:r>
        <w:rPr>
          <w:rFonts w:ascii="Times New Roman" w:hAnsi="Times New Roman" w:cs="Times New Roman"/>
        </w:rPr>
        <w:t xml:space="preserve">the </w:t>
      </w:r>
      <w:r w:rsidR="00C53DB2">
        <w:rPr>
          <w:rFonts w:ascii="Times New Roman" w:hAnsi="Times New Roman" w:cs="Times New Roman"/>
        </w:rPr>
        <w:t>federal</w:t>
      </w:r>
      <w:r>
        <w:rPr>
          <w:rFonts w:ascii="Times New Roman" w:hAnsi="Times New Roman" w:cs="Times New Roman"/>
        </w:rPr>
        <w:t xml:space="preserve"> or state level</w:t>
      </w:r>
      <w:r w:rsidRPr="000F4CFB">
        <w:rPr>
          <w:rFonts w:ascii="Times New Roman" w:hAnsi="Times New Roman" w:cs="Times New Roman"/>
        </w:rPr>
        <w:t xml:space="preserve"> publicly name, frame, or draw on </w:t>
      </w:r>
      <w:r w:rsidR="00C53DB2">
        <w:rPr>
          <w:rFonts w:ascii="Times New Roman" w:hAnsi="Times New Roman" w:cs="Times New Roman"/>
        </w:rPr>
        <w:t xml:space="preserve">incarcerated </w:t>
      </w:r>
      <w:proofErr w:type="gramStart"/>
      <w:r w:rsidR="00C53DB2">
        <w:rPr>
          <w:rFonts w:ascii="Times New Roman" w:hAnsi="Times New Roman" w:cs="Times New Roman"/>
        </w:rPr>
        <w:t>people’s</w:t>
      </w:r>
      <w:proofErr w:type="gramEnd"/>
      <w:r w:rsidR="00C53DB2">
        <w:rPr>
          <w:rFonts w:ascii="Times New Roman" w:hAnsi="Times New Roman" w:cs="Times New Roman"/>
        </w:rPr>
        <w:t xml:space="preserve"> lived experience and knowledge </w:t>
      </w:r>
      <w:r w:rsidRPr="000F4CFB">
        <w:rPr>
          <w:rFonts w:ascii="Times New Roman" w:hAnsi="Times New Roman" w:cs="Times New Roman"/>
        </w:rPr>
        <w:t xml:space="preserve">across these communicative sites. </w:t>
      </w:r>
      <w:r w:rsidR="00B42687">
        <w:rPr>
          <w:rFonts w:ascii="Times New Roman" w:hAnsi="Times New Roman" w:cs="Times New Roman"/>
        </w:rPr>
        <w:t xml:space="preserve">While this project does not claim to resolve questions of responsiveness or policy effects, it seeks instead to provide baseline conceptual and descriptive groundwork that those analyses require. </w:t>
      </w:r>
    </w:p>
    <w:p w14:paraId="74387A7A" w14:textId="6F95311E" w:rsidR="000F4CFB" w:rsidRDefault="00125DF3" w:rsidP="000F38CE">
      <w:pPr>
        <w:spacing w:line="360" w:lineRule="auto"/>
        <w:rPr>
          <w:rFonts w:ascii="Times New Roman" w:hAnsi="Times New Roman" w:cs="Times New Roman"/>
        </w:rPr>
      </w:pPr>
      <w:r>
        <w:rPr>
          <w:rFonts w:ascii="Times New Roman" w:hAnsi="Times New Roman" w:cs="Times New Roman"/>
        </w:rPr>
        <w:t>This project is primarily interested in state-level analysis. Over 90% of incarcerated people are held in state and county prisons and jails. Moreover, criminal legal policy reform is “in play” at the state level, and states also control electoral and apportionment policy and diverge in other aspects of their political environments that may shape legislator incentives for engaging with carceral constituencies as such (Grumbach 2022, Prison Policy Initiative). Thus, this project may raise additional theoretical questions about how subnational democratic institutions shape the representative visibility of marginalized groups</w:t>
      </w:r>
      <w:r w:rsidR="006B3816">
        <w:rPr>
          <w:rFonts w:ascii="Times New Roman" w:hAnsi="Times New Roman" w:cs="Times New Roman"/>
        </w:rPr>
        <w:t xml:space="preserve">. </w:t>
      </w:r>
    </w:p>
    <w:p w14:paraId="29C88D65" w14:textId="6F2374F8" w:rsidR="00C53DB2" w:rsidRDefault="009941F5" w:rsidP="000F38CE">
      <w:pPr>
        <w:spacing w:line="360" w:lineRule="auto"/>
        <w:rPr>
          <w:rFonts w:ascii="Times New Roman" w:hAnsi="Times New Roman" w:cs="Times New Roman"/>
        </w:rPr>
      </w:pPr>
      <w:r>
        <w:rPr>
          <w:rFonts w:ascii="Times New Roman" w:hAnsi="Times New Roman" w:cs="Times New Roman"/>
        </w:rPr>
        <w:t xml:space="preserve">Moreover, given strong structural incentives to ignore or stigmatize carceral citizens, any such recognition – like that of Congresswoman Pressley and Senator Miranda, is theoretically surprising and worthy of attention. </w:t>
      </w:r>
    </w:p>
    <w:p w14:paraId="6EF2E7A7" w14:textId="2FCCA346" w:rsidR="00DF54A1" w:rsidRDefault="00886772" w:rsidP="00886772">
      <w:pPr>
        <w:spacing w:line="360" w:lineRule="auto"/>
        <w:jc w:val="center"/>
        <w:rPr>
          <w:rFonts w:ascii="Times New Roman" w:hAnsi="Times New Roman" w:cs="Times New Roman"/>
        </w:rPr>
      </w:pPr>
      <w:r>
        <w:rPr>
          <w:rFonts w:ascii="Times New Roman" w:hAnsi="Times New Roman" w:cs="Times New Roman"/>
        </w:rPr>
        <w:t>Contribution</w:t>
      </w:r>
    </w:p>
    <w:p w14:paraId="200C1AEF" w14:textId="0B3AE2AF" w:rsidR="00886772" w:rsidRPr="00201EC7" w:rsidRDefault="00886772" w:rsidP="00886772">
      <w:pPr>
        <w:spacing w:line="360" w:lineRule="auto"/>
        <w:rPr>
          <w:rFonts w:ascii="Times New Roman" w:hAnsi="Times New Roman" w:cs="Times New Roman"/>
        </w:rPr>
      </w:pPr>
      <w:r>
        <w:rPr>
          <w:rFonts w:ascii="Times New Roman" w:hAnsi="Times New Roman" w:cs="Times New Roman"/>
        </w:rPr>
        <w:t xml:space="preserve">Considering the </w:t>
      </w:r>
      <w:proofErr w:type="gramStart"/>
      <w:r>
        <w:rPr>
          <w:rFonts w:ascii="Times New Roman" w:hAnsi="Times New Roman" w:cs="Times New Roman"/>
        </w:rPr>
        <w:t>aforementioned gaps</w:t>
      </w:r>
      <w:proofErr w:type="gramEnd"/>
      <w:r>
        <w:rPr>
          <w:rFonts w:ascii="Times New Roman" w:hAnsi="Times New Roman" w:cs="Times New Roman"/>
        </w:rPr>
        <w:t xml:space="preserve">, this project takes on a small slice in the study of political representation by providing a systematic account how incarcerated and proximally impacted communities are represented in legislative communication. Building on recent calls to examine and theorize intersection of class, race, and marginalization in descriptive representation (Carnes &amp; Lupu 2023), </w:t>
      </w:r>
      <w:r w:rsidRPr="006B3816">
        <w:rPr>
          <w:rFonts w:ascii="Times New Roman" w:hAnsi="Times New Roman" w:cs="Times New Roman"/>
          <w:i/>
          <w:iCs/>
        </w:rPr>
        <w:t>t</w:t>
      </w:r>
      <w:r w:rsidRPr="00201EC7">
        <w:rPr>
          <w:rFonts w:ascii="Times New Roman" w:hAnsi="Times New Roman" w:cs="Times New Roman"/>
          <w:i/>
          <w:iCs/>
        </w:rPr>
        <w:t xml:space="preserve">his project aims to first a descriptive floor, before proposing a tiered develops a tiered measure or symbolic representation, epistemic inclusion, and responsiveness to carceral constituencies. </w:t>
      </w:r>
      <w:r w:rsidR="00201EC7">
        <w:rPr>
          <w:rFonts w:ascii="Times New Roman" w:hAnsi="Times New Roman" w:cs="Times New Roman"/>
        </w:rPr>
        <w:t xml:space="preserve">A fellowship year/the grant will allow me to establish baseline estimates of descriptive congruence, and establish baseline estimates or test the viability of measures of symbolic representation, laying the groundwork to theorize the relationship between symbolic </w:t>
      </w:r>
      <w:r w:rsidR="00201EC7">
        <w:rPr>
          <w:rFonts w:ascii="Times New Roman" w:hAnsi="Times New Roman" w:cs="Times New Roman"/>
        </w:rPr>
        <w:lastRenderedPageBreak/>
        <w:t xml:space="preserve">and epistemic inclusion, and test how identity, structural incentives, and district context shape the political boundaries of who is recognized as worthy of representation. </w:t>
      </w:r>
    </w:p>
    <w:p w14:paraId="30589EBF" w14:textId="77777777" w:rsidR="00886772" w:rsidRDefault="00886772" w:rsidP="00886772">
      <w:pPr>
        <w:spacing w:line="360" w:lineRule="auto"/>
        <w:jc w:val="center"/>
        <w:rPr>
          <w:rFonts w:ascii="Times New Roman" w:hAnsi="Times New Roman" w:cs="Times New Roman"/>
        </w:rPr>
      </w:pPr>
    </w:p>
    <w:p w14:paraId="60F5C2CB" w14:textId="3C8CEA45" w:rsidR="000F38CE" w:rsidRDefault="00201EC7" w:rsidP="00201EC7">
      <w:pPr>
        <w:spacing w:line="360" w:lineRule="auto"/>
        <w:jc w:val="center"/>
        <w:rPr>
          <w:rFonts w:ascii="Times New Roman" w:hAnsi="Times New Roman" w:cs="Times New Roman"/>
        </w:rPr>
      </w:pPr>
      <w:r>
        <w:rPr>
          <w:rFonts w:ascii="Times New Roman" w:hAnsi="Times New Roman" w:cs="Times New Roman"/>
        </w:rPr>
        <w:t>Proposed Methods</w:t>
      </w:r>
    </w:p>
    <w:p w14:paraId="0EAEDC66" w14:textId="77777777" w:rsidR="00283237" w:rsidRDefault="00ED6372" w:rsidP="000F38CE">
      <w:pPr>
        <w:spacing w:line="360" w:lineRule="auto"/>
        <w:rPr>
          <w:rFonts w:ascii="Times New Roman" w:hAnsi="Times New Roman" w:cs="Times New Roman"/>
        </w:rPr>
      </w:pPr>
      <w:r>
        <w:rPr>
          <w:rFonts w:ascii="Times New Roman" w:hAnsi="Times New Roman" w:cs="Times New Roman"/>
        </w:rPr>
        <w:t xml:space="preserve">I adopt a mixed-textual approach combining legislators’ public speech, internal deliberative speech, and signals of responsiveness. While my goal will ultimately be to estimate causal patterns, my first aim is descriptive: to document patterns of symbolic and epistemic inclusion across venues and identify predictors that align with theoretical expectations. Carceral politics are uniquely implicated in state </w:t>
      </w:r>
      <w:proofErr w:type="gramStart"/>
      <w:r>
        <w:rPr>
          <w:rFonts w:ascii="Times New Roman" w:hAnsi="Times New Roman" w:cs="Times New Roman"/>
        </w:rPr>
        <w:t>governance</w:t>
      </w:r>
      <w:proofErr w:type="gramEnd"/>
      <w:r w:rsidR="00EC22F0">
        <w:rPr>
          <w:rFonts w:ascii="Times New Roman" w:hAnsi="Times New Roman" w:cs="Times New Roman"/>
        </w:rPr>
        <w:t xml:space="preserve"> and it is at this level that </w:t>
      </w:r>
      <w:r>
        <w:rPr>
          <w:rFonts w:ascii="Times New Roman" w:hAnsi="Times New Roman" w:cs="Times New Roman"/>
        </w:rPr>
        <w:t>policy</w:t>
      </w:r>
      <w:r w:rsidR="00EC22F0">
        <w:rPr>
          <w:rFonts w:ascii="Times New Roman" w:hAnsi="Times New Roman" w:cs="Times New Roman"/>
        </w:rPr>
        <w:t xml:space="preserve"> reform is distinctly in-play;</w:t>
      </w:r>
      <w:r>
        <w:rPr>
          <w:rFonts w:ascii="Times New Roman" w:hAnsi="Times New Roman" w:cs="Times New Roman"/>
        </w:rPr>
        <w:t xml:space="preserve"> my focus is thus primarily on state legislatures</w:t>
      </w:r>
      <w:r w:rsidR="00EC22F0">
        <w:rPr>
          <w:rFonts w:ascii="Times New Roman" w:hAnsi="Times New Roman" w:cs="Times New Roman"/>
        </w:rPr>
        <w:t xml:space="preserve">. However, I also draw on congressional data for benchmarking, and anticipating technical challenges to state-level study, can turn to more accessible federal level data should challenges at the state level prove insurmountable for the scope/timeline of this budget/fellowship. </w:t>
      </w:r>
    </w:p>
    <w:p w14:paraId="3642C3EA" w14:textId="4DAB69DB" w:rsidR="000F38CE" w:rsidRPr="00AA1271" w:rsidRDefault="00EC22F0" w:rsidP="000F38CE">
      <w:pPr>
        <w:spacing w:line="360" w:lineRule="auto"/>
        <w:rPr>
          <w:rFonts w:ascii="Times New Roman" w:hAnsi="Times New Roman" w:cs="Times New Roman"/>
        </w:rPr>
      </w:pPr>
      <w:r>
        <w:rPr>
          <w:rFonts w:ascii="Times New Roman" w:hAnsi="Times New Roman" w:cs="Times New Roman"/>
        </w:rPr>
        <w:t xml:space="preserve"> </w:t>
      </w:r>
    </w:p>
    <w:sectPr w:rsidR="000F38CE" w:rsidRPr="00AA1271" w:rsidSect="00E71396">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D7AF0" w14:textId="77777777" w:rsidR="00A4145E" w:rsidRDefault="00A4145E" w:rsidP="00E71396">
      <w:pPr>
        <w:spacing w:after="0" w:line="240" w:lineRule="auto"/>
      </w:pPr>
      <w:r>
        <w:separator/>
      </w:r>
    </w:p>
  </w:endnote>
  <w:endnote w:type="continuationSeparator" w:id="0">
    <w:p w14:paraId="700FDCB7" w14:textId="77777777" w:rsidR="00A4145E" w:rsidRDefault="00A4145E" w:rsidP="00E713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81751" w14:textId="77777777" w:rsidR="00A4145E" w:rsidRDefault="00A4145E" w:rsidP="00E71396">
      <w:pPr>
        <w:spacing w:after="0" w:line="240" w:lineRule="auto"/>
      </w:pPr>
      <w:r>
        <w:separator/>
      </w:r>
    </w:p>
  </w:footnote>
  <w:footnote w:type="continuationSeparator" w:id="0">
    <w:p w14:paraId="29F7DF5D" w14:textId="77777777" w:rsidR="00A4145E" w:rsidRDefault="00A4145E" w:rsidP="00E713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85C5" w14:textId="5FAE8883" w:rsidR="00E71396" w:rsidRDefault="00E71396">
    <w:pPr>
      <w:pStyle w:val="Header"/>
      <w:rPr>
        <w:rFonts w:ascii="Times New Roman" w:hAnsi="Times New Roman" w:cs="Times New Roman"/>
      </w:rPr>
    </w:pPr>
    <w:r>
      <w:rPr>
        <w:rFonts w:ascii="Times New Roman" w:hAnsi="Times New Roman" w:cs="Times New Roman"/>
      </w:rPr>
      <w:t>Kristina Mensik</w:t>
    </w:r>
  </w:p>
  <w:p w14:paraId="3FB00A2E" w14:textId="0CFC9C2B" w:rsidR="00E71396" w:rsidRDefault="00E71396">
    <w:pPr>
      <w:pStyle w:val="Header"/>
      <w:rPr>
        <w:rFonts w:ascii="Times New Roman" w:hAnsi="Times New Roman" w:cs="Times New Roman"/>
      </w:rPr>
    </w:pPr>
    <w:r>
      <w:rPr>
        <w:rFonts w:ascii="Times New Roman" w:hAnsi="Times New Roman" w:cs="Times New Roman"/>
      </w:rPr>
      <w:t>Racial &amp; Ethnic Minorities</w:t>
    </w:r>
  </w:p>
  <w:p w14:paraId="5D61A520" w14:textId="0D2B7A38" w:rsidR="00E71396" w:rsidRDefault="00E71396">
    <w:pPr>
      <w:pStyle w:val="Header"/>
      <w:rPr>
        <w:rFonts w:ascii="Times New Roman" w:hAnsi="Times New Roman" w:cs="Times New Roman"/>
      </w:rPr>
    </w:pPr>
    <w:r>
      <w:rPr>
        <w:rFonts w:ascii="Times New Roman" w:hAnsi="Times New Roman" w:cs="Times New Roman"/>
      </w:rPr>
      <w:t>Final Project</w:t>
    </w:r>
  </w:p>
  <w:p w14:paraId="245C32AC" w14:textId="77777777" w:rsidR="00E71396" w:rsidRPr="00E71396" w:rsidRDefault="00E71396">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CC7E6B"/>
    <w:multiLevelType w:val="hybridMultilevel"/>
    <w:tmpl w:val="2DDCD868"/>
    <w:lvl w:ilvl="0" w:tplc="A8D6B35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0483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2C9"/>
    <w:rsid w:val="0002007D"/>
    <w:rsid w:val="00030E89"/>
    <w:rsid w:val="00034833"/>
    <w:rsid w:val="00057A24"/>
    <w:rsid w:val="00072385"/>
    <w:rsid w:val="00094873"/>
    <w:rsid w:val="000F38CE"/>
    <w:rsid w:val="000F4CFB"/>
    <w:rsid w:val="001042D0"/>
    <w:rsid w:val="00104AF7"/>
    <w:rsid w:val="00115AF5"/>
    <w:rsid w:val="00125DF3"/>
    <w:rsid w:val="001A28B9"/>
    <w:rsid w:val="001B097F"/>
    <w:rsid w:val="001C42C9"/>
    <w:rsid w:val="001D36EF"/>
    <w:rsid w:val="00201EC7"/>
    <w:rsid w:val="00261338"/>
    <w:rsid w:val="00283237"/>
    <w:rsid w:val="002F36BC"/>
    <w:rsid w:val="002F53FB"/>
    <w:rsid w:val="00375BAC"/>
    <w:rsid w:val="00431BA6"/>
    <w:rsid w:val="00467159"/>
    <w:rsid w:val="0050455C"/>
    <w:rsid w:val="00572215"/>
    <w:rsid w:val="005C450F"/>
    <w:rsid w:val="00630880"/>
    <w:rsid w:val="00631627"/>
    <w:rsid w:val="006879EE"/>
    <w:rsid w:val="006B3816"/>
    <w:rsid w:val="006D66AA"/>
    <w:rsid w:val="006E176E"/>
    <w:rsid w:val="00701387"/>
    <w:rsid w:val="00714E09"/>
    <w:rsid w:val="00730E60"/>
    <w:rsid w:val="00731A0F"/>
    <w:rsid w:val="00740FEF"/>
    <w:rsid w:val="00744D2C"/>
    <w:rsid w:val="007D4BCB"/>
    <w:rsid w:val="007F487D"/>
    <w:rsid w:val="00800801"/>
    <w:rsid w:val="00882A16"/>
    <w:rsid w:val="00886772"/>
    <w:rsid w:val="009941F5"/>
    <w:rsid w:val="00A068FB"/>
    <w:rsid w:val="00A4145E"/>
    <w:rsid w:val="00A51524"/>
    <w:rsid w:val="00AA1271"/>
    <w:rsid w:val="00B42687"/>
    <w:rsid w:val="00B4531A"/>
    <w:rsid w:val="00B662E0"/>
    <w:rsid w:val="00B7606C"/>
    <w:rsid w:val="00B76E06"/>
    <w:rsid w:val="00B842E2"/>
    <w:rsid w:val="00BA5886"/>
    <w:rsid w:val="00BC5549"/>
    <w:rsid w:val="00BC65E7"/>
    <w:rsid w:val="00C53DB2"/>
    <w:rsid w:val="00C560FF"/>
    <w:rsid w:val="00C64BAC"/>
    <w:rsid w:val="00CE0F78"/>
    <w:rsid w:val="00D1023F"/>
    <w:rsid w:val="00D31719"/>
    <w:rsid w:val="00D55794"/>
    <w:rsid w:val="00DA217A"/>
    <w:rsid w:val="00DE0661"/>
    <w:rsid w:val="00DE5CCE"/>
    <w:rsid w:val="00DF2327"/>
    <w:rsid w:val="00DF54A1"/>
    <w:rsid w:val="00E05846"/>
    <w:rsid w:val="00E15018"/>
    <w:rsid w:val="00E40BCA"/>
    <w:rsid w:val="00E67F00"/>
    <w:rsid w:val="00E71396"/>
    <w:rsid w:val="00E964A2"/>
    <w:rsid w:val="00EC22F0"/>
    <w:rsid w:val="00ED6372"/>
    <w:rsid w:val="00F66238"/>
    <w:rsid w:val="00FC2656"/>
    <w:rsid w:val="00FD4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6CAB60"/>
  <w15:chartTrackingRefBased/>
  <w15:docId w15:val="{6C940F5C-3D8B-3E49-9194-1BE8F9E54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2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2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2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2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2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2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2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2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2C9"/>
    <w:rPr>
      <w:rFonts w:eastAsiaTheme="majorEastAsia" w:cstheme="majorBidi"/>
      <w:color w:val="272727" w:themeColor="text1" w:themeTint="D8"/>
    </w:rPr>
  </w:style>
  <w:style w:type="paragraph" w:styleId="Title">
    <w:name w:val="Title"/>
    <w:basedOn w:val="Normal"/>
    <w:next w:val="Normal"/>
    <w:link w:val="TitleChar"/>
    <w:uiPriority w:val="10"/>
    <w:qFormat/>
    <w:rsid w:val="001C4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2C9"/>
    <w:pPr>
      <w:spacing w:before="160"/>
      <w:jc w:val="center"/>
    </w:pPr>
    <w:rPr>
      <w:i/>
      <w:iCs/>
      <w:color w:val="404040" w:themeColor="text1" w:themeTint="BF"/>
    </w:rPr>
  </w:style>
  <w:style w:type="character" w:customStyle="1" w:styleId="QuoteChar">
    <w:name w:val="Quote Char"/>
    <w:basedOn w:val="DefaultParagraphFont"/>
    <w:link w:val="Quote"/>
    <w:uiPriority w:val="29"/>
    <w:rsid w:val="001C42C9"/>
    <w:rPr>
      <w:i/>
      <w:iCs/>
      <w:color w:val="404040" w:themeColor="text1" w:themeTint="BF"/>
    </w:rPr>
  </w:style>
  <w:style w:type="paragraph" w:styleId="ListParagraph">
    <w:name w:val="List Paragraph"/>
    <w:basedOn w:val="Normal"/>
    <w:uiPriority w:val="34"/>
    <w:qFormat/>
    <w:rsid w:val="001C42C9"/>
    <w:pPr>
      <w:ind w:left="720"/>
      <w:contextualSpacing/>
    </w:pPr>
  </w:style>
  <w:style w:type="character" w:styleId="IntenseEmphasis">
    <w:name w:val="Intense Emphasis"/>
    <w:basedOn w:val="DefaultParagraphFont"/>
    <w:uiPriority w:val="21"/>
    <w:qFormat/>
    <w:rsid w:val="001C42C9"/>
    <w:rPr>
      <w:i/>
      <w:iCs/>
      <w:color w:val="0F4761" w:themeColor="accent1" w:themeShade="BF"/>
    </w:rPr>
  </w:style>
  <w:style w:type="paragraph" w:styleId="IntenseQuote">
    <w:name w:val="Intense Quote"/>
    <w:basedOn w:val="Normal"/>
    <w:next w:val="Normal"/>
    <w:link w:val="IntenseQuoteChar"/>
    <w:uiPriority w:val="30"/>
    <w:qFormat/>
    <w:rsid w:val="001C4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2C9"/>
    <w:rPr>
      <w:i/>
      <w:iCs/>
      <w:color w:val="0F4761" w:themeColor="accent1" w:themeShade="BF"/>
    </w:rPr>
  </w:style>
  <w:style w:type="character" w:styleId="IntenseReference">
    <w:name w:val="Intense Reference"/>
    <w:basedOn w:val="DefaultParagraphFont"/>
    <w:uiPriority w:val="32"/>
    <w:qFormat/>
    <w:rsid w:val="001C42C9"/>
    <w:rPr>
      <w:b/>
      <w:bCs/>
      <w:smallCaps/>
      <w:color w:val="0F4761" w:themeColor="accent1" w:themeShade="BF"/>
      <w:spacing w:val="5"/>
    </w:rPr>
  </w:style>
  <w:style w:type="paragraph" w:styleId="Header">
    <w:name w:val="header"/>
    <w:basedOn w:val="Normal"/>
    <w:link w:val="HeaderChar"/>
    <w:uiPriority w:val="99"/>
    <w:unhideWhenUsed/>
    <w:rsid w:val="00E713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396"/>
  </w:style>
  <w:style w:type="paragraph" w:styleId="Footer">
    <w:name w:val="footer"/>
    <w:basedOn w:val="Normal"/>
    <w:link w:val="FooterChar"/>
    <w:uiPriority w:val="99"/>
    <w:unhideWhenUsed/>
    <w:rsid w:val="00E713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396"/>
  </w:style>
  <w:style w:type="character" w:styleId="CommentReference">
    <w:name w:val="annotation reference"/>
    <w:basedOn w:val="DefaultParagraphFont"/>
    <w:uiPriority w:val="99"/>
    <w:semiHidden/>
    <w:unhideWhenUsed/>
    <w:rsid w:val="00057A24"/>
    <w:rPr>
      <w:sz w:val="16"/>
      <w:szCs w:val="16"/>
    </w:rPr>
  </w:style>
  <w:style w:type="paragraph" w:styleId="CommentText">
    <w:name w:val="annotation text"/>
    <w:basedOn w:val="Normal"/>
    <w:link w:val="CommentTextChar"/>
    <w:uiPriority w:val="99"/>
    <w:semiHidden/>
    <w:unhideWhenUsed/>
    <w:rsid w:val="00057A24"/>
    <w:pPr>
      <w:spacing w:line="240" w:lineRule="auto"/>
    </w:pPr>
    <w:rPr>
      <w:sz w:val="20"/>
      <w:szCs w:val="20"/>
    </w:rPr>
  </w:style>
  <w:style w:type="character" w:customStyle="1" w:styleId="CommentTextChar">
    <w:name w:val="Comment Text Char"/>
    <w:basedOn w:val="DefaultParagraphFont"/>
    <w:link w:val="CommentText"/>
    <w:uiPriority w:val="99"/>
    <w:semiHidden/>
    <w:rsid w:val="00057A24"/>
    <w:rPr>
      <w:sz w:val="20"/>
      <w:szCs w:val="20"/>
    </w:rPr>
  </w:style>
  <w:style w:type="paragraph" w:styleId="CommentSubject">
    <w:name w:val="annotation subject"/>
    <w:basedOn w:val="CommentText"/>
    <w:next w:val="CommentText"/>
    <w:link w:val="CommentSubjectChar"/>
    <w:uiPriority w:val="99"/>
    <w:semiHidden/>
    <w:unhideWhenUsed/>
    <w:rsid w:val="00057A24"/>
    <w:rPr>
      <w:b/>
      <w:bCs/>
    </w:rPr>
  </w:style>
  <w:style w:type="character" w:customStyle="1" w:styleId="CommentSubjectChar">
    <w:name w:val="Comment Subject Char"/>
    <w:basedOn w:val="CommentTextChar"/>
    <w:link w:val="CommentSubject"/>
    <w:uiPriority w:val="99"/>
    <w:semiHidden/>
    <w:rsid w:val="00057A2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6</Pages>
  <Words>2046</Words>
  <Characters>11667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9</cp:revision>
  <cp:lastPrinted>2025-12-15T00:47:00Z</cp:lastPrinted>
  <dcterms:created xsi:type="dcterms:W3CDTF">2025-12-14T21:02:00Z</dcterms:created>
  <dcterms:modified xsi:type="dcterms:W3CDTF">2025-12-15T15:09:00Z</dcterms:modified>
</cp:coreProperties>
</file>