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09ABF" w14:textId="594A0ED8" w:rsidR="00C82DBE" w:rsidRPr="00167EFC" w:rsidRDefault="00167EFC" w:rsidP="00C82DBE">
      <w:pPr>
        <w:spacing w:line="360" w:lineRule="auto"/>
        <w:rPr>
          <w:rFonts w:ascii="Times New Roman" w:hAnsi="Times New Roman"/>
          <w:sz w:val="24"/>
        </w:rPr>
      </w:pPr>
      <w:r>
        <w:rPr>
          <w:rFonts w:ascii="Times New Roman" w:hAnsi="Times New Roman"/>
          <w:sz w:val="24"/>
        </w:rPr>
        <w:t xml:space="preserve">Literature reviewed thus far suggests </w:t>
      </w:r>
    </w:p>
    <w:p w14:paraId="5FB7BB82" w14:textId="77777777" w:rsidR="00167EFC" w:rsidRDefault="00167EFC" w:rsidP="00C82DBE">
      <w:pPr>
        <w:spacing w:line="360" w:lineRule="auto"/>
        <w:rPr>
          <w:rFonts w:ascii="Times New Roman" w:hAnsi="Times New Roman"/>
          <w:sz w:val="24"/>
        </w:rPr>
      </w:pPr>
    </w:p>
    <w:p w14:paraId="13231EE4" w14:textId="77777777" w:rsidR="0055731E" w:rsidRDefault="0055731E" w:rsidP="0055731E">
      <w:pPr>
        <w:spacing w:line="360" w:lineRule="auto"/>
        <w:rPr>
          <w:rFonts w:ascii="Times New Roman" w:hAnsi="Times New Roman"/>
          <w:b/>
          <w:bCs/>
          <w:sz w:val="24"/>
        </w:rPr>
      </w:pPr>
      <w:r w:rsidRPr="00857181">
        <w:rPr>
          <w:rFonts w:ascii="Times New Roman" w:hAnsi="Times New Roman"/>
          <w:b/>
          <w:bCs/>
          <w:sz w:val="24"/>
        </w:rPr>
        <w:t>State of Descriptive Representation in US</w:t>
      </w:r>
    </w:p>
    <w:p w14:paraId="7D70A72F" w14:textId="77777777" w:rsidR="00A73870" w:rsidRDefault="00167EFC" w:rsidP="0055731E">
      <w:pPr>
        <w:spacing w:line="360" w:lineRule="auto"/>
        <w:rPr>
          <w:rFonts w:ascii="Times New Roman" w:hAnsi="Times New Roman"/>
          <w:sz w:val="24"/>
        </w:rPr>
      </w:pPr>
      <w:r>
        <w:rPr>
          <w:rFonts w:ascii="Times New Roman" w:hAnsi="Times New Roman"/>
          <w:sz w:val="24"/>
        </w:rPr>
        <w:t xml:space="preserve">When considering the narrowest conception of “carceral representation,” or descriptive representation for incarcerated populations, the gaps are stark. There are over two million </w:t>
      </w:r>
      <w:r w:rsidRPr="00167EFC">
        <w:rPr>
          <w:rFonts w:ascii="Times New Roman" w:hAnsi="Times New Roman"/>
          <w:sz w:val="24"/>
        </w:rPr>
        <w:t>people in state and federal prisons and an additional 500,000+ held pre-trial or on misdemeanor convictions in county jails</w:t>
      </w:r>
      <w:r>
        <w:rPr>
          <w:rFonts w:ascii="Times New Roman" w:hAnsi="Times New Roman"/>
          <w:sz w:val="24"/>
        </w:rPr>
        <w:t xml:space="preserve"> – but currently only five state legislators who have experienced incarceration in prison </w:t>
      </w:r>
      <w:r w:rsidRPr="00167EFC">
        <w:rPr>
          <w:rFonts w:ascii="Times New Roman" w:hAnsi="Times New Roman"/>
          <w:sz w:val="24"/>
        </w:rPr>
        <w:t>(Bureau of Justice 2023, Rosewood and Wang 2024)</w:t>
      </w:r>
      <w:r>
        <w:rPr>
          <w:rFonts w:ascii="Times New Roman" w:hAnsi="Times New Roman"/>
          <w:sz w:val="24"/>
        </w:rPr>
        <w:t xml:space="preserve">. Notably, each of these legislators centers their identity as formerly incarcerated people, and criminal legal reform in their platforms and legislative activity. This numerical discrepancy becomes even more striking when you consider the broader justice-impacted population, including 3 million people on probation and parole and X million people previously incarcerated XYZ. </w:t>
      </w:r>
      <w:r w:rsidR="00A73870">
        <w:rPr>
          <w:rFonts w:ascii="Times New Roman" w:hAnsi="Times New Roman"/>
          <w:sz w:val="24"/>
        </w:rPr>
        <w:t xml:space="preserve"> </w:t>
      </w:r>
    </w:p>
    <w:p w14:paraId="7CB6553D" w14:textId="77777777" w:rsidR="006E5B44" w:rsidRDefault="006E5B44" w:rsidP="0055731E">
      <w:pPr>
        <w:spacing w:line="360" w:lineRule="auto"/>
        <w:rPr>
          <w:rFonts w:ascii="Times New Roman" w:hAnsi="Times New Roman"/>
          <w:sz w:val="24"/>
        </w:rPr>
      </w:pPr>
    </w:p>
    <w:p w14:paraId="5ED9EF74" w14:textId="4F1FA2B6" w:rsidR="00167EFC" w:rsidRDefault="00167EFC" w:rsidP="0055731E">
      <w:pPr>
        <w:spacing w:line="360" w:lineRule="auto"/>
        <w:rPr>
          <w:rFonts w:ascii="Times New Roman" w:hAnsi="Times New Roman"/>
          <w:sz w:val="24"/>
        </w:rPr>
      </w:pPr>
      <w:r>
        <w:rPr>
          <w:rFonts w:ascii="Times New Roman" w:hAnsi="Times New Roman"/>
          <w:sz w:val="24"/>
        </w:rPr>
        <w:t xml:space="preserve">I suspect that the case in Massachusetts suggests that incarcerated interests can be meaningfully represented by those who are impacted more broadly – while I am using Black descriptive representation largely as a surrogate in this paper, I hope to eventually investigate the role that </w:t>
      </w:r>
      <w:r w:rsidR="00A73870">
        <w:rPr>
          <w:rFonts w:ascii="Times New Roman" w:hAnsi="Times New Roman"/>
          <w:sz w:val="24"/>
        </w:rPr>
        <w:t>directly-impacted legislators more broadly (or specifically) play in representation, responsiveness, and policy change.</w:t>
      </w:r>
      <w:r>
        <w:rPr>
          <w:rFonts w:ascii="Times New Roman" w:hAnsi="Times New Roman"/>
          <w:sz w:val="24"/>
        </w:rPr>
        <w:t xml:space="preserve"> </w:t>
      </w:r>
      <w:r w:rsidR="00A73870">
        <w:rPr>
          <w:rFonts w:ascii="Times New Roman" w:hAnsi="Times New Roman"/>
          <w:sz w:val="24"/>
        </w:rPr>
        <w:t xml:space="preserve">In the interim, I will next review literature on the state of representation and evidence of its relationship with substantive representation and finally responsiveness. </w:t>
      </w:r>
    </w:p>
    <w:p w14:paraId="6A3A47E4" w14:textId="77777777" w:rsidR="00167EFC" w:rsidRDefault="00167EFC" w:rsidP="0055731E">
      <w:pPr>
        <w:spacing w:line="360" w:lineRule="auto"/>
        <w:rPr>
          <w:rFonts w:ascii="Times New Roman" w:hAnsi="Times New Roman"/>
          <w:sz w:val="24"/>
        </w:rPr>
      </w:pPr>
    </w:p>
    <w:p w14:paraId="496C9408" w14:textId="12770C00" w:rsidR="00A73870" w:rsidRPr="00A73870" w:rsidRDefault="00A73870" w:rsidP="0055731E">
      <w:pPr>
        <w:spacing w:line="360" w:lineRule="auto"/>
        <w:rPr>
          <w:rFonts w:ascii="Times New Roman" w:hAnsi="Times New Roman"/>
          <w:b/>
          <w:bCs/>
          <w:sz w:val="24"/>
        </w:rPr>
      </w:pPr>
      <w:r w:rsidRPr="00A73870">
        <w:rPr>
          <w:rFonts w:ascii="Times New Roman" w:hAnsi="Times New Roman"/>
          <w:b/>
          <w:bCs/>
          <w:sz w:val="24"/>
        </w:rPr>
        <w:t>Racial</w:t>
      </w:r>
      <w:r w:rsidR="0093047B">
        <w:rPr>
          <w:rFonts w:ascii="Times New Roman" w:hAnsi="Times New Roman"/>
          <w:b/>
          <w:bCs/>
          <w:sz w:val="24"/>
        </w:rPr>
        <w:t xml:space="preserve">, </w:t>
      </w:r>
      <w:r w:rsidRPr="00A73870">
        <w:rPr>
          <w:rFonts w:ascii="Times New Roman" w:hAnsi="Times New Roman"/>
          <w:b/>
          <w:bCs/>
          <w:sz w:val="24"/>
        </w:rPr>
        <w:t>Ethnic</w:t>
      </w:r>
      <w:r w:rsidR="0093047B">
        <w:rPr>
          <w:rFonts w:ascii="Times New Roman" w:hAnsi="Times New Roman"/>
          <w:b/>
          <w:bCs/>
          <w:sz w:val="24"/>
        </w:rPr>
        <w:t xml:space="preserve">, and </w:t>
      </w:r>
      <w:proofErr w:type="gramStart"/>
      <w:r w:rsidR="0093047B">
        <w:rPr>
          <w:rFonts w:ascii="Times New Roman" w:hAnsi="Times New Roman"/>
          <w:b/>
          <w:bCs/>
          <w:sz w:val="24"/>
        </w:rPr>
        <w:t xml:space="preserve">Socioeconomic </w:t>
      </w:r>
      <w:r w:rsidRPr="00A73870">
        <w:rPr>
          <w:rFonts w:ascii="Times New Roman" w:hAnsi="Times New Roman"/>
          <w:b/>
          <w:bCs/>
          <w:sz w:val="24"/>
        </w:rPr>
        <w:t xml:space="preserve"> Representation</w:t>
      </w:r>
      <w:proofErr w:type="gramEnd"/>
    </w:p>
    <w:p w14:paraId="6DD74F97" w14:textId="7A41FE29" w:rsidR="0055731E" w:rsidRDefault="0055731E" w:rsidP="00A73870">
      <w:pPr>
        <w:spacing w:line="360" w:lineRule="auto"/>
        <w:rPr>
          <w:rFonts w:ascii="Times New Roman" w:hAnsi="Times New Roman"/>
          <w:sz w:val="24"/>
        </w:rPr>
      </w:pPr>
      <w:r>
        <w:rPr>
          <w:rFonts w:ascii="Times New Roman" w:hAnsi="Times New Roman"/>
          <w:sz w:val="24"/>
        </w:rPr>
        <w:t xml:space="preserve">While Black and minority descriptive representation has made gains since </w:t>
      </w:r>
      <w:r w:rsidRPr="00953873">
        <w:rPr>
          <w:rFonts w:ascii="Times New Roman" w:hAnsi="Times New Roman"/>
          <w:sz w:val="24"/>
        </w:rPr>
        <w:t>the passage of the VRA</w:t>
      </w:r>
      <w:r>
        <w:rPr>
          <w:rFonts w:ascii="Times New Roman" w:hAnsi="Times New Roman"/>
          <w:sz w:val="24"/>
        </w:rPr>
        <w:t xml:space="preserve">, </w:t>
      </w:r>
      <w:r w:rsidR="00A73870">
        <w:rPr>
          <w:rFonts w:ascii="Times New Roman" w:hAnsi="Times New Roman"/>
          <w:sz w:val="24"/>
        </w:rPr>
        <w:t>Congress and legislatures fall of</w:t>
      </w:r>
      <w:r>
        <w:rPr>
          <w:rFonts w:ascii="Times New Roman" w:hAnsi="Times New Roman"/>
          <w:sz w:val="24"/>
        </w:rPr>
        <w:t xml:space="preserve"> </w:t>
      </w:r>
      <w:r w:rsidR="00A73870">
        <w:rPr>
          <w:rFonts w:ascii="Times New Roman" w:hAnsi="Times New Roman"/>
          <w:sz w:val="24"/>
        </w:rPr>
        <w:t>proportional representation</w:t>
      </w:r>
      <w:r w:rsidRPr="00953873">
        <w:rPr>
          <w:rFonts w:ascii="Times New Roman" w:hAnsi="Times New Roman"/>
          <w:sz w:val="24"/>
        </w:rPr>
        <w:t xml:space="preserve"> (McClain and Carew</w:t>
      </w:r>
      <w:r>
        <w:rPr>
          <w:rFonts w:ascii="Times New Roman" w:hAnsi="Times New Roman"/>
          <w:sz w:val="24"/>
        </w:rPr>
        <w:t xml:space="preserve"> </w:t>
      </w:r>
      <w:r w:rsidRPr="00953873">
        <w:rPr>
          <w:rFonts w:ascii="Times New Roman" w:hAnsi="Times New Roman"/>
          <w:sz w:val="24"/>
        </w:rPr>
        <w:t>2017</w:t>
      </w:r>
      <w:r>
        <w:rPr>
          <w:rFonts w:ascii="Times New Roman" w:hAnsi="Times New Roman"/>
          <w:sz w:val="24"/>
        </w:rPr>
        <w:t>, Pew 2023</w:t>
      </w:r>
      <w:r w:rsidRPr="00953873">
        <w:rPr>
          <w:rFonts w:ascii="Times New Roman" w:hAnsi="Times New Roman"/>
          <w:sz w:val="24"/>
        </w:rPr>
        <w:t>)</w:t>
      </w:r>
      <w:r>
        <w:rPr>
          <w:rFonts w:ascii="Times New Roman" w:hAnsi="Times New Roman"/>
          <w:sz w:val="24"/>
        </w:rPr>
        <w:t>. On aggregate, s</w:t>
      </w:r>
      <w:r w:rsidRPr="00953873">
        <w:rPr>
          <w:rFonts w:ascii="Times New Roman" w:hAnsi="Times New Roman"/>
          <w:sz w:val="24"/>
        </w:rPr>
        <w:t xml:space="preserve">tate legislatures </w:t>
      </w:r>
      <w:r>
        <w:rPr>
          <w:rFonts w:ascii="Times New Roman" w:hAnsi="Times New Roman"/>
          <w:sz w:val="24"/>
        </w:rPr>
        <w:t xml:space="preserve">continue to dramatically under </w:t>
      </w:r>
      <w:r w:rsidRPr="00953873">
        <w:rPr>
          <w:rFonts w:ascii="Times New Roman" w:hAnsi="Times New Roman"/>
          <w:sz w:val="24"/>
        </w:rPr>
        <w:t>dramatically underrepresent the demographic groups most affected by incarceration</w:t>
      </w:r>
      <w:r>
        <w:rPr>
          <w:rFonts w:ascii="Times New Roman" w:hAnsi="Times New Roman"/>
          <w:sz w:val="24"/>
        </w:rPr>
        <w:t xml:space="preserve"> – composed of only 10.55% Black and 6.34% Hispanic </w:t>
      </w:r>
      <w:r w:rsidR="00A73870">
        <w:rPr>
          <w:rFonts w:ascii="Times New Roman" w:hAnsi="Times New Roman"/>
          <w:sz w:val="24"/>
        </w:rPr>
        <w:t>elected officials</w:t>
      </w:r>
      <w:r>
        <w:rPr>
          <w:rFonts w:ascii="Times New Roman" w:hAnsi="Times New Roman"/>
          <w:sz w:val="24"/>
        </w:rPr>
        <w:t xml:space="preserve">. </w:t>
      </w:r>
      <w:r w:rsidR="00A73870" w:rsidRPr="00A73870">
        <w:rPr>
          <w:rFonts w:ascii="Times New Roman" w:hAnsi="Times New Roman"/>
          <w:sz w:val="24"/>
        </w:rPr>
        <w:t>These disparities likely extend to legislative leadership positions, though current comprehensive data is limited.</w:t>
      </w:r>
    </w:p>
    <w:p w14:paraId="4D0D7FAF" w14:textId="77777777" w:rsidR="00A73870" w:rsidRDefault="00A73870" w:rsidP="00A73870">
      <w:pPr>
        <w:spacing w:line="360" w:lineRule="auto"/>
        <w:rPr>
          <w:rFonts w:ascii="Times New Roman" w:hAnsi="Times New Roman"/>
          <w:sz w:val="24"/>
        </w:rPr>
      </w:pPr>
    </w:p>
    <w:p w14:paraId="0F22C85D" w14:textId="77777777" w:rsidR="009802A2" w:rsidRDefault="009802A2" w:rsidP="00A73870">
      <w:pPr>
        <w:spacing w:line="360" w:lineRule="auto"/>
        <w:rPr>
          <w:rFonts w:ascii="Times New Roman" w:hAnsi="Times New Roman"/>
          <w:sz w:val="24"/>
        </w:rPr>
      </w:pPr>
    </w:p>
    <w:p w14:paraId="7C1407FB" w14:textId="77777777" w:rsidR="0093047B" w:rsidRDefault="0093047B" w:rsidP="0093047B">
      <w:pPr>
        <w:spacing w:line="360" w:lineRule="auto"/>
        <w:rPr>
          <w:rFonts w:ascii="Times New Roman" w:hAnsi="Times New Roman"/>
          <w:sz w:val="24"/>
        </w:rPr>
      </w:pPr>
      <w:r>
        <w:rPr>
          <w:rFonts w:ascii="Times New Roman" w:hAnsi="Times New Roman"/>
          <w:sz w:val="24"/>
        </w:rPr>
        <w:lastRenderedPageBreak/>
        <w:t xml:space="preserve">Elected officials in congress and in the states are “almost always wealthier, more educated, and more likely to come from white-collar jobs than the citizens who elect them” (Carnes 2012). </w:t>
      </w:r>
      <w:r w:rsidRPr="00A73870">
        <w:rPr>
          <w:rFonts w:ascii="Times New Roman" w:hAnsi="Times New Roman"/>
          <w:sz w:val="24"/>
        </w:rPr>
        <w:t>In Congress, less than 2 percent of the average representative's pre-congressional career was spent in working-class jobs, contrasting sharply with the over 50% working-class composition of the U.S. labor force (Carnes and Lupu 2015).</w:t>
      </w:r>
    </w:p>
    <w:p w14:paraId="2E606CDC" w14:textId="77777777" w:rsidR="009802A2" w:rsidRDefault="009802A2" w:rsidP="00A73870">
      <w:pPr>
        <w:spacing w:line="360" w:lineRule="auto"/>
        <w:rPr>
          <w:rFonts w:ascii="Times New Roman" w:hAnsi="Times New Roman"/>
          <w:sz w:val="24"/>
        </w:rPr>
      </w:pPr>
    </w:p>
    <w:p w14:paraId="7431CFED" w14:textId="2B2D9C82" w:rsidR="009802A2" w:rsidRPr="009802A2" w:rsidRDefault="009802A2" w:rsidP="00A73870">
      <w:pPr>
        <w:spacing w:line="360" w:lineRule="auto"/>
        <w:rPr>
          <w:rFonts w:ascii="Times New Roman" w:hAnsi="Times New Roman"/>
          <w:b/>
          <w:bCs/>
          <w:sz w:val="24"/>
        </w:rPr>
      </w:pPr>
      <w:r w:rsidRPr="009802A2">
        <w:rPr>
          <w:rFonts w:ascii="Times New Roman" w:hAnsi="Times New Roman"/>
          <w:b/>
          <w:bCs/>
          <w:sz w:val="24"/>
        </w:rPr>
        <w:t>Descriptive Representation Matters for Substantive Representation</w:t>
      </w:r>
    </w:p>
    <w:p w14:paraId="0F2636EF" w14:textId="300BF0CE" w:rsidR="006E5B44" w:rsidRDefault="006E5B44" w:rsidP="00A73870">
      <w:pPr>
        <w:spacing w:line="360" w:lineRule="auto"/>
        <w:rPr>
          <w:rFonts w:ascii="Times New Roman" w:hAnsi="Times New Roman"/>
          <w:sz w:val="24"/>
        </w:rPr>
      </w:pPr>
      <w:r>
        <w:rPr>
          <w:rFonts w:ascii="Times New Roman" w:hAnsi="Times New Roman"/>
          <w:sz w:val="24"/>
        </w:rPr>
        <w:t xml:space="preserve">“Descriptive representation transforms democratic institutions,” Brown, Clark, Mahoney and Strawbridge write (2023). In their article, building on Brown’s work in particular, the authors show how that the election of Black women to congress has facilitated the crystallization of interests. </w:t>
      </w:r>
    </w:p>
    <w:p w14:paraId="12FB237C" w14:textId="77777777" w:rsidR="006E5B44" w:rsidRDefault="006E5B44" w:rsidP="00A73870">
      <w:pPr>
        <w:spacing w:line="360" w:lineRule="auto"/>
        <w:rPr>
          <w:rFonts w:ascii="Times New Roman" w:hAnsi="Times New Roman"/>
          <w:sz w:val="24"/>
        </w:rPr>
      </w:pPr>
    </w:p>
    <w:p w14:paraId="299C8997" w14:textId="48161A48" w:rsidR="009802A2" w:rsidRDefault="006E5B44" w:rsidP="00A73870">
      <w:pPr>
        <w:spacing w:line="360" w:lineRule="auto"/>
        <w:rPr>
          <w:rFonts w:ascii="Times New Roman" w:hAnsi="Times New Roman"/>
          <w:sz w:val="24"/>
        </w:rPr>
      </w:pPr>
      <w:r>
        <w:rPr>
          <w:rFonts w:ascii="Times New Roman" w:hAnsi="Times New Roman"/>
          <w:sz w:val="24"/>
        </w:rPr>
        <w:t xml:space="preserve">Abundant scholarship demonstrates descriptive representation’s consequence for substantive representation. </w:t>
      </w:r>
      <w:r w:rsidR="0021198A">
        <w:rPr>
          <w:rFonts w:ascii="Times New Roman" w:hAnsi="Times New Roman"/>
          <w:sz w:val="24"/>
        </w:rPr>
        <w:t xml:space="preserve">On the individual level, legislators are more responsive to constituents with whom they share personal characteristics like race and class in roll call votes (Hutchings 1998, Tate 2003, Burden 2007, Carnes 2012). </w:t>
      </w:r>
      <w:r w:rsidR="00AD5849">
        <w:rPr>
          <w:rFonts w:ascii="Times New Roman" w:hAnsi="Times New Roman"/>
          <w:sz w:val="24"/>
        </w:rPr>
        <w:t>Black legislators are intrinsically motivated to represent Black interests (</w:t>
      </w:r>
      <w:proofErr w:type="spellStart"/>
      <w:r w:rsidR="00AD5849">
        <w:rPr>
          <w:rFonts w:ascii="Times New Roman" w:hAnsi="Times New Roman"/>
          <w:sz w:val="24"/>
        </w:rPr>
        <w:t>Broockman</w:t>
      </w:r>
      <w:proofErr w:type="spellEnd"/>
      <w:r w:rsidR="00AD5849">
        <w:rPr>
          <w:rFonts w:ascii="Times New Roman" w:hAnsi="Times New Roman"/>
          <w:sz w:val="24"/>
        </w:rPr>
        <w:t xml:space="preserve"> 2013), and while subject to political context and racialization – Black descriptive</w:t>
      </w:r>
      <w:r w:rsidR="00AD5849" w:rsidRPr="00953873">
        <w:rPr>
          <w:rFonts w:ascii="Times New Roman" w:hAnsi="Times New Roman"/>
          <w:sz w:val="24"/>
        </w:rPr>
        <w:t xml:space="preserve"> representation influences </w:t>
      </w:r>
      <w:r w:rsidR="00AD5849">
        <w:rPr>
          <w:rFonts w:ascii="Times New Roman" w:hAnsi="Times New Roman"/>
          <w:sz w:val="24"/>
        </w:rPr>
        <w:t xml:space="preserve">state </w:t>
      </w:r>
      <w:r w:rsidR="00AD5849" w:rsidRPr="00953873">
        <w:rPr>
          <w:rFonts w:ascii="Times New Roman" w:hAnsi="Times New Roman"/>
          <w:sz w:val="24"/>
        </w:rPr>
        <w:t>policy agendas and outcomes (</w:t>
      </w:r>
      <w:proofErr w:type="spellStart"/>
      <w:r w:rsidR="00AD5849" w:rsidRPr="00953873">
        <w:rPr>
          <w:rFonts w:ascii="Times New Roman" w:hAnsi="Times New Roman"/>
          <w:sz w:val="24"/>
        </w:rPr>
        <w:t>Preuhs</w:t>
      </w:r>
      <w:proofErr w:type="spellEnd"/>
      <w:r w:rsidR="00AD5849" w:rsidRPr="00953873">
        <w:rPr>
          <w:rFonts w:ascii="Times New Roman" w:hAnsi="Times New Roman"/>
          <w:sz w:val="24"/>
        </w:rPr>
        <w:t xml:space="preserve"> 2006)</w:t>
      </w:r>
      <w:r w:rsidR="00AD5849">
        <w:rPr>
          <w:rFonts w:ascii="Times New Roman" w:hAnsi="Times New Roman"/>
          <w:sz w:val="24"/>
        </w:rPr>
        <w:t xml:space="preserve">. </w:t>
      </w:r>
      <w:r w:rsidR="0021198A">
        <w:rPr>
          <w:rFonts w:ascii="Times New Roman" w:hAnsi="Times New Roman"/>
          <w:sz w:val="24"/>
        </w:rPr>
        <w:t>This extends to legislative committees (Gamble 2007)</w:t>
      </w:r>
      <w:r w:rsidR="00AD5849">
        <w:rPr>
          <w:rFonts w:ascii="Times New Roman" w:hAnsi="Times New Roman"/>
          <w:sz w:val="24"/>
        </w:rPr>
        <w:t xml:space="preserve">. </w:t>
      </w:r>
      <w:proofErr w:type="spellStart"/>
      <w:r w:rsidR="008A41DE">
        <w:rPr>
          <w:rFonts w:ascii="Times New Roman" w:hAnsi="Times New Roman"/>
          <w:sz w:val="24"/>
        </w:rPr>
        <w:t>Broockman</w:t>
      </w:r>
      <w:proofErr w:type="spellEnd"/>
      <w:r w:rsidR="008A41DE">
        <w:rPr>
          <w:rFonts w:ascii="Times New Roman" w:hAnsi="Times New Roman"/>
          <w:sz w:val="24"/>
        </w:rPr>
        <w:t xml:space="preserve"> (2013) finds that Black legislators. Black descriptive representation generates political empowerment and participation (Bobo and Gilliam 1990, Clark 2019). </w:t>
      </w:r>
      <w:r w:rsidR="004B22F4">
        <w:rPr>
          <w:rFonts w:ascii="Times New Roman" w:hAnsi="Times New Roman"/>
          <w:sz w:val="24"/>
        </w:rPr>
        <w:t xml:space="preserve">As Mansbridge stressed, symbolic effects of descriptive representation </w:t>
      </w:r>
      <w:r w:rsidR="004B22F4" w:rsidRPr="004B22F4">
        <w:rPr>
          <w:rFonts w:ascii="Times New Roman" w:hAnsi="Times New Roman"/>
          <w:i/>
          <w:iCs/>
          <w:sz w:val="24"/>
        </w:rPr>
        <w:t>are</w:t>
      </w:r>
      <w:r w:rsidR="004B22F4">
        <w:rPr>
          <w:rFonts w:ascii="Times New Roman" w:hAnsi="Times New Roman"/>
          <w:sz w:val="24"/>
        </w:rPr>
        <w:t xml:space="preserve"> substantive</w:t>
      </w:r>
      <w:r w:rsidR="008A41DE">
        <w:rPr>
          <w:rFonts w:ascii="Times New Roman" w:hAnsi="Times New Roman"/>
          <w:sz w:val="24"/>
        </w:rPr>
        <w:t xml:space="preserve"> – and symbolic acts demonstrating shared identity, experience, and commitments, are an important link. </w:t>
      </w:r>
      <w:r w:rsidR="009802A2" w:rsidRPr="004B22F4">
        <w:rPr>
          <w:rFonts w:ascii="Times New Roman" w:hAnsi="Times New Roman"/>
          <w:sz w:val="24"/>
        </w:rPr>
        <w:t>Black</w:t>
      </w:r>
      <w:r w:rsidR="009802A2">
        <w:rPr>
          <w:rFonts w:ascii="Times New Roman" w:hAnsi="Times New Roman"/>
          <w:sz w:val="24"/>
        </w:rPr>
        <w:t xml:space="preserve"> legislators </w:t>
      </w:r>
      <w:r w:rsidR="004B22F4">
        <w:rPr>
          <w:rFonts w:ascii="Times New Roman" w:hAnsi="Times New Roman"/>
          <w:sz w:val="24"/>
        </w:rPr>
        <w:t xml:space="preserve">introduce more civil rights </w:t>
      </w:r>
      <w:proofErr w:type="gramStart"/>
      <w:r w:rsidR="004B22F4">
        <w:rPr>
          <w:rFonts w:ascii="Times New Roman" w:hAnsi="Times New Roman"/>
          <w:sz w:val="24"/>
        </w:rPr>
        <w:t>legislation</w:t>
      </w:r>
      <w:proofErr w:type="gramEnd"/>
      <w:r w:rsidR="004B22F4">
        <w:rPr>
          <w:rFonts w:ascii="Times New Roman" w:hAnsi="Times New Roman"/>
          <w:sz w:val="24"/>
        </w:rPr>
        <w:t xml:space="preserve"> and they </w:t>
      </w:r>
      <w:r w:rsidR="009802A2">
        <w:rPr>
          <w:rFonts w:ascii="Times New Roman" w:hAnsi="Times New Roman"/>
          <w:sz w:val="24"/>
        </w:rPr>
        <w:t xml:space="preserve">are more likely to talk about civil rights on the House Floor – and do so </w:t>
      </w:r>
      <w:r w:rsidR="004B22F4">
        <w:rPr>
          <w:rFonts w:ascii="Times New Roman" w:hAnsi="Times New Roman"/>
          <w:sz w:val="24"/>
        </w:rPr>
        <w:t xml:space="preserve">with symbolic references </w:t>
      </w:r>
      <w:proofErr w:type="spellStart"/>
      <w:r w:rsidR="004B22F4">
        <w:rPr>
          <w:rFonts w:ascii="Times New Roman" w:hAnsi="Times New Roman"/>
          <w:sz w:val="24"/>
        </w:rPr>
        <w:t>enhaving</w:t>
      </w:r>
      <w:proofErr w:type="spellEnd"/>
      <w:r w:rsidR="004B22F4">
        <w:rPr>
          <w:rFonts w:ascii="Times New Roman" w:hAnsi="Times New Roman"/>
          <w:sz w:val="24"/>
        </w:rPr>
        <w:t xml:space="preserve"> (?) legislative perceptions of Black constituents and Black voter turnout (Tate 2003, Dietrich and Hayes, 2023).</w:t>
      </w:r>
      <w:r w:rsidR="009802A2">
        <w:rPr>
          <w:rFonts w:ascii="Times New Roman" w:hAnsi="Times New Roman"/>
          <w:sz w:val="24"/>
        </w:rPr>
        <w:t xml:space="preserve"> </w:t>
      </w:r>
      <w:r w:rsidR="004B22F4">
        <w:rPr>
          <w:rFonts w:ascii="Times New Roman" w:hAnsi="Times New Roman"/>
          <w:sz w:val="24"/>
        </w:rPr>
        <w:t xml:space="preserve">Such symbolic representation signals empathy and issue commitments to constituencies (Gillion 2016). </w:t>
      </w:r>
    </w:p>
    <w:p w14:paraId="3D8DE41A" w14:textId="41A96975" w:rsidR="00AD5849" w:rsidRDefault="00AD5849" w:rsidP="00A73870">
      <w:pPr>
        <w:spacing w:line="360" w:lineRule="auto"/>
        <w:rPr>
          <w:rFonts w:ascii="Times New Roman" w:hAnsi="Times New Roman"/>
          <w:sz w:val="24"/>
        </w:rPr>
      </w:pPr>
    </w:p>
    <w:p w14:paraId="389EF324" w14:textId="09040E3A" w:rsidR="009802A2" w:rsidRPr="00A73870" w:rsidRDefault="0087689C" w:rsidP="009802A2">
      <w:pPr>
        <w:spacing w:line="360" w:lineRule="auto"/>
        <w:rPr>
          <w:rFonts w:ascii="Times New Roman" w:hAnsi="Times New Roman"/>
          <w:sz w:val="24"/>
        </w:rPr>
      </w:pPr>
      <w:r>
        <w:rPr>
          <w:rFonts w:ascii="Times New Roman" w:hAnsi="Times New Roman"/>
          <w:sz w:val="24"/>
        </w:rPr>
        <w:t>U</w:t>
      </w:r>
      <w:r w:rsidR="00A73870" w:rsidRPr="00A73870">
        <w:rPr>
          <w:rFonts w:ascii="Times New Roman" w:hAnsi="Times New Roman"/>
          <w:sz w:val="24"/>
        </w:rPr>
        <w:t xml:space="preserve">nderrepresentation is particularly consequential given evidence that Black legislators are more likely to introduce and support criminal justice reform legislation (Owens 2020). Black constituents consistently report feeling better represented – having a stronger say in government </w:t>
      </w:r>
      <w:r w:rsidR="00A73870" w:rsidRPr="00A73870">
        <w:rPr>
          <w:rFonts w:ascii="Times New Roman" w:hAnsi="Times New Roman"/>
          <w:sz w:val="24"/>
        </w:rPr>
        <w:lastRenderedPageBreak/>
        <w:t>actions – when represented by Black legislators (Gleason and Stout 2014).</w:t>
      </w:r>
      <w:r w:rsidR="00D94E75">
        <w:rPr>
          <w:rFonts w:ascii="Times New Roman" w:hAnsi="Times New Roman"/>
          <w:sz w:val="24"/>
        </w:rPr>
        <w:t xml:space="preserve"> </w:t>
      </w:r>
      <w:r w:rsidR="009802A2" w:rsidRPr="00A73870">
        <w:rPr>
          <w:rFonts w:ascii="Times New Roman" w:hAnsi="Times New Roman"/>
          <w:sz w:val="24"/>
        </w:rPr>
        <w:t>States with higher proportions of Black legislators tend to demonstrate different approaches to criminal justice policy, though these effects often depend on factors like party control and overall minority representation proportions (Hawkesworth 2003).</w:t>
      </w:r>
    </w:p>
    <w:p w14:paraId="6B478E53" w14:textId="77777777" w:rsidR="00A73870" w:rsidRDefault="00A73870" w:rsidP="0055731E">
      <w:pPr>
        <w:spacing w:line="360" w:lineRule="auto"/>
        <w:rPr>
          <w:rFonts w:ascii="Times New Roman" w:hAnsi="Times New Roman"/>
          <w:sz w:val="24"/>
        </w:rPr>
      </w:pPr>
    </w:p>
    <w:p w14:paraId="38000535" w14:textId="07C34AE6" w:rsidR="00A73870" w:rsidRPr="00953873" w:rsidRDefault="00A73870" w:rsidP="0055731E">
      <w:pPr>
        <w:spacing w:line="360" w:lineRule="auto"/>
        <w:rPr>
          <w:rFonts w:ascii="Times New Roman" w:hAnsi="Times New Roman"/>
          <w:sz w:val="24"/>
        </w:rPr>
      </w:pPr>
      <w:r w:rsidRPr="00A73870">
        <w:rPr>
          <w:rFonts w:ascii="Times New Roman" w:hAnsi="Times New Roman"/>
          <w:sz w:val="24"/>
        </w:rPr>
        <w:t xml:space="preserve">This class disparity has </w:t>
      </w:r>
      <w:proofErr w:type="gramStart"/>
      <w:r w:rsidRPr="00A73870">
        <w:rPr>
          <w:rFonts w:ascii="Times New Roman" w:hAnsi="Times New Roman"/>
          <w:sz w:val="24"/>
        </w:rPr>
        <w:t>particular implications</w:t>
      </w:r>
      <w:proofErr w:type="gramEnd"/>
      <w:r w:rsidRPr="00A73870">
        <w:rPr>
          <w:rFonts w:ascii="Times New Roman" w:hAnsi="Times New Roman"/>
          <w:sz w:val="24"/>
        </w:rPr>
        <w:t xml:space="preserve"> for criminal justice policy, as working-class and economically marginalized communities disproportionately bear the burden of mass incarceration. The absence of legislators with direct experience of economic marginalization may affect understanding of how criminal justice policies intersect with economic vulnerability.</w:t>
      </w:r>
    </w:p>
    <w:p w14:paraId="3C0E6F46" w14:textId="1568BE5C" w:rsidR="0055731E" w:rsidRDefault="0055731E" w:rsidP="0055731E">
      <w:pPr>
        <w:spacing w:line="360" w:lineRule="auto"/>
        <w:rPr>
          <w:rFonts w:ascii="Times New Roman" w:hAnsi="Times New Roman"/>
          <w:sz w:val="24"/>
        </w:rPr>
      </w:pPr>
      <w:r w:rsidRPr="00953873">
        <w:rPr>
          <w:rFonts w:ascii="Times New Roman" w:hAnsi="Times New Roman"/>
          <w:sz w:val="24"/>
        </w:rPr>
        <w:t>Research on state legislative staff composition reveals similar patterns. This matters because legislative staff often serve as key intermediaries for constituent concerns, including those from incarcerated individuals and their families.</w:t>
      </w:r>
    </w:p>
    <w:p w14:paraId="623C49BE" w14:textId="77777777" w:rsidR="00D94E75" w:rsidRDefault="00D94E75" w:rsidP="0055731E">
      <w:pPr>
        <w:spacing w:line="360" w:lineRule="auto"/>
        <w:rPr>
          <w:rFonts w:ascii="Times New Roman" w:hAnsi="Times New Roman"/>
          <w:sz w:val="24"/>
        </w:rPr>
      </w:pPr>
    </w:p>
    <w:p w14:paraId="365A822A" w14:textId="77777777" w:rsidR="00D94E75" w:rsidRPr="00D94E75" w:rsidRDefault="00D94E75" w:rsidP="0055731E">
      <w:pPr>
        <w:spacing w:line="360" w:lineRule="auto"/>
        <w:rPr>
          <w:rFonts w:ascii="Times New Roman" w:hAnsi="Times New Roman"/>
          <w:sz w:val="24"/>
        </w:rPr>
      </w:pPr>
    </w:p>
    <w:p w14:paraId="08342BDE" w14:textId="77777777" w:rsidR="0055731E" w:rsidRDefault="0055731E" w:rsidP="0055731E">
      <w:pPr>
        <w:spacing w:line="360" w:lineRule="auto"/>
        <w:rPr>
          <w:rFonts w:ascii="Times New Roman" w:hAnsi="Times New Roman"/>
          <w:b/>
          <w:bCs/>
          <w:sz w:val="24"/>
        </w:rPr>
      </w:pPr>
    </w:p>
    <w:p w14:paraId="14CDFCB3" w14:textId="289199EC" w:rsidR="00A73870" w:rsidRPr="00953873" w:rsidRDefault="00A73870" w:rsidP="0055731E">
      <w:pPr>
        <w:spacing w:line="360" w:lineRule="auto"/>
        <w:rPr>
          <w:rFonts w:ascii="Times New Roman" w:hAnsi="Times New Roman"/>
          <w:b/>
          <w:bCs/>
          <w:sz w:val="24"/>
        </w:rPr>
      </w:pPr>
      <w:r>
        <w:rPr>
          <w:rFonts w:ascii="Times New Roman" w:hAnsi="Times New Roman"/>
          <w:b/>
          <w:bCs/>
          <w:sz w:val="24"/>
        </w:rPr>
        <w:t>Chamber-Level Effects and Policy Outcomes</w:t>
      </w:r>
    </w:p>
    <w:p w14:paraId="1B9939CC" w14:textId="77777777" w:rsidR="00A73870" w:rsidRPr="00A73870" w:rsidRDefault="00A73870" w:rsidP="00A73870">
      <w:pPr>
        <w:spacing w:line="360" w:lineRule="auto"/>
        <w:rPr>
          <w:rFonts w:ascii="Times New Roman" w:hAnsi="Times New Roman"/>
          <w:sz w:val="24"/>
        </w:rPr>
      </w:pPr>
      <w:r w:rsidRPr="00A73870">
        <w:rPr>
          <w:rFonts w:ascii="Times New Roman" w:hAnsi="Times New Roman"/>
          <w:sz w:val="24"/>
        </w:rPr>
        <w:t>The mechanisms through which limited descriptive representation affects incarcerated people's interests are multifaceted:</w:t>
      </w:r>
    </w:p>
    <w:p w14:paraId="604B0094" w14:textId="77777777" w:rsidR="00A73870" w:rsidRPr="00A73870" w:rsidRDefault="00A73870" w:rsidP="00A73870">
      <w:pPr>
        <w:numPr>
          <w:ilvl w:val="0"/>
          <w:numId w:val="16"/>
        </w:numPr>
        <w:spacing w:line="360" w:lineRule="auto"/>
        <w:rPr>
          <w:rFonts w:ascii="Times New Roman" w:hAnsi="Times New Roman"/>
          <w:sz w:val="24"/>
        </w:rPr>
      </w:pPr>
      <w:r w:rsidRPr="00A73870">
        <w:rPr>
          <w:rFonts w:ascii="Times New Roman" w:hAnsi="Times New Roman"/>
          <w:sz w:val="24"/>
        </w:rPr>
        <w:t>Knowledge Gaps: Legislators without personal or community connections to incarceration often lack firsthand understanding of prison conditions, reentry challenges, and conviction's collateral consequences.</w:t>
      </w:r>
    </w:p>
    <w:p w14:paraId="386213D2" w14:textId="77777777" w:rsidR="00A73870" w:rsidRPr="00A73870" w:rsidRDefault="00A73870" w:rsidP="00A73870">
      <w:pPr>
        <w:numPr>
          <w:ilvl w:val="0"/>
          <w:numId w:val="16"/>
        </w:numPr>
        <w:spacing w:line="360" w:lineRule="auto"/>
        <w:rPr>
          <w:rFonts w:ascii="Times New Roman" w:hAnsi="Times New Roman"/>
          <w:sz w:val="24"/>
        </w:rPr>
      </w:pPr>
      <w:r w:rsidRPr="00A73870">
        <w:rPr>
          <w:rFonts w:ascii="Times New Roman" w:hAnsi="Times New Roman"/>
          <w:sz w:val="24"/>
        </w:rPr>
        <w:t>Communication Barriers: Incarcerated people face severe structural barriers to constituent communication, including mail monitoring, limited phone access, and prohibitive costs (Thorpe 2015). These barriers are particularly significant given Mansbridge's (1999) emphasis on communication for effective marginalized group representation.</w:t>
      </w:r>
    </w:p>
    <w:p w14:paraId="259F21E7" w14:textId="77777777" w:rsidR="00A73870" w:rsidRPr="00A73870" w:rsidRDefault="00A73870" w:rsidP="00A73870">
      <w:pPr>
        <w:numPr>
          <w:ilvl w:val="0"/>
          <w:numId w:val="16"/>
        </w:numPr>
        <w:spacing w:line="360" w:lineRule="auto"/>
        <w:rPr>
          <w:rFonts w:ascii="Times New Roman" w:hAnsi="Times New Roman"/>
          <w:sz w:val="24"/>
        </w:rPr>
      </w:pPr>
      <w:r w:rsidRPr="00A73870">
        <w:rPr>
          <w:rFonts w:ascii="Times New Roman" w:hAnsi="Times New Roman"/>
          <w:sz w:val="24"/>
        </w:rPr>
        <w:t>Policy Priorities: While Black legislators more frequently sponsor criminal justice reform legislation (Owens 2020), less is known about how district incarceration rates and the presence of in-district carceral facilities influence legislative behavior.</w:t>
      </w:r>
    </w:p>
    <w:p w14:paraId="5483AA28" w14:textId="77777777" w:rsidR="0055731E" w:rsidRPr="00953873" w:rsidRDefault="0055731E" w:rsidP="0055731E">
      <w:pPr>
        <w:spacing w:line="360" w:lineRule="auto"/>
        <w:rPr>
          <w:rFonts w:ascii="Times New Roman" w:hAnsi="Times New Roman"/>
          <w:b/>
          <w:bCs/>
          <w:sz w:val="24"/>
        </w:rPr>
      </w:pPr>
    </w:p>
    <w:p w14:paraId="5A239772" w14:textId="22288406" w:rsidR="0055731E" w:rsidRPr="00953873" w:rsidRDefault="0055731E" w:rsidP="0055731E">
      <w:pPr>
        <w:spacing w:line="360" w:lineRule="auto"/>
        <w:rPr>
          <w:rFonts w:ascii="Times New Roman" w:hAnsi="Times New Roman"/>
          <w:sz w:val="24"/>
        </w:rPr>
      </w:pPr>
      <w:r w:rsidRPr="00953873">
        <w:rPr>
          <w:rFonts w:ascii="Times New Roman" w:hAnsi="Times New Roman"/>
          <w:sz w:val="24"/>
        </w:rPr>
        <w:t>r findings that.</w:t>
      </w:r>
    </w:p>
    <w:p w14:paraId="2275E53B" w14:textId="77777777" w:rsidR="0055731E" w:rsidRPr="00953873" w:rsidRDefault="0055731E" w:rsidP="0055731E">
      <w:pPr>
        <w:spacing w:line="360" w:lineRule="auto"/>
        <w:rPr>
          <w:rFonts w:ascii="Times New Roman" w:hAnsi="Times New Roman"/>
          <w:sz w:val="24"/>
        </w:rPr>
      </w:pPr>
    </w:p>
    <w:p w14:paraId="1FE7C2BB" w14:textId="77777777" w:rsidR="0055731E" w:rsidRPr="00953873" w:rsidRDefault="0055731E" w:rsidP="0055731E">
      <w:pPr>
        <w:spacing w:line="360" w:lineRule="auto"/>
        <w:rPr>
          <w:rFonts w:ascii="Times New Roman" w:hAnsi="Times New Roman"/>
          <w:sz w:val="24"/>
        </w:rPr>
      </w:pPr>
      <w:r w:rsidRPr="00953873">
        <w:rPr>
          <w:rFonts w:ascii="Times New Roman" w:hAnsi="Times New Roman"/>
          <w:sz w:val="24"/>
        </w:rPr>
        <w:t>The impact of descriptive representation extends beyond individual legislators to chamber-level effects. States with higher proportions of Black legislators tend to have [specific findings about incarceration policies, sentencing guidelines, or prison conditions]. However, these effects are often contingent on factors like party control and the overall proportion of minority legislators (Hawkesworth 2003).</w:t>
      </w:r>
    </w:p>
    <w:p w14:paraId="19263F8D" w14:textId="77777777" w:rsidR="0055731E" w:rsidRPr="00953873" w:rsidRDefault="0055731E" w:rsidP="0055731E">
      <w:pPr>
        <w:spacing w:line="360" w:lineRule="auto"/>
        <w:rPr>
          <w:rFonts w:ascii="Times New Roman" w:hAnsi="Times New Roman"/>
          <w:b/>
          <w:bCs/>
          <w:sz w:val="24"/>
        </w:rPr>
      </w:pPr>
    </w:p>
    <w:p w14:paraId="6B60BFDD" w14:textId="77777777" w:rsidR="0055731E" w:rsidRPr="00953873" w:rsidRDefault="0055731E" w:rsidP="0055731E">
      <w:pPr>
        <w:spacing w:line="360" w:lineRule="auto"/>
        <w:rPr>
          <w:rFonts w:ascii="Times New Roman" w:hAnsi="Times New Roman"/>
          <w:sz w:val="24"/>
        </w:rPr>
      </w:pPr>
      <w:r w:rsidRPr="00953873">
        <w:rPr>
          <w:rFonts w:ascii="Times New Roman" w:hAnsi="Times New Roman"/>
          <w:sz w:val="24"/>
        </w:rPr>
        <w:t>The mechanisms through which limited descriptive representation affects incarcerated people's interests are multifaceted. First, legislators without personal or community connections to incarceration often lack firsthand knowledge of prison conditions, reentry challenges, and collateral consequences of conviction. Research on legislative behavior suggests this knowledge gap matters: legislators with personal connections to incarceration, whether through family members, prior work experience, or constituency service, are more likely to prioritize prison reform and reentry support (NEED CITATION).</w:t>
      </w:r>
    </w:p>
    <w:p w14:paraId="79AD7199" w14:textId="77777777" w:rsidR="0055731E" w:rsidRPr="00953873" w:rsidRDefault="0055731E" w:rsidP="0055731E">
      <w:pPr>
        <w:spacing w:line="360" w:lineRule="auto"/>
        <w:rPr>
          <w:rFonts w:ascii="Times New Roman" w:hAnsi="Times New Roman"/>
          <w:sz w:val="24"/>
        </w:rPr>
      </w:pPr>
    </w:p>
    <w:p w14:paraId="0DEC0594" w14:textId="77777777" w:rsidR="0055731E" w:rsidRPr="00953873" w:rsidRDefault="0055731E" w:rsidP="0055731E">
      <w:pPr>
        <w:spacing w:line="360" w:lineRule="auto"/>
        <w:rPr>
          <w:rFonts w:ascii="Times New Roman" w:hAnsi="Times New Roman"/>
          <w:sz w:val="24"/>
        </w:rPr>
      </w:pPr>
      <w:r w:rsidRPr="00953873">
        <w:rPr>
          <w:rFonts w:ascii="Times New Roman" w:hAnsi="Times New Roman"/>
          <w:sz w:val="24"/>
        </w:rPr>
        <w:t>Second, incarcerated people face severe structural barriers to constituent communication. While all legislators receive constituent correspondence from prisons in their districts, research suggests these communications are filtered through institutional barriers including mail monitoring, limited phone access, and prohibitive costs (Thorpe 2015). These barriers are particularly consequential given Mansbridge's (1999) emphasis on communication as crucial for effective representation of marginalized groups.</w:t>
      </w:r>
    </w:p>
    <w:p w14:paraId="329EB025" w14:textId="77777777" w:rsidR="0055731E" w:rsidRPr="00953873" w:rsidRDefault="0055731E" w:rsidP="0055731E">
      <w:pPr>
        <w:spacing w:line="360" w:lineRule="auto"/>
        <w:rPr>
          <w:rFonts w:ascii="Times New Roman" w:hAnsi="Times New Roman"/>
          <w:sz w:val="24"/>
        </w:rPr>
      </w:pPr>
    </w:p>
    <w:p w14:paraId="0CD849D2" w14:textId="77777777" w:rsidR="0055731E" w:rsidRPr="00953873" w:rsidRDefault="0055731E" w:rsidP="0055731E">
      <w:pPr>
        <w:spacing w:line="360" w:lineRule="auto"/>
        <w:rPr>
          <w:rFonts w:ascii="Times New Roman" w:hAnsi="Times New Roman"/>
          <w:sz w:val="24"/>
        </w:rPr>
      </w:pPr>
      <w:r w:rsidRPr="00953873">
        <w:rPr>
          <w:rFonts w:ascii="Times New Roman" w:hAnsi="Times New Roman"/>
          <w:sz w:val="24"/>
        </w:rPr>
        <w:t>Third, legislators' policy priorities appear influenced by their relationships with incarcerated communities. While there is robust evidence that Black legislators are more likely to sponsor criminal justice reform legislation (Owens 2020), less is known about how district incarceration rates and the presence of in-district prisons and jails specifically influence legislative behavior. This represents an important gap in our understanding of representation for incarcerated populations</w:t>
      </w:r>
    </w:p>
    <w:p w14:paraId="6094B09D" w14:textId="77777777" w:rsidR="0055731E" w:rsidRPr="00953873" w:rsidRDefault="0055731E" w:rsidP="0055731E">
      <w:pPr>
        <w:spacing w:line="360" w:lineRule="auto"/>
        <w:rPr>
          <w:rFonts w:ascii="Times New Roman" w:hAnsi="Times New Roman"/>
          <w:sz w:val="24"/>
        </w:rPr>
      </w:pPr>
    </w:p>
    <w:p w14:paraId="43486122" w14:textId="77777777" w:rsidR="0055731E" w:rsidRPr="00953873" w:rsidRDefault="0055731E" w:rsidP="0055731E">
      <w:pPr>
        <w:spacing w:line="360" w:lineRule="auto"/>
        <w:rPr>
          <w:rFonts w:ascii="Times New Roman" w:hAnsi="Times New Roman"/>
          <w:sz w:val="24"/>
        </w:rPr>
      </w:pPr>
      <w:r w:rsidRPr="00953873">
        <w:rPr>
          <w:rFonts w:ascii="Times New Roman" w:hAnsi="Times New Roman"/>
          <w:sz w:val="24"/>
        </w:rPr>
        <w:t xml:space="preserve">Fourth, how legislators interpret constituent interests in criminal justice policy varies systematically with their backgrounds. [Any findings about how different legislators frame these </w:t>
      </w:r>
      <w:r w:rsidRPr="00953873">
        <w:rPr>
          <w:rFonts w:ascii="Times New Roman" w:hAnsi="Times New Roman"/>
          <w:sz w:val="24"/>
        </w:rPr>
        <w:lastRenderedPageBreak/>
        <w:t>issues - e.g., emphasis on public safety vs. rehabilitation, different approaches to constituent services for incarcerated people's families, etc.]</w:t>
      </w:r>
    </w:p>
    <w:p w14:paraId="4AC336FC" w14:textId="77777777" w:rsidR="0055731E" w:rsidRPr="00953873" w:rsidRDefault="0055731E" w:rsidP="0055731E">
      <w:pPr>
        <w:spacing w:line="360" w:lineRule="auto"/>
        <w:rPr>
          <w:rFonts w:ascii="Times New Roman" w:hAnsi="Times New Roman"/>
          <w:sz w:val="24"/>
        </w:rPr>
      </w:pPr>
    </w:p>
    <w:p w14:paraId="3E212F06" w14:textId="77777777" w:rsidR="0055731E" w:rsidRPr="00953873" w:rsidRDefault="0055731E" w:rsidP="0055731E">
      <w:pPr>
        <w:spacing w:line="360" w:lineRule="auto"/>
        <w:rPr>
          <w:rFonts w:ascii="Times New Roman" w:hAnsi="Times New Roman"/>
          <w:sz w:val="24"/>
        </w:rPr>
      </w:pPr>
      <w:r w:rsidRPr="00953873">
        <w:rPr>
          <w:rFonts w:ascii="Times New Roman" w:hAnsi="Times New Roman"/>
          <w:sz w:val="24"/>
        </w:rPr>
        <w:t>These mechanisms help explain why descriptive representation might matter particularly for incarcerated populations. Unlike many other policy areas where constituent interests are well-articulated through advocacy groups and regular communication, incarcerated people's interests often remain unvoiced or filtered through multiple institutional barriers. This makes the experiential knowledge and motivation that often accompanies descriptive representation especially crucial."</w:t>
      </w:r>
    </w:p>
    <w:p w14:paraId="4E7FE40C" w14:textId="77777777" w:rsidR="0023373B" w:rsidRDefault="0023373B" w:rsidP="00227CD0">
      <w:pPr>
        <w:rPr>
          <w:rFonts w:ascii="Times New Roman" w:hAnsi="Times New Roman"/>
          <w:b/>
          <w:bCs/>
          <w:sz w:val="24"/>
        </w:rPr>
      </w:pPr>
    </w:p>
    <w:p w14:paraId="6A96F339" w14:textId="77777777" w:rsidR="0055731E" w:rsidRPr="00290BEF" w:rsidRDefault="0055731E" w:rsidP="0055731E">
      <w:pPr>
        <w:widowControl w:val="0"/>
        <w:autoSpaceDE w:val="0"/>
        <w:autoSpaceDN w:val="0"/>
        <w:adjustRightInd w:val="0"/>
        <w:rPr>
          <w:rFonts w:asciiTheme="majorHAnsi" w:hAnsiTheme="majorHAnsi"/>
          <w:bCs/>
          <w:szCs w:val="22"/>
        </w:rPr>
      </w:pPr>
      <w:r w:rsidRPr="00BB4D6F">
        <w:rPr>
          <w:rFonts w:asciiTheme="majorHAnsi" w:hAnsiTheme="majorHAnsi"/>
          <w:b/>
          <w:szCs w:val="22"/>
        </w:rPr>
        <w:t>Elites Representation of Public Opinion</w:t>
      </w:r>
    </w:p>
    <w:p w14:paraId="3BFDCE63" w14:textId="77777777" w:rsidR="0055731E" w:rsidRPr="00290BEF" w:rsidRDefault="0055731E" w:rsidP="0055731E">
      <w:pPr>
        <w:pStyle w:val="ListParagraph"/>
        <w:widowControl w:val="0"/>
        <w:numPr>
          <w:ilvl w:val="0"/>
          <w:numId w:val="14"/>
        </w:numPr>
        <w:autoSpaceDE w:val="0"/>
        <w:autoSpaceDN w:val="0"/>
        <w:adjustRightInd w:val="0"/>
        <w:rPr>
          <w:rFonts w:asciiTheme="majorHAnsi" w:hAnsiTheme="majorHAnsi"/>
          <w:bCs/>
          <w:szCs w:val="22"/>
        </w:rPr>
      </w:pPr>
      <w:r w:rsidRPr="00290BEF">
        <w:rPr>
          <w:rFonts w:asciiTheme="majorHAnsi" w:hAnsiTheme="majorHAnsi"/>
          <w:bCs/>
          <w:szCs w:val="22"/>
        </w:rPr>
        <w:t xml:space="preserve">first approach tests a hypothesis about the relationship between citizens’ opinions and elites’ positions one issue at a time on each of many issues and then examines how well the hypothesis held across issues. </w:t>
      </w:r>
    </w:p>
    <w:p w14:paraId="12E38F66" w14:textId="77777777" w:rsidR="0055731E" w:rsidRPr="00290BEF" w:rsidRDefault="0055731E" w:rsidP="0055731E">
      <w:pPr>
        <w:pStyle w:val="ListParagraph"/>
        <w:widowControl w:val="0"/>
        <w:numPr>
          <w:ilvl w:val="1"/>
          <w:numId w:val="14"/>
        </w:numPr>
        <w:autoSpaceDE w:val="0"/>
        <w:autoSpaceDN w:val="0"/>
        <w:adjustRightInd w:val="0"/>
        <w:rPr>
          <w:rFonts w:asciiTheme="majorHAnsi" w:hAnsiTheme="majorHAnsi"/>
          <w:bCs/>
          <w:szCs w:val="22"/>
        </w:rPr>
      </w:pPr>
      <w:r w:rsidRPr="00290BEF">
        <w:rPr>
          <w:rFonts w:asciiTheme="majorHAnsi" w:hAnsiTheme="majorHAnsi"/>
          <w:bCs/>
          <w:szCs w:val="22"/>
        </w:rPr>
        <w:t>For example, Lax and Phillips (2012) examine how likely policies are to become law at various levels of public support.</w:t>
      </w:r>
    </w:p>
    <w:p w14:paraId="3F00F0F4" w14:textId="77777777" w:rsidR="0055731E" w:rsidRPr="00290BEF" w:rsidRDefault="0055731E" w:rsidP="0055731E">
      <w:pPr>
        <w:pStyle w:val="ListParagraph"/>
        <w:widowControl w:val="0"/>
        <w:numPr>
          <w:ilvl w:val="1"/>
          <w:numId w:val="14"/>
        </w:numPr>
        <w:autoSpaceDE w:val="0"/>
        <w:autoSpaceDN w:val="0"/>
        <w:adjustRightInd w:val="0"/>
        <w:rPr>
          <w:rFonts w:asciiTheme="majorHAnsi" w:hAnsiTheme="majorHAnsi"/>
          <w:bCs/>
          <w:szCs w:val="22"/>
        </w:rPr>
      </w:pPr>
      <w:r w:rsidRPr="00290BEF">
        <w:rPr>
          <w:rFonts w:asciiTheme="majorHAnsi" w:hAnsiTheme="majorHAnsi"/>
          <w:bCs/>
          <w:szCs w:val="22"/>
        </w:rPr>
        <w:t xml:space="preserve"> </w:t>
      </w:r>
      <w:proofErr w:type="spellStart"/>
      <w:r w:rsidRPr="00290BEF">
        <w:rPr>
          <w:rFonts w:asciiTheme="majorHAnsi" w:hAnsiTheme="majorHAnsi"/>
          <w:bCs/>
          <w:szCs w:val="22"/>
        </w:rPr>
        <w:t>Gilens</w:t>
      </w:r>
      <w:proofErr w:type="spellEnd"/>
      <w:r w:rsidRPr="00290BEF">
        <w:rPr>
          <w:rFonts w:asciiTheme="majorHAnsi" w:hAnsiTheme="majorHAnsi"/>
          <w:bCs/>
          <w:szCs w:val="22"/>
        </w:rPr>
        <w:t xml:space="preserve"> (2012) compares how likely policies are to become law depending on levels of public support among those of various incomes. </w:t>
      </w:r>
    </w:p>
    <w:p w14:paraId="2228A39F" w14:textId="77777777" w:rsidR="0055731E" w:rsidRPr="00290BEF" w:rsidRDefault="0055731E" w:rsidP="0055731E">
      <w:pPr>
        <w:pStyle w:val="ListParagraph"/>
        <w:widowControl w:val="0"/>
        <w:numPr>
          <w:ilvl w:val="1"/>
          <w:numId w:val="14"/>
        </w:numPr>
        <w:autoSpaceDE w:val="0"/>
        <w:autoSpaceDN w:val="0"/>
        <w:adjustRightInd w:val="0"/>
        <w:rPr>
          <w:rFonts w:asciiTheme="majorHAnsi" w:hAnsiTheme="majorHAnsi"/>
          <w:bCs/>
          <w:szCs w:val="22"/>
        </w:rPr>
      </w:pPr>
      <w:r w:rsidRPr="00290BEF">
        <w:rPr>
          <w:rFonts w:asciiTheme="majorHAnsi" w:hAnsiTheme="majorHAnsi"/>
          <w:bCs/>
          <w:szCs w:val="22"/>
        </w:rPr>
        <w:t>And Lenz (2012) examines whether citizens tend to adopt politicians’ views on a variety of issues</w:t>
      </w:r>
    </w:p>
    <w:p w14:paraId="0C19E295" w14:textId="77777777" w:rsidR="0055731E" w:rsidRPr="00290BEF" w:rsidRDefault="0055731E" w:rsidP="0055731E">
      <w:pPr>
        <w:pStyle w:val="ListParagraph"/>
        <w:widowControl w:val="0"/>
        <w:numPr>
          <w:ilvl w:val="0"/>
          <w:numId w:val="14"/>
        </w:numPr>
        <w:autoSpaceDE w:val="0"/>
        <w:autoSpaceDN w:val="0"/>
        <w:adjustRightInd w:val="0"/>
        <w:rPr>
          <w:rFonts w:asciiTheme="majorHAnsi" w:hAnsiTheme="majorHAnsi"/>
          <w:bCs/>
          <w:szCs w:val="22"/>
        </w:rPr>
      </w:pPr>
      <w:r w:rsidRPr="00290BEF">
        <w:rPr>
          <w:rFonts w:asciiTheme="majorHAnsi" w:hAnsiTheme="majorHAnsi"/>
          <w:bCs/>
          <w:szCs w:val="22"/>
        </w:rPr>
        <w:t>2</w:t>
      </w:r>
      <w:r w:rsidRPr="00290BEF">
        <w:rPr>
          <w:rFonts w:asciiTheme="majorHAnsi" w:hAnsiTheme="majorHAnsi"/>
          <w:bCs/>
          <w:szCs w:val="22"/>
          <w:vertAlign w:val="superscript"/>
        </w:rPr>
        <w:t>nd</w:t>
      </w:r>
      <w:r w:rsidRPr="00290BEF">
        <w:rPr>
          <w:rFonts w:asciiTheme="majorHAnsi" w:hAnsiTheme="majorHAnsi"/>
          <w:bCs/>
          <w:szCs w:val="22"/>
        </w:rPr>
        <w:t xml:space="preserve"> approach</w:t>
      </w:r>
    </w:p>
    <w:p w14:paraId="58161D1C" w14:textId="77777777" w:rsidR="0055731E" w:rsidRPr="00290BEF" w:rsidRDefault="0055731E" w:rsidP="0055731E">
      <w:pPr>
        <w:pStyle w:val="ListParagraph"/>
        <w:widowControl w:val="0"/>
        <w:numPr>
          <w:ilvl w:val="1"/>
          <w:numId w:val="14"/>
        </w:numPr>
        <w:autoSpaceDE w:val="0"/>
        <w:autoSpaceDN w:val="0"/>
        <w:adjustRightInd w:val="0"/>
        <w:rPr>
          <w:rFonts w:asciiTheme="majorHAnsi" w:hAnsiTheme="majorHAnsi"/>
          <w:bCs/>
          <w:szCs w:val="22"/>
        </w:rPr>
      </w:pPr>
      <w:r w:rsidRPr="00290BEF">
        <w:rPr>
          <w:rFonts w:asciiTheme="majorHAnsi" w:hAnsiTheme="majorHAnsi"/>
          <w:bCs/>
          <w:szCs w:val="22"/>
        </w:rPr>
        <w:t>Measures of individual citizens’ and politicians’ overall “ideologies” based on their positions on many policies and tests a hypothesis with these ideology scores</w:t>
      </w:r>
    </w:p>
    <w:p w14:paraId="636790BD" w14:textId="77777777" w:rsidR="0055731E" w:rsidRPr="00290BEF" w:rsidRDefault="0055731E" w:rsidP="0055731E">
      <w:pPr>
        <w:pStyle w:val="ListParagraph"/>
        <w:widowControl w:val="0"/>
        <w:numPr>
          <w:ilvl w:val="1"/>
          <w:numId w:val="14"/>
        </w:numPr>
        <w:autoSpaceDE w:val="0"/>
        <w:autoSpaceDN w:val="0"/>
        <w:adjustRightInd w:val="0"/>
        <w:rPr>
          <w:rFonts w:asciiTheme="majorHAnsi" w:hAnsiTheme="majorHAnsi"/>
          <w:bCs/>
          <w:szCs w:val="22"/>
        </w:rPr>
      </w:pPr>
      <w:r w:rsidRPr="00290BEF">
        <w:rPr>
          <w:rFonts w:asciiTheme="majorHAnsi" w:hAnsiTheme="majorHAnsi"/>
          <w:bCs/>
          <w:szCs w:val="22"/>
        </w:rPr>
        <w:t xml:space="preserve">Citizen’s and </w:t>
      </w:r>
      <w:proofErr w:type="spellStart"/>
      <w:r w:rsidRPr="00290BEF">
        <w:rPr>
          <w:rFonts w:asciiTheme="majorHAnsi" w:hAnsiTheme="majorHAnsi"/>
          <w:bCs/>
          <w:szCs w:val="22"/>
        </w:rPr>
        <w:t>elitres</w:t>
      </w:r>
      <w:proofErr w:type="spellEnd"/>
      <w:r w:rsidRPr="00290BEF">
        <w:rPr>
          <w:rFonts w:asciiTheme="majorHAnsi" w:hAnsiTheme="majorHAnsi"/>
          <w:bCs/>
          <w:szCs w:val="22"/>
        </w:rPr>
        <w:t>’ policy views summarized by a point on a liberal-conservative index, their locations on index then compared</w:t>
      </w:r>
    </w:p>
    <w:p w14:paraId="17288D23" w14:textId="77777777" w:rsidR="0055731E" w:rsidRPr="00290BEF" w:rsidRDefault="0055731E" w:rsidP="0055731E">
      <w:pPr>
        <w:pStyle w:val="ListParagraph"/>
        <w:widowControl w:val="0"/>
        <w:numPr>
          <w:ilvl w:val="1"/>
          <w:numId w:val="14"/>
        </w:numPr>
        <w:autoSpaceDE w:val="0"/>
        <w:autoSpaceDN w:val="0"/>
        <w:adjustRightInd w:val="0"/>
        <w:rPr>
          <w:rFonts w:asciiTheme="majorHAnsi" w:hAnsiTheme="majorHAnsi"/>
          <w:bCs/>
          <w:szCs w:val="22"/>
        </w:rPr>
      </w:pPr>
      <w:proofErr w:type="spellStart"/>
      <w:r w:rsidRPr="00290BEF">
        <w:rPr>
          <w:rFonts w:asciiTheme="majorHAnsi" w:hAnsiTheme="majorHAnsi"/>
          <w:bCs/>
          <w:szCs w:val="22"/>
        </w:rPr>
        <w:t>Bafumi</w:t>
      </w:r>
      <w:proofErr w:type="spellEnd"/>
      <w:r w:rsidRPr="00290BEF">
        <w:rPr>
          <w:rFonts w:asciiTheme="majorHAnsi" w:hAnsiTheme="majorHAnsi"/>
          <w:bCs/>
          <w:szCs w:val="22"/>
        </w:rPr>
        <w:t xml:space="preserve"> and Herron (2010) –</w:t>
      </w:r>
    </w:p>
    <w:p w14:paraId="09BB2F77" w14:textId="77777777" w:rsidR="0055731E" w:rsidRPr="00290BEF" w:rsidRDefault="0055731E" w:rsidP="0055731E">
      <w:pPr>
        <w:pStyle w:val="ListParagraph"/>
        <w:widowControl w:val="0"/>
        <w:numPr>
          <w:ilvl w:val="2"/>
          <w:numId w:val="14"/>
        </w:numPr>
        <w:autoSpaceDE w:val="0"/>
        <w:autoSpaceDN w:val="0"/>
        <w:adjustRightInd w:val="0"/>
        <w:rPr>
          <w:rFonts w:asciiTheme="majorHAnsi" w:hAnsiTheme="majorHAnsi"/>
          <w:bCs/>
          <w:szCs w:val="22"/>
        </w:rPr>
      </w:pPr>
      <w:r w:rsidRPr="00290BEF">
        <w:rPr>
          <w:rFonts w:asciiTheme="majorHAnsi" w:hAnsiTheme="majorHAnsi"/>
          <w:bCs/>
          <w:szCs w:val="22"/>
        </w:rPr>
        <w:t xml:space="preserve">estimate individual-level “ideal points” for both survey respondents and their Members of Congress. </w:t>
      </w:r>
      <w:proofErr w:type="spellStart"/>
      <w:r w:rsidRPr="00290BEF">
        <w:rPr>
          <w:rFonts w:asciiTheme="majorHAnsi" w:hAnsiTheme="majorHAnsi"/>
          <w:bCs/>
          <w:szCs w:val="22"/>
        </w:rPr>
        <w:t>Bafumi</w:t>
      </w:r>
      <w:proofErr w:type="spellEnd"/>
      <w:r w:rsidRPr="00290BEF">
        <w:rPr>
          <w:rFonts w:asciiTheme="majorHAnsi" w:hAnsiTheme="majorHAnsi"/>
          <w:bCs/>
          <w:szCs w:val="22"/>
        </w:rPr>
        <w:t xml:space="preserve"> and Herron (2010) use these estimates to assess correspondence between representatives’ policy decisions and their constituents’ policy preferences, finding that over 90% of voters are more moderate than legislators but that donors and primary voters are similarly extreme</w:t>
      </w:r>
    </w:p>
    <w:p w14:paraId="6D18A119" w14:textId="77777777" w:rsidR="0055731E" w:rsidRPr="00290BEF" w:rsidRDefault="0055731E" w:rsidP="0055731E">
      <w:pPr>
        <w:pStyle w:val="ListParagraph"/>
        <w:widowControl w:val="0"/>
        <w:numPr>
          <w:ilvl w:val="0"/>
          <w:numId w:val="14"/>
        </w:numPr>
        <w:autoSpaceDE w:val="0"/>
        <w:autoSpaceDN w:val="0"/>
        <w:adjustRightInd w:val="0"/>
        <w:rPr>
          <w:rFonts w:asciiTheme="majorHAnsi" w:hAnsiTheme="majorHAnsi"/>
          <w:bCs/>
          <w:szCs w:val="22"/>
        </w:rPr>
      </w:pPr>
      <w:proofErr w:type="spellStart"/>
      <w:r w:rsidRPr="00290BEF">
        <w:rPr>
          <w:rFonts w:asciiTheme="majorHAnsi" w:hAnsiTheme="majorHAnsi"/>
          <w:bCs/>
          <w:szCs w:val="22"/>
        </w:rPr>
        <w:t>Broockman</w:t>
      </w:r>
      <w:proofErr w:type="spellEnd"/>
      <w:r w:rsidRPr="00290BEF">
        <w:rPr>
          <w:rFonts w:asciiTheme="majorHAnsi" w:hAnsiTheme="majorHAnsi"/>
          <w:bCs/>
          <w:szCs w:val="22"/>
        </w:rPr>
        <w:t xml:space="preserve"> 2016 argues flaws with ideological scales approach to voter preferences </w:t>
      </w:r>
      <w:proofErr w:type="spellStart"/>
      <w:r w:rsidRPr="00290BEF">
        <w:rPr>
          <w:rFonts w:asciiTheme="majorHAnsi" w:hAnsiTheme="majorHAnsi"/>
          <w:bCs/>
          <w:szCs w:val="22"/>
        </w:rPr>
        <w:t>bc</w:t>
      </w:r>
      <w:proofErr w:type="spellEnd"/>
      <w:r w:rsidRPr="00290BEF">
        <w:rPr>
          <w:rFonts w:asciiTheme="majorHAnsi" w:hAnsiTheme="majorHAnsi"/>
          <w:bCs/>
          <w:szCs w:val="22"/>
        </w:rPr>
        <w:t xml:space="preserve"> scores are seeking consistency across policy domains while saying little/</w:t>
      </w:r>
      <w:proofErr w:type="spellStart"/>
      <w:r w:rsidRPr="00290BEF">
        <w:rPr>
          <w:rFonts w:asciiTheme="majorHAnsi" w:hAnsiTheme="majorHAnsi"/>
          <w:bCs/>
          <w:szCs w:val="22"/>
        </w:rPr>
        <w:t>noti</w:t>
      </w:r>
      <w:proofErr w:type="spellEnd"/>
    </w:p>
    <w:p w14:paraId="64E9371D" w14:textId="77777777" w:rsidR="0055731E" w:rsidRPr="00290BEF" w:rsidRDefault="0055731E" w:rsidP="0055731E">
      <w:pPr>
        <w:widowControl w:val="0"/>
        <w:autoSpaceDE w:val="0"/>
        <w:autoSpaceDN w:val="0"/>
        <w:adjustRightInd w:val="0"/>
        <w:rPr>
          <w:rFonts w:asciiTheme="majorHAnsi" w:hAnsiTheme="majorHAnsi"/>
          <w:bCs/>
          <w:szCs w:val="22"/>
        </w:rPr>
      </w:pPr>
    </w:p>
    <w:p w14:paraId="61F4371D" w14:textId="77777777" w:rsidR="0055731E" w:rsidRPr="00290BEF" w:rsidRDefault="0055731E" w:rsidP="0055731E">
      <w:pPr>
        <w:widowControl w:val="0"/>
        <w:autoSpaceDE w:val="0"/>
        <w:autoSpaceDN w:val="0"/>
        <w:adjustRightInd w:val="0"/>
        <w:rPr>
          <w:rFonts w:asciiTheme="majorHAnsi" w:hAnsiTheme="majorHAnsi"/>
          <w:bCs/>
          <w:szCs w:val="22"/>
        </w:rPr>
      </w:pPr>
      <w:r w:rsidRPr="00290BEF">
        <w:rPr>
          <w:rFonts w:asciiTheme="majorHAnsi" w:hAnsiTheme="majorHAnsi"/>
          <w:bCs/>
          <w:szCs w:val="22"/>
        </w:rPr>
        <w:t>Congruence between voters + their reps</w:t>
      </w:r>
    </w:p>
    <w:p w14:paraId="70F33CBB" w14:textId="77777777" w:rsidR="0055731E" w:rsidRPr="00290BEF" w:rsidRDefault="0055731E" w:rsidP="0055731E">
      <w:pPr>
        <w:pStyle w:val="ListParagraph"/>
        <w:widowControl w:val="0"/>
        <w:numPr>
          <w:ilvl w:val="0"/>
          <w:numId w:val="15"/>
        </w:numPr>
        <w:autoSpaceDE w:val="0"/>
        <w:autoSpaceDN w:val="0"/>
        <w:adjustRightInd w:val="0"/>
        <w:rPr>
          <w:rFonts w:asciiTheme="majorHAnsi" w:hAnsiTheme="majorHAnsi"/>
          <w:bCs/>
          <w:szCs w:val="22"/>
        </w:rPr>
      </w:pPr>
      <w:r w:rsidRPr="00290BEF">
        <w:rPr>
          <w:rFonts w:asciiTheme="majorHAnsi" w:hAnsiTheme="majorHAnsi"/>
          <w:bCs/>
          <w:szCs w:val="22"/>
        </w:rPr>
        <w:t xml:space="preserve">questions such as “how well [a politician] represents” his or her constituency on policy matters (e.g., </w:t>
      </w:r>
      <w:proofErr w:type="spellStart"/>
      <w:r w:rsidRPr="00290BEF">
        <w:rPr>
          <w:rFonts w:asciiTheme="majorHAnsi" w:hAnsiTheme="majorHAnsi"/>
          <w:bCs/>
          <w:szCs w:val="22"/>
        </w:rPr>
        <w:t>Bafumi</w:t>
      </w:r>
      <w:proofErr w:type="spellEnd"/>
      <w:r w:rsidRPr="00290BEF">
        <w:rPr>
          <w:rFonts w:asciiTheme="majorHAnsi" w:hAnsiTheme="majorHAnsi"/>
          <w:bCs/>
          <w:szCs w:val="22"/>
        </w:rPr>
        <w:t xml:space="preserve"> and Herron 2010) or which constituents a politician represents best (e.g., Griffin and Newman 2007; </w:t>
      </w:r>
      <w:proofErr w:type="spellStart"/>
      <w:r w:rsidRPr="00290BEF">
        <w:rPr>
          <w:rFonts w:asciiTheme="majorHAnsi" w:hAnsiTheme="majorHAnsi"/>
          <w:bCs/>
          <w:szCs w:val="22"/>
        </w:rPr>
        <w:t>Tausanovitch</w:t>
      </w:r>
      <w:proofErr w:type="spellEnd"/>
      <w:r w:rsidRPr="00290BEF">
        <w:rPr>
          <w:rFonts w:asciiTheme="majorHAnsi" w:hAnsiTheme="majorHAnsi"/>
          <w:bCs/>
          <w:szCs w:val="22"/>
        </w:rPr>
        <w:t xml:space="preserve"> 2014).</w:t>
      </w:r>
    </w:p>
    <w:p w14:paraId="3E6DD309" w14:textId="77777777" w:rsidR="0055731E" w:rsidRPr="00290BEF" w:rsidRDefault="0055731E" w:rsidP="0055731E">
      <w:pPr>
        <w:pStyle w:val="ListParagraph"/>
        <w:widowControl w:val="0"/>
        <w:numPr>
          <w:ilvl w:val="0"/>
          <w:numId w:val="15"/>
        </w:numPr>
        <w:autoSpaceDE w:val="0"/>
        <w:autoSpaceDN w:val="0"/>
        <w:adjustRightInd w:val="0"/>
        <w:rPr>
          <w:rFonts w:asciiTheme="majorHAnsi" w:hAnsiTheme="majorHAnsi"/>
          <w:bCs/>
          <w:szCs w:val="22"/>
        </w:rPr>
      </w:pPr>
      <w:proofErr w:type="spellStart"/>
      <w:r w:rsidRPr="00290BEF">
        <w:rPr>
          <w:rFonts w:asciiTheme="majorHAnsi" w:hAnsiTheme="majorHAnsi"/>
          <w:bCs/>
          <w:szCs w:val="22"/>
        </w:rPr>
        <w:t>Broockman</w:t>
      </w:r>
      <w:proofErr w:type="spellEnd"/>
      <w:r w:rsidRPr="00290BEF">
        <w:rPr>
          <w:rFonts w:asciiTheme="majorHAnsi" w:hAnsiTheme="majorHAnsi"/>
          <w:bCs/>
          <w:szCs w:val="22"/>
        </w:rPr>
        <w:t xml:space="preserve"> 2016 notes lots of problems for this literature if using the scales stuff</w:t>
      </w:r>
    </w:p>
    <w:p w14:paraId="1645D8EA" w14:textId="77777777" w:rsidR="0055731E" w:rsidRPr="00290BEF" w:rsidRDefault="0055731E" w:rsidP="0055731E">
      <w:pPr>
        <w:pStyle w:val="ListParagraph"/>
        <w:widowControl w:val="0"/>
        <w:numPr>
          <w:ilvl w:val="1"/>
          <w:numId w:val="15"/>
        </w:numPr>
        <w:autoSpaceDE w:val="0"/>
        <w:autoSpaceDN w:val="0"/>
        <w:adjustRightInd w:val="0"/>
        <w:rPr>
          <w:rFonts w:asciiTheme="majorHAnsi" w:hAnsiTheme="majorHAnsi"/>
          <w:bCs/>
          <w:szCs w:val="22"/>
        </w:rPr>
      </w:pPr>
      <w:r w:rsidRPr="00290BEF">
        <w:rPr>
          <w:rFonts w:asciiTheme="majorHAnsi" w:hAnsiTheme="majorHAnsi"/>
          <w:bCs/>
          <w:szCs w:val="22"/>
        </w:rPr>
        <w:t xml:space="preserve">Lots more issues in literature that tries to overcome ideological scales issues. </w:t>
      </w:r>
    </w:p>
    <w:p w14:paraId="109F37EB" w14:textId="77777777" w:rsidR="0055731E" w:rsidRPr="00290BEF" w:rsidRDefault="0055731E" w:rsidP="0055731E">
      <w:pPr>
        <w:pStyle w:val="ListParagraph"/>
        <w:widowControl w:val="0"/>
        <w:numPr>
          <w:ilvl w:val="1"/>
          <w:numId w:val="15"/>
        </w:numPr>
        <w:autoSpaceDE w:val="0"/>
        <w:autoSpaceDN w:val="0"/>
        <w:adjustRightInd w:val="0"/>
        <w:rPr>
          <w:rFonts w:asciiTheme="majorHAnsi" w:hAnsiTheme="majorHAnsi"/>
          <w:bCs/>
          <w:szCs w:val="22"/>
        </w:rPr>
      </w:pPr>
      <w:r w:rsidRPr="00290BEF">
        <w:rPr>
          <w:rFonts w:asciiTheme="majorHAnsi" w:hAnsiTheme="majorHAnsi"/>
          <w:bCs/>
          <w:szCs w:val="22"/>
        </w:rPr>
        <w:t xml:space="preserve">Capturing data on citizens’ views on the same issues that legislators have taken positions on and examining a hypothesis for each issue requires exceptional effort (e.g., </w:t>
      </w:r>
      <w:proofErr w:type="spellStart"/>
      <w:r w:rsidRPr="00290BEF">
        <w:rPr>
          <w:rFonts w:asciiTheme="majorHAnsi" w:hAnsiTheme="majorHAnsi"/>
          <w:bCs/>
          <w:szCs w:val="22"/>
        </w:rPr>
        <w:t>Gilens</w:t>
      </w:r>
      <w:proofErr w:type="spellEnd"/>
      <w:r w:rsidRPr="00290BEF">
        <w:rPr>
          <w:rFonts w:asciiTheme="majorHAnsi" w:hAnsiTheme="majorHAnsi"/>
          <w:bCs/>
          <w:szCs w:val="22"/>
        </w:rPr>
        <w:t xml:space="preserve"> 2012; Lax and Phillips 2012; Lloren and </w:t>
      </w:r>
      <w:proofErr w:type="spellStart"/>
      <w:r w:rsidRPr="00290BEF">
        <w:rPr>
          <w:rFonts w:asciiTheme="majorHAnsi" w:hAnsiTheme="majorHAnsi"/>
          <w:bCs/>
          <w:szCs w:val="22"/>
        </w:rPr>
        <w:t>Wu€est</w:t>
      </w:r>
      <w:proofErr w:type="spellEnd"/>
      <w:r w:rsidRPr="00290BEF">
        <w:rPr>
          <w:rFonts w:asciiTheme="majorHAnsi" w:hAnsiTheme="majorHAnsi"/>
          <w:bCs/>
          <w:szCs w:val="22"/>
        </w:rPr>
        <w:t xml:space="preserve"> 2014; Matsusaka 2015). Constructing a </w:t>
      </w:r>
      <w:r w:rsidRPr="00290BEF">
        <w:rPr>
          <w:rFonts w:asciiTheme="majorHAnsi" w:hAnsiTheme="majorHAnsi"/>
          <w:bCs/>
          <w:szCs w:val="22"/>
        </w:rPr>
        <w:lastRenderedPageBreak/>
        <w:t xml:space="preserve">“joint scale” that bridges politicians and voters may require only a few points of overlap (e.g., </w:t>
      </w:r>
      <w:proofErr w:type="spellStart"/>
      <w:r w:rsidRPr="00290BEF">
        <w:rPr>
          <w:rFonts w:asciiTheme="majorHAnsi" w:hAnsiTheme="majorHAnsi"/>
          <w:bCs/>
          <w:szCs w:val="22"/>
        </w:rPr>
        <w:t>Bafumi</w:t>
      </w:r>
      <w:proofErr w:type="spellEnd"/>
      <w:r w:rsidRPr="00290BEF">
        <w:rPr>
          <w:rFonts w:asciiTheme="majorHAnsi" w:hAnsiTheme="majorHAnsi"/>
          <w:bCs/>
          <w:szCs w:val="22"/>
        </w:rPr>
        <w:t xml:space="preserve"> and Herron 2010; Barber 2014; Jessee 2009; Shor 2013), or potentially none (Aldrich and McKelvey 1977; Hare et al. 2014; Ramey 2014).</w:t>
      </w:r>
    </w:p>
    <w:p w14:paraId="4730DA9C" w14:textId="77777777" w:rsidR="0055731E" w:rsidRPr="00702814" w:rsidRDefault="0055731E" w:rsidP="0055731E">
      <w:pPr>
        <w:rPr>
          <w:rFonts w:asciiTheme="majorHAnsi" w:hAnsiTheme="majorHAnsi"/>
          <w:bCs/>
          <w:szCs w:val="22"/>
        </w:rPr>
      </w:pPr>
    </w:p>
    <w:p w14:paraId="44401CA0" w14:textId="77777777" w:rsidR="0055731E" w:rsidRDefault="0055731E" w:rsidP="00227CD0">
      <w:pPr>
        <w:rPr>
          <w:rFonts w:ascii="Times New Roman" w:hAnsi="Times New Roman"/>
          <w:b/>
          <w:bCs/>
          <w:sz w:val="24"/>
        </w:rPr>
      </w:pPr>
    </w:p>
    <w:p w14:paraId="0A1700B0" w14:textId="77777777" w:rsidR="0055731E" w:rsidRDefault="0055731E" w:rsidP="00227CD0">
      <w:pPr>
        <w:rPr>
          <w:rFonts w:ascii="Times New Roman" w:hAnsi="Times New Roman"/>
          <w:b/>
          <w:bCs/>
          <w:sz w:val="24"/>
        </w:rPr>
      </w:pPr>
    </w:p>
    <w:p w14:paraId="767E06BF" w14:textId="77777777" w:rsidR="0055731E" w:rsidRPr="00290BEF" w:rsidRDefault="0055731E" w:rsidP="0055731E">
      <w:pPr>
        <w:widowControl w:val="0"/>
        <w:numPr>
          <w:ilvl w:val="0"/>
          <w:numId w:val="9"/>
        </w:numPr>
        <w:autoSpaceDE w:val="0"/>
        <w:autoSpaceDN w:val="0"/>
        <w:adjustRightInd w:val="0"/>
        <w:rPr>
          <w:rFonts w:asciiTheme="majorHAnsi" w:hAnsiTheme="majorHAnsi"/>
          <w:bCs/>
          <w:szCs w:val="22"/>
        </w:rPr>
      </w:pPr>
      <w:r w:rsidRPr="00290BEF">
        <w:rPr>
          <w:rFonts w:asciiTheme="majorHAnsi" w:hAnsiTheme="majorHAnsi"/>
          <w:bCs/>
          <w:szCs w:val="22"/>
        </w:rPr>
        <w:t xml:space="preserve">Grose, C. R. (2011). Congress in black and white: Race and representation in Washington and at home. Cambridge University Press. </w:t>
      </w:r>
    </w:p>
    <w:p w14:paraId="5BD5CABE" w14:textId="77777777" w:rsidR="0055731E" w:rsidRPr="00290BEF" w:rsidRDefault="0055731E" w:rsidP="0055731E">
      <w:pPr>
        <w:widowControl w:val="0"/>
        <w:numPr>
          <w:ilvl w:val="1"/>
          <w:numId w:val="9"/>
        </w:numPr>
        <w:autoSpaceDE w:val="0"/>
        <w:autoSpaceDN w:val="0"/>
        <w:adjustRightInd w:val="0"/>
        <w:rPr>
          <w:rFonts w:asciiTheme="majorHAnsi" w:hAnsiTheme="majorHAnsi"/>
          <w:bCs/>
          <w:szCs w:val="22"/>
        </w:rPr>
      </w:pPr>
      <w:r>
        <w:rPr>
          <w:rFonts w:asciiTheme="majorHAnsi" w:hAnsiTheme="majorHAnsi"/>
          <w:bCs/>
          <w:szCs w:val="22"/>
        </w:rPr>
        <w:t>Ho</w:t>
      </w:r>
      <w:r w:rsidRPr="00290BEF">
        <w:rPr>
          <w:rFonts w:asciiTheme="majorHAnsi" w:hAnsiTheme="majorHAnsi"/>
          <w:bCs/>
          <w:szCs w:val="22"/>
        </w:rPr>
        <w:t>w legislators represent and interact with different constituent groups</w:t>
      </w:r>
    </w:p>
    <w:p w14:paraId="33CFB085" w14:textId="77777777" w:rsidR="0055731E" w:rsidRPr="00290BEF" w:rsidRDefault="0055731E" w:rsidP="0055731E">
      <w:pPr>
        <w:widowControl w:val="0"/>
        <w:numPr>
          <w:ilvl w:val="0"/>
          <w:numId w:val="9"/>
        </w:numPr>
        <w:autoSpaceDE w:val="0"/>
        <w:autoSpaceDN w:val="0"/>
        <w:adjustRightInd w:val="0"/>
        <w:rPr>
          <w:rFonts w:asciiTheme="majorHAnsi" w:hAnsiTheme="majorHAnsi"/>
          <w:bCs/>
          <w:szCs w:val="22"/>
        </w:rPr>
      </w:pPr>
      <w:r w:rsidRPr="00290BEF">
        <w:rPr>
          <w:rFonts w:asciiTheme="majorHAnsi" w:hAnsiTheme="majorHAnsi"/>
          <w:bCs/>
          <w:szCs w:val="22"/>
        </w:rPr>
        <w:t xml:space="preserve">Butler, D. M., &amp; </w:t>
      </w:r>
      <w:proofErr w:type="spellStart"/>
      <w:r w:rsidRPr="00290BEF">
        <w:rPr>
          <w:rFonts w:asciiTheme="majorHAnsi" w:hAnsiTheme="majorHAnsi"/>
          <w:bCs/>
          <w:szCs w:val="22"/>
        </w:rPr>
        <w:t>Broockman</w:t>
      </w:r>
      <w:proofErr w:type="spellEnd"/>
      <w:r w:rsidRPr="00290BEF">
        <w:rPr>
          <w:rFonts w:asciiTheme="majorHAnsi" w:hAnsiTheme="majorHAnsi"/>
          <w:bCs/>
          <w:szCs w:val="22"/>
        </w:rPr>
        <w:t xml:space="preserve">, D. E. (2011). Do politicians racially discriminate against constituents? A field experiment on state legislators. American Journal of Political Science, 55(3), 463-477. </w:t>
      </w:r>
    </w:p>
    <w:p w14:paraId="41B39B75" w14:textId="77777777" w:rsidR="0055731E" w:rsidRPr="00290BEF" w:rsidRDefault="0055731E" w:rsidP="0055731E">
      <w:pPr>
        <w:widowControl w:val="0"/>
        <w:numPr>
          <w:ilvl w:val="1"/>
          <w:numId w:val="9"/>
        </w:numPr>
        <w:autoSpaceDE w:val="0"/>
        <w:autoSpaceDN w:val="0"/>
        <w:adjustRightInd w:val="0"/>
        <w:rPr>
          <w:rFonts w:asciiTheme="majorHAnsi" w:hAnsiTheme="majorHAnsi"/>
          <w:bCs/>
          <w:szCs w:val="22"/>
        </w:rPr>
      </w:pPr>
      <w:r>
        <w:rPr>
          <w:rFonts w:asciiTheme="majorHAnsi" w:hAnsiTheme="majorHAnsi"/>
          <w:bCs/>
          <w:szCs w:val="22"/>
        </w:rPr>
        <w:t>L</w:t>
      </w:r>
      <w:r w:rsidRPr="00290BEF">
        <w:rPr>
          <w:rFonts w:asciiTheme="majorHAnsi" w:hAnsiTheme="majorHAnsi"/>
          <w:bCs/>
          <w:szCs w:val="22"/>
        </w:rPr>
        <w:t>egislators respond to different constituent groups</w:t>
      </w:r>
      <w:r>
        <w:rPr>
          <w:rFonts w:asciiTheme="majorHAnsi" w:hAnsiTheme="majorHAnsi"/>
          <w:bCs/>
          <w:szCs w:val="22"/>
        </w:rPr>
        <w:t xml:space="preserve"> differently</w:t>
      </w:r>
    </w:p>
    <w:p w14:paraId="225FB9BD" w14:textId="77777777" w:rsidR="0055731E" w:rsidRPr="00290BEF" w:rsidRDefault="0055731E" w:rsidP="0055731E">
      <w:pPr>
        <w:widowControl w:val="0"/>
        <w:numPr>
          <w:ilvl w:val="0"/>
          <w:numId w:val="9"/>
        </w:numPr>
        <w:autoSpaceDE w:val="0"/>
        <w:autoSpaceDN w:val="0"/>
        <w:adjustRightInd w:val="0"/>
        <w:rPr>
          <w:rFonts w:asciiTheme="majorHAnsi" w:hAnsiTheme="majorHAnsi"/>
          <w:bCs/>
          <w:szCs w:val="22"/>
        </w:rPr>
      </w:pPr>
      <w:r w:rsidRPr="00290BEF">
        <w:rPr>
          <w:rFonts w:asciiTheme="majorHAnsi" w:hAnsiTheme="majorHAnsi"/>
          <w:bCs/>
          <w:szCs w:val="22"/>
        </w:rPr>
        <w:t xml:space="preserve">Costa, M. (2017). How responsive are political elites? A meta-analysis of experiments on public officials. Journal of Experimental Political Science, 4(3), 241-254. </w:t>
      </w:r>
    </w:p>
    <w:p w14:paraId="4D654028" w14:textId="77777777" w:rsidR="0055731E" w:rsidRPr="00290BEF" w:rsidRDefault="0055731E" w:rsidP="0055731E">
      <w:pPr>
        <w:widowControl w:val="0"/>
        <w:numPr>
          <w:ilvl w:val="1"/>
          <w:numId w:val="9"/>
        </w:numPr>
        <w:autoSpaceDE w:val="0"/>
        <w:autoSpaceDN w:val="0"/>
        <w:adjustRightInd w:val="0"/>
        <w:rPr>
          <w:rFonts w:asciiTheme="majorHAnsi" w:hAnsiTheme="majorHAnsi"/>
          <w:bCs/>
          <w:szCs w:val="22"/>
        </w:rPr>
      </w:pPr>
      <w:r>
        <w:rPr>
          <w:rFonts w:asciiTheme="majorHAnsi" w:hAnsiTheme="majorHAnsi"/>
          <w:bCs/>
          <w:szCs w:val="22"/>
        </w:rPr>
        <w:t>M</w:t>
      </w:r>
      <w:r w:rsidRPr="00290BEF">
        <w:rPr>
          <w:rFonts w:asciiTheme="majorHAnsi" w:hAnsiTheme="majorHAnsi"/>
          <w:bCs/>
          <w:szCs w:val="22"/>
        </w:rPr>
        <w:t>eta-analysis explores how responsive political elites are to constituents</w:t>
      </w:r>
    </w:p>
    <w:p w14:paraId="405B16B9" w14:textId="77777777" w:rsidR="0055731E" w:rsidRPr="00290BEF" w:rsidRDefault="0055731E" w:rsidP="0055731E">
      <w:pPr>
        <w:widowControl w:val="0"/>
        <w:autoSpaceDE w:val="0"/>
        <w:autoSpaceDN w:val="0"/>
        <w:adjustRightInd w:val="0"/>
        <w:rPr>
          <w:rFonts w:asciiTheme="majorHAnsi" w:hAnsiTheme="majorHAnsi"/>
          <w:b/>
          <w:bCs/>
          <w:szCs w:val="22"/>
        </w:rPr>
      </w:pPr>
      <w:r w:rsidRPr="00290BEF">
        <w:rPr>
          <w:rFonts w:asciiTheme="majorHAnsi" w:hAnsiTheme="majorHAnsi"/>
          <w:b/>
          <w:bCs/>
          <w:szCs w:val="22"/>
        </w:rPr>
        <w:t>4. Policy-Making and Criminal Justice</w:t>
      </w:r>
    </w:p>
    <w:p w14:paraId="01838908" w14:textId="77777777" w:rsidR="0055731E" w:rsidRPr="00290BEF" w:rsidRDefault="0055731E" w:rsidP="0055731E">
      <w:pPr>
        <w:widowControl w:val="0"/>
        <w:numPr>
          <w:ilvl w:val="0"/>
          <w:numId w:val="10"/>
        </w:numPr>
        <w:autoSpaceDE w:val="0"/>
        <w:autoSpaceDN w:val="0"/>
        <w:adjustRightInd w:val="0"/>
        <w:rPr>
          <w:rFonts w:asciiTheme="majorHAnsi" w:hAnsiTheme="majorHAnsi"/>
          <w:bCs/>
          <w:szCs w:val="22"/>
        </w:rPr>
      </w:pPr>
      <w:r w:rsidRPr="00290BEF">
        <w:rPr>
          <w:rFonts w:asciiTheme="majorHAnsi" w:hAnsiTheme="majorHAnsi"/>
          <w:bCs/>
          <w:szCs w:val="22"/>
        </w:rPr>
        <w:t xml:space="preserve">Enns, P. K. (2016). Incarceration nation: How the United States became the most punitive democracy in the world. Cambridge University Press. </w:t>
      </w:r>
    </w:p>
    <w:p w14:paraId="2E2CB8DF" w14:textId="77777777" w:rsidR="0055731E" w:rsidRPr="00290BEF" w:rsidRDefault="0055731E" w:rsidP="0055731E">
      <w:pPr>
        <w:widowControl w:val="0"/>
        <w:numPr>
          <w:ilvl w:val="1"/>
          <w:numId w:val="10"/>
        </w:numPr>
        <w:autoSpaceDE w:val="0"/>
        <w:autoSpaceDN w:val="0"/>
        <w:adjustRightInd w:val="0"/>
        <w:rPr>
          <w:rFonts w:asciiTheme="majorHAnsi" w:hAnsiTheme="majorHAnsi"/>
          <w:bCs/>
          <w:szCs w:val="22"/>
        </w:rPr>
      </w:pPr>
      <w:r>
        <w:rPr>
          <w:rFonts w:asciiTheme="majorHAnsi" w:hAnsiTheme="majorHAnsi"/>
          <w:bCs/>
          <w:szCs w:val="22"/>
        </w:rPr>
        <w:t>P</w:t>
      </w:r>
      <w:r w:rsidRPr="00290BEF">
        <w:rPr>
          <w:rFonts w:asciiTheme="majorHAnsi" w:hAnsiTheme="majorHAnsi"/>
          <w:bCs/>
          <w:szCs w:val="22"/>
        </w:rPr>
        <w:t>olitical forces behind mass incarceration</w:t>
      </w:r>
      <w:r>
        <w:rPr>
          <w:rFonts w:asciiTheme="majorHAnsi" w:hAnsiTheme="majorHAnsi"/>
          <w:bCs/>
          <w:szCs w:val="22"/>
        </w:rPr>
        <w:t xml:space="preserve"> (punitiveness)</w:t>
      </w:r>
    </w:p>
    <w:p w14:paraId="04BD0900" w14:textId="77777777" w:rsidR="0055731E" w:rsidRPr="00290BEF" w:rsidRDefault="0055731E" w:rsidP="0055731E">
      <w:pPr>
        <w:widowControl w:val="0"/>
        <w:numPr>
          <w:ilvl w:val="0"/>
          <w:numId w:val="10"/>
        </w:numPr>
        <w:autoSpaceDE w:val="0"/>
        <w:autoSpaceDN w:val="0"/>
        <w:adjustRightInd w:val="0"/>
        <w:rPr>
          <w:rFonts w:asciiTheme="majorHAnsi" w:hAnsiTheme="majorHAnsi"/>
          <w:bCs/>
          <w:szCs w:val="22"/>
        </w:rPr>
      </w:pPr>
      <w:r w:rsidRPr="00290BEF">
        <w:rPr>
          <w:rFonts w:asciiTheme="majorHAnsi" w:hAnsiTheme="majorHAnsi"/>
          <w:bCs/>
          <w:szCs w:val="22"/>
        </w:rPr>
        <w:t xml:space="preserve">Miller, L. L. (2016). The myth of mob rule: Violent crime and democratic politics. Oxford University Press. </w:t>
      </w:r>
    </w:p>
    <w:p w14:paraId="630EF6A3" w14:textId="77777777" w:rsidR="0055731E" w:rsidRPr="00290BEF" w:rsidRDefault="0055731E" w:rsidP="0055731E">
      <w:pPr>
        <w:widowControl w:val="0"/>
        <w:numPr>
          <w:ilvl w:val="1"/>
          <w:numId w:val="10"/>
        </w:numPr>
        <w:autoSpaceDE w:val="0"/>
        <w:autoSpaceDN w:val="0"/>
        <w:adjustRightInd w:val="0"/>
        <w:rPr>
          <w:rFonts w:asciiTheme="majorHAnsi" w:hAnsiTheme="majorHAnsi"/>
          <w:bCs/>
          <w:szCs w:val="22"/>
        </w:rPr>
      </w:pPr>
      <w:proofErr w:type="gramStart"/>
      <w:r>
        <w:rPr>
          <w:rFonts w:asciiTheme="majorHAnsi" w:hAnsiTheme="majorHAnsi"/>
          <w:bCs/>
          <w:szCs w:val="22"/>
        </w:rPr>
        <w:t>Ho</w:t>
      </w:r>
      <w:r w:rsidRPr="00290BEF">
        <w:rPr>
          <w:rFonts w:asciiTheme="majorHAnsi" w:hAnsiTheme="majorHAnsi"/>
          <w:bCs/>
          <w:szCs w:val="22"/>
        </w:rPr>
        <w:t>w</w:t>
      </w:r>
      <w:proofErr w:type="gramEnd"/>
      <w:r w:rsidRPr="00290BEF">
        <w:rPr>
          <w:rFonts w:asciiTheme="majorHAnsi" w:hAnsiTheme="majorHAnsi"/>
          <w:bCs/>
          <w:szCs w:val="22"/>
        </w:rPr>
        <w:t xml:space="preserve"> public opinion and political processes shape criminal justice policy</w:t>
      </w:r>
    </w:p>
    <w:p w14:paraId="5018C529" w14:textId="77777777" w:rsidR="0055731E" w:rsidRPr="00290BEF" w:rsidRDefault="0055731E" w:rsidP="0055731E">
      <w:pPr>
        <w:widowControl w:val="0"/>
        <w:numPr>
          <w:ilvl w:val="0"/>
          <w:numId w:val="10"/>
        </w:numPr>
        <w:autoSpaceDE w:val="0"/>
        <w:autoSpaceDN w:val="0"/>
        <w:adjustRightInd w:val="0"/>
        <w:rPr>
          <w:rFonts w:asciiTheme="majorHAnsi" w:hAnsiTheme="majorHAnsi"/>
          <w:bCs/>
          <w:szCs w:val="22"/>
        </w:rPr>
      </w:pPr>
      <w:r w:rsidRPr="00290BEF">
        <w:rPr>
          <w:rFonts w:asciiTheme="majorHAnsi" w:hAnsiTheme="majorHAnsi"/>
          <w:bCs/>
          <w:szCs w:val="22"/>
        </w:rPr>
        <w:t xml:space="preserve">Gottschalk, M. (2006). The prison and the gallows: The politics of mass incarceration in America. Cambridge University Press. </w:t>
      </w:r>
    </w:p>
    <w:p w14:paraId="61509461" w14:textId="77777777" w:rsidR="0055731E" w:rsidRPr="00290BEF" w:rsidRDefault="0055731E" w:rsidP="0055731E">
      <w:pPr>
        <w:widowControl w:val="0"/>
        <w:numPr>
          <w:ilvl w:val="1"/>
          <w:numId w:val="10"/>
        </w:numPr>
        <w:autoSpaceDE w:val="0"/>
        <w:autoSpaceDN w:val="0"/>
        <w:adjustRightInd w:val="0"/>
        <w:rPr>
          <w:rFonts w:asciiTheme="majorHAnsi" w:hAnsiTheme="majorHAnsi"/>
          <w:bCs/>
          <w:szCs w:val="22"/>
        </w:rPr>
      </w:pPr>
      <w:r>
        <w:rPr>
          <w:rFonts w:asciiTheme="majorHAnsi" w:hAnsiTheme="majorHAnsi"/>
          <w:bCs/>
          <w:szCs w:val="22"/>
        </w:rPr>
        <w:t>T</w:t>
      </w:r>
      <w:r w:rsidRPr="00290BEF">
        <w:rPr>
          <w:rFonts w:asciiTheme="majorHAnsi" w:hAnsiTheme="majorHAnsi"/>
          <w:bCs/>
          <w:szCs w:val="22"/>
        </w:rPr>
        <w:t>he political development of mass incarceratio</w:t>
      </w:r>
      <w:r>
        <w:rPr>
          <w:rFonts w:asciiTheme="majorHAnsi" w:hAnsiTheme="majorHAnsi"/>
          <w:bCs/>
          <w:szCs w:val="22"/>
        </w:rPr>
        <w:t>n</w:t>
      </w:r>
    </w:p>
    <w:p w14:paraId="6B5928F3" w14:textId="77777777" w:rsidR="0055731E" w:rsidRPr="00290BEF" w:rsidRDefault="0055731E" w:rsidP="0055731E">
      <w:pPr>
        <w:widowControl w:val="0"/>
        <w:autoSpaceDE w:val="0"/>
        <w:autoSpaceDN w:val="0"/>
        <w:adjustRightInd w:val="0"/>
        <w:rPr>
          <w:rFonts w:asciiTheme="majorHAnsi" w:hAnsiTheme="majorHAnsi"/>
          <w:b/>
          <w:bCs/>
          <w:szCs w:val="22"/>
        </w:rPr>
      </w:pPr>
      <w:r w:rsidRPr="00290BEF">
        <w:rPr>
          <w:rFonts w:asciiTheme="majorHAnsi" w:hAnsiTheme="majorHAnsi"/>
          <w:b/>
          <w:bCs/>
          <w:szCs w:val="22"/>
        </w:rPr>
        <w:t>5. Methodological Approaches</w:t>
      </w:r>
    </w:p>
    <w:p w14:paraId="5684D8B4" w14:textId="77777777" w:rsidR="0055731E" w:rsidRPr="00290BEF" w:rsidRDefault="0055731E" w:rsidP="0055731E">
      <w:pPr>
        <w:widowControl w:val="0"/>
        <w:numPr>
          <w:ilvl w:val="0"/>
          <w:numId w:val="11"/>
        </w:numPr>
        <w:autoSpaceDE w:val="0"/>
        <w:autoSpaceDN w:val="0"/>
        <w:adjustRightInd w:val="0"/>
        <w:rPr>
          <w:rFonts w:asciiTheme="majorHAnsi" w:hAnsiTheme="majorHAnsi"/>
          <w:bCs/>
          <w:szCs w:val="22"/>
        </w:rPr>
      </w:pPr>
      <w:r w:rsidRPr="00290BEF">
        <w:rPr>
          <w:rFonts w:asciiTheme="majorHAnsi" w:hAnsiTheme="majorHAnsi"/>
          <w:bCs/>
          <w:szCs w:val="22"/>
        </w:rPr>
        <w:t xml:space="preserve">Grimmer, J., &amp; Stewart, B. M. (2013). Text as data: The promise and pitfalls of automatic content analysis methods for political texts. Political Analysis, 21(3), 267-297. </w:t>
      </w:r>
    </w:p>
    <w:p w14:paraId="417A56EB" w14:textId="77777777" w:rsidR="0055731E" w:rsidRPr="00290BEF" w:rsidRDefault="0055731E" w:rsidP="0055731E">
      <w:pPr>
        <w:widowControl w:val="0"/>
        <w:numPr>
          <w:ilvl w:val="1"/>
          <w:numId w:val="11"/>
        </w:numPr>
        <w:autoSpaceDE w:val="0"/>
        <w:autoSpaceDN w:val="0"/>
        <w:adjustRightInd w:val="0"/>
        <w:rPr>
          <w:rFonts w:asciiTheme="majorHAnsi" w:hAnsiTheme="majorHAnsi"/>
          <w:bCs/>
          <w:szCs w:val="22"/>
        </w:rPr>
      </w:pPr>
      <w:r>
        <w:rPr>
          <w:rFonts w:asciiTheme="majorHAnsi" w:hAnsiTheme="majorHAnsi"/>
          <w:bCs/>
          <w:szCs w:val="22"/>
        </w:rPr>
        <w:t>P</w:t>
      </w:r>
      <w:r w:rsidRPr="00290BEF">
        <w:rPr>
          <w:rFonts w:asciiTheme="majorHAnsi" w:hAnsiTheme="majorHAnsi"/>
          <w:bCs/>
          <w:szCs w:val="22"/>
        </w:rPr>
        <w:t>rovide methodological insights for analyzing legislative speeches or documents related to incarcerated voting rights.</w:t>
      </w:r>
    </w:p>
    <w:p w14:paraId="0D6553EF" w14:textId="77777777" w:rsidR="0055731E" w:rsidRPr="00290BEF" w:rsidRDefault="0055731E" w:rsidP="0055731E">
      <w:pPr>
        <w:widowControl w:val="0"/>
        <w:numPr>
          <w:ilvl w:val="0"/>
          <w:numId w:val="11"/>
        </w:numPr>
        <w:autoSpaceDE w:val="0"/>
        <w:autoSpaceDN w:val="0"/>
        <w:adjustRightInd w:val="0"/>
        <w:rPr>
          <w:rFonts w:asciiTheme="majorHAnsi" w:hAnsiTheme="majorHAnsi"/>
          <w:bCs/>
          <w:szCs w:val="22"/>
        </w:rPr>
      </w:pPr>
      <w:proofErr w:type="spellStart"/>
      <w:r w:rsidRPr="00290BEF">
        <w:rPr>
          <w:rFonts w:asciiTheme="majorHAnsi" w:hAnsiTheme="majorHAnsi"/>
          <w:bCs/>
          <w:szCs w:val="22"/>
        </w:rPr>
        <w:t>Broockman</w:t>
      </w:r>
      <w:proofErr w:type="spellEnd"/>
      <w:r w:rsidRPr="00290BEF">
        <w:rPr>
          <w:rFonts w:asciiTheme="majorHAnsi" w:hAnsiTheme="majorHAnsi"/>
          <w:bCs/>
          <w:szCs w:val="22"/>
        </w:rPr>
        <w:t xml:space="preserve">, D. E. (2016). Approaches to studying policy representation. Legislative Studies Quarterly, 41(1), 181-215. </w:t>
      </w:r>
    </w:p>
    <w:p w14:paraId="0351B425" w14:textId="77777777" w:rsidR="0055731E" w:rsidRPr="000F1F43" w:rsidRDefault="0055731E" w:rsidP="0055731E">
      <w:pPr>
        <w:widowControl w:val="0"/>
        <w:numPr>
          <w:ilvl w:val="1"/>
          <w:numId w:val="11"/>
        </w:numPr>
        <w:autoSpaceDE w:val="0"/>
        <w:autoSpaceDN w:val="0"/>
        <w:adjustRightInd w:val="0"/>
        <w:rPr>
          <w:rFonts w:asciiTheme="majorHAnsi" w:hAnsiTheme="majorHAnsi"/>
          <w:bCs/>
          <w:szCs w:val="22"/>
        </w:rPr>
      </w:pPr>
      <w:r>
        <w:rPr>
          <w:rFonts w:asciiTheme="majorHAnsi" w:hAnsiTheme="majorHAnsi"/>
          <w:bCs/>
          <w:szCs w:val="22"/>
        </w:rPr>
        <w:t>V</w:t>
      </w:r>
      <w:r w:rsidRPr="00290BEF">
        <w:rPr>
          <w:rFonts w:asciiTheme="majorHAnsi" w:hAnsiTheme="majorHAnsi"/>
          <w:bCs/>
          <w:szCs w:val="22"/>
        </w:rPr>
        <w:t>arious methods for studying how legislators represent their constituents</w:t>
      </w:r>
    </w:p>
    <w:p w14:paraId="7078AB62" w14:textId="77777777" w:rsidR="0055731E" w:rsidRPr="00290BEF" w:rsidRDefault="0055731E" w:rsidP="0055731E">
      <w:pPr>
        <w:pStyle w:val="ListParagraph"/>
        <w:widowControl w:val="0"/>
        <w:numPr>
          <w:ilvl w:val="0"/>
          <w:numId w:val="12"/>
        </w:numPr>
        <w:autoSpaceDE w:val="0"/>
        <w:autoSpaceDN w:val="0"/>
        <w:adjustRightInd w:val="0"/>
        <w:rPr>
          <w:rFonts w:asciiTheme="majorHAnsi" w:hAnsiTheme="majorHAnsi"/>
          <w:bCs/>
          <w:szCs w:val="22"/>
        </w:rPr>
      </w:pPr>
      <w:r w:rsidRPr="00290BEF">
        <w:rPr>
          <w:rFonts w:asciiTheme="majorHAnsi" w:hAnsiTheme="majorHAnsi"/>
          <w:bCs/>
          <w:szCs w:val="22"/>
        </w:rPr>
        <w:t>Field experiments with state legislators (Mendez &amp; Grose)</w:t>
      </w:r>
    </w:p>
    <w:p w14:paraId="6053B46E" w14:textId="77777777" w:rsidR="0055731E" w:rsidRPr="00290BEF" w:rsidRDefault="0055731E" w:rsidP="0055731E">
      <w:pPr>
        <w:pStyle w:val="ListParagraph"/>
        <w:widowControl w:val="0"/>
        <w:numPr>
          <w:ilvl w:val="0"/>
          <w:numId w:val="12"/>
        </w:numPr>
        <w:autoSpaceDE w:val="0"/>
        <w:autoSpaceDN w:val="0"/>
        <w:adjustRightInd w:val="0"/>
        <w:rPr>
          <w:rFonts w:asciiTheme="majorHAnsi" w:hAnsiTheme="majorHAnsi"/>
          <w:bCs/>
          <w:szCs w:val="22"/>
        </w:rPr>
      </w:pPr>
      <w:r w:rsidRPr="00290BEF">
        <w:rPr>
          <w:rFonts w:asciiTheme="majorHAnsi" w:hAnsiTheme="majorHAnsi"/>
          <w:bCs/>
          <w:szCs w:val="22"/>
        </w:rPr>
        <w:t>“</w:t>
      </w:r>
      <w:proofErr w:type="gramStart"/>
      <w:r w:rsidRPr="00290BEF">
        <w:rPr>
          <w:rFonts w:asciiTheme="majorHAnsi" w:hAnsiTheme="majorHAnsi"/>
          <w:bCs/>
          <w:szCs w:val="22"/>
        </w:rPr>
        <w:t>field</w:t>
      </w:r>
      <w:proofErr w:type="gramEnd"/>
      <w:r w:rsidRPr="00290BEF">
        <w:rPr>
          <w:rFonts w:asciiTheme="majorHAnsi" w:hAnsiTheme="majorHAnsi"/>
          <w:bCs/>
          <w:szCs w:val="22"/>
        </w:rPr>
        <w:t xml:space="preserve"> experiments…in work examining questions of representation (e.g., Bergan 2009; Butler 2014; Butler and </w:t>
      </w:r>
      <w:proofErr w:type="spellStart"/>
      <w:r w:rsidRPr="00290BEF">
        <w:rPr>
          <w:rFonts w:asciiTheme="majorHAnsi" w:hAnsiTheme="majorHAnsi"/>
          <w:bCs/>
          <w:szCs w:val="22"/>
        </w:rPr>
        <w:t>Broockman</w:t>
      </w:r>
      <w:proofErr w:type="spellEnd"/>
      <w:r w:rsidRPr="00290BEF">
        <w:rPr>
          <w:rFonts w:asciiTheme="majorHAnsi" w:hAnsiTheme="majorHAnsi"/>
          <w:bCs/>
          <w:szCs w:val="22"/>
        </w:rPr>
        <w:t xml:space="preserve"> 2011; Butler and </w:t>
      </w:r>
      <w:proofErr w:type="spellStart"/>
      <w:r w:rsidRPr="00290BEF">
        <w:rPr>
          <w:rFonts w:asciiTheme="majorHAnsi" w:hAnsiTheme="majorHAnsi"/>
          <w:bCs/>
          <w:szCs w:val="22"/>
        </w:rPr>
        <w:t>Kousser</w:t>
      </w:r>
      <w:proofErr w:type="spellEnd"/>
      <w:r w:rsidRPr="00290BEF">
        <w:rPr>
          <w:rFonts w:asciiTheme="majorHAnsi" w:hAnsiTheme="majorHAnsi"/>
          <w:bCs/>
          <w:szCs w:val="22"/>
        </w:rPr>
        <w:t xml:space="preserve"> 2015; Butler and Nickerson 2011; </w:t>
      </w:r>
      <w:proofErr w:type="spellStart"/>
      <w:r w:rsidRPr="00290BEF">
        <w:rPr>
          <w:rFonts w:asciiTheme="majorHAnsi" w:hAnsiTheme="majorHAnsi"/>
          <w:bCs/>
          <w:szCs w:val="22"/>
        </w:rPr>
        <w:t>Broockman</w:t>
      </w:r>
      <w:proofErr w:type="spellEnd"/>
      <w:r w:rsidRPr="00290BEF">
        <w:rPr>
          <w:rFonts w:asciiTheme="majorHAnsi" w:hAnsiTheme="majorHAnsi"/>
          <w:bCs/>
          <w:szCs w:val="22"/>
        </w:rPr>
        <w:t xml:space="preserve"> 2013; Grose, Malhotra, and Van Houweling 2015; Kalla and </w:t>
      </w:r>
      <w:proofErr w:type="spellStart"/>
      <w:r w:rsidRPr="00290BEF">
        <w:rPr>
          <w:rFonts w:asciiTheme="majorHAnsi" w:hAnsiTheme="majorHAnsi"/>
          <w:bCs/>
          <w:szCs w:val="22"/>
        </w:rPr>
        <w:t>Broockman</w:t>
      </w:r>
      <w:proofErr w:type="spellEnd"/>
      <w:r w:rsidRPr="00290BEF">
        <w:rPr>
          <w:rFonts w:asciiTheme="majorHAnsi" w:hAnsiTheme="majorHAnsi"/>
          <w:bCs/>
          <w:szCs w:val="22"/>
        </w:rPr>
        <w:t xml:space="preserve"> 2016; Mendez 2015; Preece and Stoddard 2015</w:t>
      </w:r>
    </w:p>
    <w:p w14:paraId="063DCB0A" w14:textId="77777777" w:rsidR="0055731E" w:rsidRPr="006317D7" w:rsidRDefault="0055731E" w:rsidP="0055731E">
      <w:pPr>
        <w:pStyle w:val="ListParagraph"/>
        <w:widowControl w:val="0"/>
        <w:numPr>
          <w:ilvl w:val="0"/>
          <w:numId w:val="12"/>
        </w:numPr>
        <w:autoSpaceDE w:val="0"/>
        <w:autoSpaceDN w:val="0"/>
        <w:adjustRightInd w:val="0"/>
        <w:rPr>
          <w:rFonts w:asciiTheme="majorHAnsi" w:hAnsiTheme="majorHAnsi"/>
          <w:bCs/>
          <w:szCs w:val="22"/>
        </w:rPr>
      </w:pPr>
      <w:r w:rsidRPr="00290BEF">
        <w:rPr>
          <w:rFonts w:asciiTheme="majorHAnsi" w:hAnsiTheme="majorHAnsi"/>
          <w:bCs/>
          <w:szCs w:val="22"/>
        </w:rPr>
        <w:t>Nyhan paper</w:t>
      </w:r>
    </w:p>
    <w:p w14:paraId="0BA2E167" w14:textId="77777777" w:rsidR="0055731E" w:rsidRPr="00290BEF" w:rsidRDefault="0055731E" w:rsidP="0055731E">
      <w:pPr>
        <w:widowControl w:val="0"/>
        <w:autoSpaceDE w:val="0"/>
        <w:autoSpaceDN w:val="0"/>
        <w:adjustRightInd w:val="0"/>
        <w:rPr>
          <w:rFonts w:asciiTheme="majorHAnsi" w:hAnsiTheme="majorHAnsi"/>
          <w:b/>
          <w:szCs w:val="22"/>
        </w:rPr>
      </w:pPr>
    </w:p>
    <w:p w14:paraId="02ADEAB0" w14:textId="77777777" w:rsidR="0055731E" w:rsidRPr="00290BEF" w:rsidRDefault="0055731E" w:rsidP="0055731E">
      <w:pPr>
        <w:widowControl w:val="0"/>
        <w:autoSpaceDE w:val="0"/>
        <w:autoSpaceDN w:val="0"/>
        <w:adjustRightInd w:val="0"/>
        <w:rPr>
          <w:rFonts w:asciiTheme="majorHAnsi" w:hAnsiTheme="majorHAnsi"/>
          <w:bCs/>
          <w:szCs w:val="22"/>
        </w:rPr>
      </w:pPr>
      <w:r w:rsidRPr="00290BEF">
        <w:rPr>
          <w:rFonts w:asciiTheme="majorHAnsi" w:hAnsiTheme="majorHAnsi"/>
          <w:bCs/>
          <w:szCs w:val="22"/>
        </w:rPr>
        <w:t>Clark 1994</w:t>
      </w:r>
    </w:p>
    <w:p w14:paraId="6511133D" w14:textId="77777777" w:rsidR="0055731E" w:rsidRPr="00290BEF" w:rsidRDefault="0055731E" w:rsidP="0055731E">
      <w:pPr>
        <w:widowControl w:val="0"/>
        <w:autoSpaceDE w:val="0"/>
        <w:autoSpaceDN w:val="0"/>
        <w:adjustRightInd w:val="0"/>
        <w:rPr>
          <w:rFonts w:asciiTheme="majorHAnsi" w:hAnsiTheme="majorHAnsi"/>
          <w:bCs/>
          <w:szCs w:val="22"/>
        </w:rPr>
      </w:pPr>
      <w:r w:rsidRPr="00290BEF">
        <w:rPr>
          <w:rFonts w:asciiTheme="majorHAnsi" w:hAnsiTheme="majorHAnsi"/>
          <w:bCs/>
          <w:szCs w:val="22"/>
        </w:rPr>
        <w:t>Gaddie and Bullock 1995</w:t>
      </w:r>
    </w:p>
    <w:p w14:paraId="5B1BF8EE" w14:textId="77777777" w:rsidR="0055731E" w:rsidRPr="00290BEF" w:rsidRDefault="0055731E" w:rsidP="0055731E">
      <w:pPr>
        <w:widowControl w:val="0"/>
        <w:autoSpaceDE w:val="0"/>
        <w:autoSpaceDN w:val="0"/>
        <w:adjustRightInd w:val="0"/>
        <w:rPr>
          <w:rFonts w:asciiTheme="majorHAnsi" w:hAnsiTheme="majorHAnsi"/>
          <w:bCs/>
          <w:szCs w:val="22"/>
        </w:rPr>
      </w:pPr>
      <w:r w:rsidRPr="00290BEF">
        <w:rPr>
          <w:rFonts w:asciiTheme="majorHAnsi" w:hAnsiTheme="majorHAnsi"/>
          <w:bCs/>
          <w:szCs w:val="22"/>
        </w:rPr>
        <w:t>Lawless and Fox 2005</w:t>
      </w:r>
    </w:p>
    <w:p w14:paraId="5B29B746" w14:textId="77777777" w:rsidR="0055731E" w:rsidRPr="00290BEF" w:rsidRDefault="0055731E" w:rsidP="0055731E">
      <w:pPr>
        <w:widowControl w:val="0"/>
        <w:autoSpaceDE w:val="0"/>
        <w:autoSpaceDN w:val="0"/>
        <w:adjustRightInd w:val="0"/>
        <w:rPr>
          <w:rFonts w:asciiTheme="majorHAnsi" w:hAnsiTheme="majorHAnsi"/>
          <w:bCs/>
          <w:szCs w:val="22"/>
        </w:rPr>
      </w:pPr>
    </w:p>
    <w:p w14:paraId="6A68D916" w14:textId="77777777" w:rsidR="0055731E" w:rsidRPr="00290BEF" w:rsidRDefault="0055731E" w:rsidP="0055731E">
      <w:pPr>
        <w:widowControl w:val="0"/>
        <w:autoSpaceDE w:val="0"/>
        <w:autoSpaceDN w:val="0"/>
        <w:adjustRightInd w:val="0"/>
        <w:rPr>
          <w:rFonts w:asciiTheme="majorHAnsi" w:hAnsiTheme="majorHAnsi"/>
          <w:bCs/>
          <w:szCs w:val="22"/>
        </w:rPr>
      </w:pPr>
    </w:p>
    <w:p w14:paraId="535D06F8" w14:textId="77777777" w:rsidR="0055731E" w:rsidRPr="00290BEF" w:rsidRDefault="0055731E" w:rsidP="0055731E">
      <w:pPr>
        <w:widowControl w:val="0"/>
        <w:autoSpaceDE w:val="0"/>
        <w:autoSpaceDN w:val="0"/>
        <w:adjustRightInd w:val="0"/>
        <w:rPr>
          <w:rFonts w:asciiTheme="majorHAnsi" w:hAnsiTheme="majorHAnsi"/>
          <w:b/>
          <w:bCs/>
          <w:szCs w:val="22"/>
        </w:rPr>
      </w:pPr>
      <w:r w:rsidRPr="00290BEF">
        <w:rPr>
          <w:rFonts w:asciiTheme="majorHAnsi" w:hAnsiTheme="majorHAnsi"/>
          <w:b/>
          <w:bCs/>
          <w:szCs w:val="22"/>
        </w:rPr>
        <w:t>6. Legislators' Interactions with Marginalized or Disenfranchised Groups</w:t>
      </w:r>
    </w:p>
    <w:p w14:paraId="32E13A1A" w14:textId="77777777" w:rsidR="0055731E" w:rsidRPr="00290BEF" w:rsidRDefault="0055731E" w:rsidP="0055731E">
      <w:pPr>
        <w:widowControl w:val="0"/>
        <w:numPr>
          <w:ilvl w:val="0"/>
          <w:numId w:val="8"/>
        </w:numPr>
        <w:autoSpaceDE w:val="0"/>
        <w:autoSpaceDN w:val="0"/>
        <w:adjustRightInd w:val="0"/>
        <w:rPr>
          <w:rFonts w:asciiTheme="majorHAnsi" w:hAnsiTheme="majorHAnsi"/>
          <w:bCs/>
          <w:szCs w:val="22"/>
        </w:rPr>
      </w:pPr>
      <w:r w:rsidRPr="00290BEF">
        <w:rPr>
          <w:rFonts w:asciiTheme="majorHAnsi" w:hAnsiTheme="majorHAnsi"/>
          <w:bCs/>
          <w:szCs w:val="22"/>
        </w:rPr>
        <w:t xml:space="preserve">Grose, C. R., Malhotra, N., &amp; Van Houweling, R. P. (2015). Explaining explanations: How legislators explain their policy positions and how citizens react. American Journal of Political Science, 59(3), </w:t>
      </w:r>
      <w:r w:rsidRPr="00290BEF">
        <w:rPr>
          <w:rFonts w:asciiTheme="majorHAnsi" w:hAnsiTheme="majorHAnsi"/>
          <w:bCs/>
          <w:szCs w:val="22"/>
        </w:rPr>
        <w:lastRenderedPageBreak/>
        <w:t xml:space="preserve">724-743. </w:t>
      </w:r>
    </w:p>
    <w:p w14:paraId="057EC167" w14:textId="77777777" w:rsidR="0055731E" w:rsidRPr="00290BEF" w:rsidRDefault="0055731E" w:rsidP="0055731E">
      <w:pPr>
        <w:widowControl w:val="0"/>
        <w:numPr>
          <w:ilvl w:val="1"/>
          <w:numId w:val="8"/>
        </w:numPr>
        <w:autoSpaceDE w:val="0"/>
        <w:autoSpaceDN w:val="0"/>
        <w:adjustRightInd w:val="0"/>
        <w:rPr>
          <w:rFonts w:asciiTheme="majorHAnsi" w:hAnsiTheme="majorHAnsi"/>
          <w:bCs/>
          <w:szCs w:val="22"/>
        </w:rPr>
      </w:pPr>
      <w:r>
        <w:rPr>
          <w:rFonts w:asciiTheme="majorHAnsi" w:hAnsiTheme="majorHAnsi"/>
          <w:bCs/>
          <w:szCs w:val="22"/>
        </w:rPr>
        <w:t>H</w:t>
      </w:r>
      <w:r w:rsidRPr="00290BEF">
        <w:rPr>
          <w:rFonts w:asciiTheme="majorHAnsi" w:hAnsiTheme="majorHAnsi"/>
          <w:bCs/>
          <w:szCs w:val="22"/>
        </w:rPr>
        <w:t>ow legislators explain their policy positions to constituents, including on issues affecting marginalized groups.</w:t>
      </w:r>
    </w:p>
    <w:p w14:paraId="6ACE4A9B" w14:textId="77777777" w:rsidR="0055731E" w:rsidRPr="00290BEF" w:rsidRDefault="0055731E" w:rsidP="0055731E">
      <w:pPr>
        <w:widowControl w:val="0"/>
        <w:numPr>
          <w:ilvl w:val="0"/>
          <w:numId w:val="8"/>
        </w:numPr>
        <w:autoSpaceDE w:val="0"/>
        <w:autoSpaceDN w:val="0"/>
        <w:adjustRightInd w:val="0"/>
        <w:rPr>
          <w:rFonts w:asciiTheme="majorHAnsi" w:hAnsiTheme="majorHAnsi"/>
          <w:bCs/>
          <w:szCs w:val="22"/>
        </w:rPr>
      </w:pPr>
      <w:r w:rsidRPr="00290BEF">
        <w:rPr>
          <w:rFonts w:asciiTheme="majorHAnsi" w:hAnsiTheme="majorHAnsi"/>
          <w:bCs/>
          <w:szCs w:val="22"/>
        </w:rPr>
        <w:t xml:space="preserve">Burden, B. C. (2007). Personal roots of representation. Princeton University Press. </w:t>
      </w:r>
    </w:p>
    <w:p w14:paraId="07111360" w14:textId="77777777" w:rsidR="0055731E" w:rsidRPr="00290BEF" w:rsidRDefault="0055731E" w:rsidP="0055731E">
      <w:pPr>
        <w:widowControl w:val="0"/>
        <w:numPr>
          <w:ilvl w:val="1"/>
          <w:numId w:val="8"/>
        </w:numPr>
        <w:autoSpaceDE w:val="0"/>
        <w:autoSpaceDN w:val="0"/>
        <w:adjustRightInd w:val="0"/>
        <w:rPr>
          <w:rFonts w:asciiTheme="majorHAnsi" w:hAnsiTheme="majorHAnsi"/>
          <w:bCs/>
          <w:szCs w:val="22"/>
        </w:rPr>
      </w:pPr>
      <w:r>
        <w:rPr>
          <w:rFonts w:asciiTheme="majorHAnsi" w:hAnsiTheme="majorHAnsi"/>
          <w:bCs/>
          <w:szCs w:val="22"/>
        </w:rPr>
        <w:t>H</w:t>
      </w:r>
      <w:r w:rsidRPr="00290BEF">
        <w:rPr>
          <w:rFonts w:asciiTheme="majorHAnsi" w:hAnsiTheme="majorHAnsi"/>
          <w:bCs/>
          <w:szCs w:val="22"/>
        </w:rPr>
        <w:t>ow legislators' personal backgrounds influence their representation of different constituent groups.</w:t>
      </w:r>
    </w:p>
    <w:p w14:paraId="3520EF1E" w14:textId="77777777" w:rsidR="0055731E" w:rsidRPr="00290BEF" w:rsidRDefault="0055731E" w:rsidP="0055731E">
      <w:pPr>
        <w:widowControl w:val="0"/>
        <w:numPr>
          <w:ilvl w:val="0"/>
          <w:numId w:val="8"/>
        </w:numPr>
        <w:autoSpaceDE w:val="0"/>
        <w:autoSpaceDN w:val="0"/>
        <w:adjustRightInd w:val="0"/>
        <w:rPr>
          <w:rFonts w:asciiTheme="majorHAnsi" w:hAnsiTheme="majorHAnsi"/>
          <w:bCs/>
          <w:szCs w:val="22"/>
        </w:rPr>
      </w:pPr>
      <w:r w:rsidRPr="00290BEF">
        <w:rPr>
          <w:rFonts w:asciiTheme="majorHAnsi" w:hAnsiTheme="majorHAnsi"/>
          <w:bCs/>
          <w:szCs w:val="22"/>
        </w:rPr>
        <w:t xml:space="preserve">Hajnal, Z. L., &amp; Trounstine, J. (2014). What underlies urban politics? Race, class, ideology, partisanship, and the urban vote. Urban Affairs Review, 50(1), 63-99. </w:t>
      </w:r>
    </w:p>
    <w:p w14:paraId="4B820FF0" w14:textId="77777777" w:rsidR="0055731E" w:rsidRPr="00290BEF" w:rsidRDefault="0055731E" w:rsidP="0055731E">
      <w:pPr>
        <w:widowControl w:val="0"/>
        <w:numPr>
          <w:ilvl w:val="1"/>
          <w:numId w:val="8"/>
        </w:numPr>
        <w:autoSpaceDE w:val="0"/>
        <w:autoSpaceDN w:val="0"/>
        <w:adjustRightInd w:val="0"/>
        <w:rPr>
          <w:rFonts w:asciiTheme="majorHAnsi" w:hAnsiTheme="majorHAnsi"/>
          <w:bCs/>
          <w:szCs w:val="22"/>
        </w:rPr>
      </w:pPr>
      <w:r>
        <w:rPr>
          <w:rFonts w:asciiTheme="majorHAnsi" w:hAnsiTheme="majorHAnsi"/>
          <w:bCs/>
          <w:szCs w:val="22"/>
        </w:rPr>
        <w:t>U</w:t>
      </w:r>
      <w:r w:rsidRPr="00290BEF">
        <w:rPr>
          <w:rFonts w:asciiTheme="majorHAnsi" w:hAnsiTheme="majorHAnsi"/>
          <w:bCs/>
          <w:szCs w:val="22"/>
        </w:rPr>
        <w:t>rban politics, t provides insights into how race and class affect political representation.</w:t>
      </w:r>
    </w:p>
    <w:p w14:paraId="57AA5350" w14:textId="77777777" w:rsidR="0055731E" w:rsidRPr="00290BEF" w:rsidRDefault="0055731E" w:rsidP="0055731E">
      <w:pPr>
        <w:widowControl w:val="0"/>
        <w:numPr>
          <w:ilvl w:val="0"/>
          <w:numId w:val="8"/>
        </w:numPr>
        <w:autoSpaceDE w:val="0"/>
        <w:autoSpaceDN w:val="0"/>
        <w:adjustRightInd w:val="0"/>
        <w:rPr>
          <w:rFonts w:asciiTheme="majorHAnsi" w:hAnsiTheme="majorHAnsi"/>
          <w:bCs/>
          <w:szCs w:val="22"/>
        </w:rPr>
      </w:pPr>
      <w:r w:rsidRPr="00290BEF">
        <w:rPr>
          <w:rFonts w:asciiTheme="majorHAnsi" w:hAnsiTheme="majorHAnsi"/>
          <w:bCs/>
          <w:szCs w:val="22"/>
        </w:rPr>
        <w:t xml:space="preserve">Mendez, M. S., &amp; Grose, C. R. (2018). Doubling down: Inequality in responsiveness and the policy preferences of elected officials. Legislative Studies Quarterly, 43(3), 457-491. </w:t>
      </w:r>
    </w:p>
    <w:p w14:paraId="3C4AF7D5" w14:textId="77777777" w:rsidR="0055731E" w:rsidRPr="00290BEF" w:rsidRDefault="0055731E" w:rsidP="0055731E">
      <w:pPr>
        <w:widowControl w:val="0"/>
        <w:numPr>
          <w:ilvl w:val="1"/>
          <w:numId w:val="8"/>
        </w:numPr>
        <w:autoSpaceDE w:val="0"/>
        <w:autoSpaceDN w:val="0"/>
        <w:adjustRightInd w:val="0"/>
        <w:rPr>
          <w:rFonts w:asciiTheme="majorHAnsi" w:hAnsiTheme="majorHAnsi"/>
          <w:bCs/>
          <w:szCs w:val="22"/>
        </w:rPr>
      </w:pPr>
      <w:r>
        <w:rPr>
          <w:rFonts w:asciiTheme="majorHAnsi" w:hAnsiTheme="majorHAnsi"/>
          <w:bCs/>
          <w:szCs w:val="22"/>
        </w:rPr>
        <w:t>E</w:t>
      </w:r>
      <w:r w:rsidRPr="00290BEF">
        <w:rPr>
          <w:rFonts w:asciiTheme="majorHAnsi" w:hAnsiTheme="majorHAnsi"/>
          <w:bCs/>
          <w:szCs w:val="22"/>
        </w:rPr>
        <w:t>xamines how legislators respond to constituents of different social classes, which may be relevant to their interactions with incarcerated individuals.</w:t>
      </w:r>
    </w:p>
    <w:p w14:paraId="23128311" w14:textId="77777777" w:rsidR="0055731E" w:rsidRPr="00290BEF" w:rsidRDefault="0055731E" w:rsidP="0055731E">
      <w:pPr>
        <w:widowControl w:val="0"/>
        <w:numPr>
          <w:ilvl w:val="0"/>
          <w:numId w:val="8"/>
        </w:numPr>
        <w:autoSpaceDE w:val="0"/>
        <w:autoSpaceDN w:val="0"/>
        <w:adjustRightInd w:val="0"/>
        <w:rPr>
          <w:rFonts w:asciiTheme="majorHAnsi" w:hAnsiTheme="majorHAnsi"/>
          <w:bCs/>
          <w:szCs w:val="22"/>
        </w:rPr>
      </w:pPr>
      <w:r w:rsidRPr="00290BEF">
        <w:rPr>
          <w:rFonts w:asciiTheme="majorHAnsi" w:hAnsiTheme="majorHAnsi"/>
          <w:bCs/>
          <w:szCs w:val="22"/>
        </w:rPr>
        <w:t xml:space="preserve">Einstein, K. L., &amp; Glick, D. M. (2017). Cities in American federalism: Evidence on state–local government conflict from a survey of mayors. Publius: The Journal of Federalism, 47(4), 599-621. </w:t>
      </w:r>
    </w:p>
    <w:p w14:paraId="183AF11B" w14:textId="77777777" w:rsidR="0055731E" w:rsidRPr="00290BEF" w:rsidRDefault="0055731E" w:rsidP="0055731E">
      <w:pPr>
        <w:widowControl w:val="0"/>
        <w:numPr>
          <w:ilvl w:val="1"/>
          <w:numId w:val="8"/>
        </w:numPr>
        <w:autoSpaceDE w:val="0"/>
        <w:autoSpaceDN w:val="0"/>
        <w:adjustRightInd w:val="0"/>
        <w:rPr>
          <w:rFonts w:asciiTheme="majorHAnsi" w:hAnsiTheme="majorHAnsi"/>
          <w:bCs/>
          <w:szCs w:val="22"/>
        </w:rPr>
      </w:pPr>
      <w:r>
        <w:rPr>
          <w:rFonts w:asciiTheme="majorHAnsi" w:hAnsiTheme="majorHAnsi"/>
          <w:bCs/>
          <w:szCs w:val="22"/>
        </w:rPr>
        <w:t>H</w:t>
      </w:r>
      <w:r w:rsidRPr="00290BEF">
        <w:rPr>
          <w:rFonts w:asciiTheme="majorHAnsi" w:hAnsiTheme="majorHAnsi"/>
          <w:bCs/>
          <w:szCs w:val="22"/>
        </w:rPr>
        <w:t>ow local officials view and interact with marginalized groups in their constituencies.</w:t>
      </w:r>
    </w:p>
    <w:p w14:paraId="26D4E1B9" w14:textId="77777777" w:rsidR="0055731E" w:rsidRPr="00290BEF" w:rsidRDefault="0055731E" w:rsidP="0055731E">
      <w:pPr>
        <w:widowControl w:val="0"/>
        <w:autoSpaceDE w:val="0"/>
        <w:autoSpaceDN w:val="0"/>
        <w:adjustRightInd w:val="0"/>
        <w:rPr>
          <w:rFonts w:asciiTheme="majorHAnsi" w:hAnsiTheme="majorHAnsi"/>
          <w:b/>
          <w:bCs/>
          <w:szCs w:val="22"/>
        </w:rPr>
      </w:pPr>
      <w:r w:rsidRPr="00290BEF">
        <w:rPr>
          <w:rFonts w:asciiTheme="majorHAnsi" w:hAnsiTheme="majorHAnsi"/>
          <w:b/>
          <w:bCs/>
          <w:szCs w:val="22"/>
        </w:rPr>
        <w:t>Surveys of State Legislators [on Issues other than Criminal Justice and Voting Rights Issues]</w:t>
      </w:r>
    </w:p>
    <w:p w14:paraId="4FE43E4A" w14:textId="77777777" w:rsidR="0055731E" w:rsidRPr="00290BEF" w:rsidRDefault="0055731E" w:rsidP="0055731E">
      <w:pPr>
        <w:widowControl w:val="0"/>
        <w:numPr>
          <w:ilvl w:val="0"/>
          <w:numId w:val="13"/>
        </w:numPr>
        <w:autoSpaceDE w:val="0"/>
        <w:autoSpaceDN w:val="0"/>
        <w:adjustRightInd w:val="0"/>
        <w:rPr>
          <w:rFonts w:asciiTheme="majorHAnsi" w:hAnsiTheme="majorHAnsi"/>
          <w:bCs/>
          <w:szCs w:val="22"/>
        </w:rPr>
      </w:pPr>
      <w:r w:rsidRPr="00290BEF">
        <w:rPr>
          <w:rFonts w:asciiTheme="majorHAnsi" w:hAnsiTheme="majorHAnsi"/>
          <w:bCs/>
          <w:szCs w:val="22"/>
        </w:rPr>
        <w:t xml:space="preserve">Karch, A., &amp; Rosenthal, A. (2016). Framing, Engagement, and Policy Change: Lessons for the ACA. Journal of Health Politics, Policy and Law, 41(2), 257-277. </w:t>
      </w:r>
    </w:p>
    <w:p w14:paraId="02366CAF" w14:textId="77777777" w:rsidR="0055731E" w:rsidRDefault="0055731E" w:rsidP="0055731E">
      <w:pPr>
        <w:widowControl w:val="0"/>
        <w:numPr>
          <w:ilvl w:val="1"/>
          <w:numId w:val="13"/>
        </w:numPr>
        <w:autoSpaceDE w:val="0"/>
        <w:autoSpaceDN w:val="0"/>
        <w:adjustRightInd w:val="0"/>
        <w:rPr>
          <w:rFonts w:asciiTheme="majorHAnsi" w:hAnsiTheme="majorHAnsi"/>
          <w:bCs/>
          <w:szCs w:val="22"/>
        </w:rPr>
      </w:pPr>
      <w:r>
        <w:rPr>
          <w:rFonts w:asciiTheme="majorHAnsi" w:hAnsiTheme="majorHAnsi"/>
          <w:bCs/>
          <w:szCs w:val="22"/>
        </w:rPr>
        <w:t>Argues that rhetorical strategies in which an advocate addresses the same policy dimensions as their opponents is a more promising approach to shifting attitudes towards the ACA</w:t>
      </w:r>
    </w:p>
    <w:p w14:paraId="7CF43A35" w14:textId="77777777" w:rsidR="0055731E" w:rsidRPr="00290BEF" w:rsidRDefault="0055731E" w:rsidP="0055731E">
      <w:pPr>
        <w:widowControl w:val="0"/>
        <w:numPr>
          <w:ilvl w:val="1"/>
          <w:numId w:val="13"/>
        </w:numPr>
        <w:autoSpaceDE w:val="0"/>
        <w:autoSpaceDN w:val="0"/>
        <w:adjustRightInd w:val="0"/>
        <w:rPr>
          <w:rFonts w:asciiTheme="majorHAnsi" w:hAnsiTheme="majorHAnsi"/>
          <w:bCs/>
          <w:szCs w:val="22"/>
        </w:rPr>
      </w:pPr>
      <w:r>
        <w:rPr>
          <w:rFonts w:asciiTheme="majorHAnsi" w:hAnsiTheme="majorHAnsi"/>
          <w:bCs/>
          <w:szCs w:val="22"/>
        </w:rPr>
        <w:t>Based on X surrounding a sales tax, Republicans respond to framing of it as mechanism for additional tax cuts</w:t>
      </w:r>
    </w:p>
    <w:p w14:paraId="4069EBC8" w14:textId="77777777" w:rsidR="0055731E" w:rsidRPr="00290BEF" w:rsidRDefault="0055731E" w:rsidP="0055731E">
      <w:pPr>
        <w:widowControl w:val="0"/>
        <w:numPr>
          <w:ilvl w:val="0"/>
          <w:numId w:val="13"/>
        </w:numPr>
        <w:autoSpaceDE w:val="0"/>
        <w:autoSpaceDN w:val="0"/>
        <w:adjustRightInd w:val="0"/>
        <w:rPr>
          <w:rFonts w:asciiTheme="majorHAnsi" w:hAnsiTheme="majorHAnsi"/>
          <w:bCs/>
          <w:szCs w:val="22"/>
        </w:rPr>
      </w:pPr>
      <w:r w:rsidRPr="00290BEF">
        <w:rPr>
          <w:rFonts w:asciiTheme="majorHAnsi" w:hAnsiTheme="majorHAnsi"/>
          <w:bCs/>
          <w:szCs w:val="22"/>
        </w:rPr>
        <w:t xml:space="preserve">Nowlin, M. C., &amp; Weiner, R. (2017). Radon and Lung Cancer: The Public Policy Challenge. Review of Policy Research, 34(6), 757-779. </w:t>
      </w:r>
    </w:p>
    <w:p w14:paraId="3A87310C" w14:textId="77777777" w:rsidR="0055731E" w:rsidRPr="00290BEF" w:rsidRDefault="0055731E" w:rsidP="0055731E">
      <w:pPr>
        <w:widowControl w:val="0"/>
        <w:numPr>
          <w:ilvl w:val="1"/>
          <w:numId w:val="13"/>
        </w:numPr>
        <w:autoSpaceDE w:val="0"/>
        <w:autoSpaceDN w:val="0"/>
        <w:adjustRightInd w:val="0"/>
        <w:rPr>
          <w:rFonts w:asciiTheme="majorHAnsi" w:hAnsiTheme="majorHAnsi"/>
          <w:bCs/>
          <w:szCs w:val="22"/>
        </w:rPr>
      </w:pPr>
      <w:r>
        <w:rPr>
          <w:rFonts w:asciiTheme="majorHAnsi" w:hAnsiTheme="majorHAnsi"/>
          <w:bCs/>
          <w:szCs w:val="22"/>
        </w:rPr>
        <w:t>S</w:t>
      </w:r>
      <w:r w:rsidRPr="00290BEF">
        <w:rPr>
          <w:rFonts w:asciiTheme="majorHAnsi" w:hAnsiTheme="majorHAnsi"/>
          <w:bCs/>
          <w:szCs w:val="22"/>
        </w:rPr>
        <w:t>urvey of state legislators on a public health issue</w:t>
      </w:r>
    </w:p>
    <w:p w14:paraId="6F716795" w14:textId="77777777" w:rsidR="0055731E" w:rsidRPr="00290BEF" w:rsidRDefault="0055731E" w:rsidP="0055731E">
      <w:pPr>
        <w:widowControl w:val="0"/>
        <w:numPr>
          <w:ilvl w:val="0"/>
          <w:numId w:val="13"/>
        </w:numPr>
        <w:autoSpaceDE w:val="0"/>
        <w:autoSpaceDN w:val="0"/>
        <w:adjustRightInd w:val="0"/>
        <w:rPr>
          <w:rFonts w:asciiTheme="majorHAnsi" w:hAnsiTheme="majorHAnsi"/>
          <w:bCs/>
          <w:szCs w:val="22"/>
        </w:rPr>
      </w:pPr>
      <w:r w:rsidRPr="00290BEF">
        <w:rPr>
          <w:rFonts w:asciiTheme="majorHAnsi" w:hAnsiTheme="majorHAnsi"/>
          <w:bCs/>
          <w:szCs w:val="22"/>
        </w:rPr>
        <w:t xml:space="preserve">Akirav, O. (2015). Re-election: Different Skills for Different Roles. Government and Opposition, 50(1), 90-118. </w:t>
      </w:r>
    </w:p>
    <w:p w14:paraId="6C9FB13E" w14:textId="77777777" w:rsidR="0055731E" w:rsidRPr="00290BEF" w:rsidRDefault="0055731E" w:rsidP="0055731E">
      <w:pPr>
        <w:widowControl w:val="0"/>
        <w:numPr>
          <w:ilvl w:val="1"/>
          <w:numId w:val="13"/>
        </w:numPr>
        <w:autoSpaceDE w:val="0"/>
        <w:autoSpaceDN w:val="0"/>
        <w:adjustRightInd w:val="0"/>
        <w:rPr>
          <w:rFonts w:asciiTheme="majorHAnsi" w:hAnsiTheme="majorHAnsi"/>
          <w:bCs/>
          <w:szCs w:val="22"/>
        </w:rPr>
      </w:pPr>
      <w:r>
        <w:rPr>
          <w:rFonts w:asciiTheme="majorHAnsi" w:hAnsiTheme="majorHAnsi"/>
          <w:bCs/>
          <w:szCs w:val="22"/>
        </w:rPr>
        <w:t>I</w:t>
      </w:r>
      <w:r w:rsidRPr="00290BEF">
        <w:rPr>
          <w:rFonts w:asciiTheme="majorHAnsi" w:hAnsiTheme="majorHAnsi"/>
          <w:bCs/>
          <w:szCs w:val="22"/>
        </w:rPr>
        <w:t>nternational study surveys legislators about their decision-making processes</w:t>
      </w:r>
    </w:p>
    <w:p w14:paraId="455F89F0" w14:textId="77777777" w:rsidR="0055731E" w:rsidRPr="00290BEF" w:rsidRDefault="0055731E" w:rsidP="0055731E">
      <w:pPr>
        <w:widowControl w:val="0"/>
        <w:numPr>
          <w:ilvl w:val="0"/>
          <w:numId w:val="13"/>
        </w:numPr>
        <w:autoSpaceDE w:val="0"/>
        <w:autoSpaceDN w:val="0"/>
        <w:adjustRightInd w:val="0"/>
        <w:rPr>
          <w:rFonts w:asciiTheme="majorHAnsi" w:hAnsiTheme="majorHAnsi"/>
          <w:bCs/>
          <w:szCs w:val="22"/>
        </w:rPr>
      </w:pPr>
      <w:proofErr w:type="spellStart"/>
      <w:r w:rsidRPr="00290BEF">
        <w:rPr>
          <w:rFonts w:asciiTheme="majorHAnsi" w:hAnsiTheme="majorHAnsi"/>
          <w:bCs/>
          <w:szCs w:val="22"/>
        </w:rPr>
        <w:t>Camobreco</w:t>
      </w:r>
      <w:proofErr w:type="spellEnd"/>
      <w:r w:rsidRPr="00290BEF">
        <w:rPr>
          <w:rFonts w:asciiTheme="majorHAnsi" w:hAnsiTheme="majorHAnsi"/>
          <w:bCs/>
          <w:szCs w:val="22"/>
        </w:rPr>
        <w:t xml:space="preserve">, J. F., &amp; Barnello, M. A. (2008). Democratic Responsiveness and Policy Shock: The Case of State Abortion Policy. State Politics &amp; Policy Quarterly, 8(1), 48-65. </w:t>
      </w:r>
    </w:p>
    <w:p w14:paraId="7D3BA41C" w14:textId="77777777" w:rsidR="0055731E" w:rsidRPr="00290BEF" w:rsidRDefault="0055731E" w:rsidP="0055731E">
      <w:pPr>
        <w:widowControl w:val="0"/>
        <w:numPr>
          <w:ilvl w:val="1"/>
          <w:numId w:val="13"/>
        </w:numPr>
        <w:autoSpaceDE w:val="0"/>
        <w:autoSpaceDN w:val="0"/>
        <w:adjustRightInd w:val="0"/>
        <w:rPr>
          <w:rFonts w:asciiTheme="majorHAnsi" w:hAnsiTheme="majorHAnsi"/>
          <w:bCs/>
          <w:szCs w:val="22"/>
        </w:rPr>
      </w:pPr>
      <w:r>
        <w:rPr>
          <w:rFonts w:asciiTheme="majorHAnsi" w:hAnsiTheme="majorHAnsi"/>
          <w:bCs/>
          <w:szCs w:val="22"/>
        </w:rPr>
        <w:t>How legislators respond to public opinion?</w:t>
      </w:r>
    </w:p>
    <w:p w14:paraId="7413C3E6" w14:textId="77777777" w:rsidR="0055731E" w:rsidRPr="00290BEF" w:rsidRDefault="0055731E" w:rsidP="0055731E">
      <w:pPr>
        <w:widowControl w:val="0"/>
        <w:numPr>
          <w:ilvl w:val="0"/>
          <w:numId w:val="13"/>
        </w:numPr>
        <w:autoSpaceDE w:val="0"/>
        <w:autoSpaceDN w:val="0"/>
        <w:adjustRightInd w:val="0"/>
        <w:rPr>
          <w:rFonts w:asciiTheme="majorHAnsi" w:hAnsiTheme="majorHAnsi"/>
          <w:bCs/>
          <w:szCs w:val="22"/>
        </w:rPr>
      </w:pPr>
      <w:r w:rsidRPr="00290BEF">
        <w:rPr>
          <w:rFonts w:asciiTheme="majorHAnsi" w:hAnsiTheme="majorHAnsi"/>
          <w:bCs/>
          <w:szCs w:val="22"/>
        </w:rPr>
        <w:t xml:space="preserve">Hertel-Fernandez, A., Mildenberger, M., &amp; Stokes, L. C. (2019). Legislative Staff and Representation in Congress. American Political Science Review, 113(1), 1-18. </w:t>
      </w:r>
    </w:p>
    <w:p w14:paraId="354F46D1" w14:textId="77777777" w:rsidR="0055731E" w:rsidRPr="00290BEF" w:rsidRDefault="0055731E" w:rsidP="0055731E">
      <w:pPr>
        <w:widowControl w:val="0"/>
        <w:numPr>
          <w:ilvl w:val="1"/>
          <w:numId w:val="13"/>
        </w:numPr>
        <w:autoSpaceDE w:val="0"/>
        <w:autoSpaceDN w:val="0"/>
        <w:adjustRightInd w:val="0"/>
        <w:rPr>
          <w:rFonts w:asciiTheme="majorHAnsi" w:hAnsiTheme="majorHAnsi"/>
          <w:bCs/>
          <w:szCs w:val="22"/>
        </w:rPr>
      </w:pPr>
      <w:r>
        <w:rPr>
          <w:rFonts w:asciiTheme="majorHAnsi" w:hAnsiTheme="majorHAnsi"/>
          <w:bCs/>
          <w:szCs w:val="22"/>
        </w:rPr>
        <w:t>P</w:t>
      </w:r>
      <w:r w:rsidRPr="00290BEF">
        <w:rPr>
          <w:rFonts w:asciiTheme="majorHAnsi" w:hAnsiTheme="majorHAnsi"/>
          <w:bCs/>
          <w:szCs w:val="22"/>
        </w:rPr>
        <w:t>rovides insights into how policy positions are formed in legislative offices.</w:t>
      </w:r>
    </w:p>
    <w:p w14:paraId="3D5C87EF" w14:textId="77777777" w:rsidR="0055731E" w:rsidRPr="00290BEF" w:rsidRDefault="0055731E" w:rsidP="0055731E">
      <w:pPr>
        <w:widowControl w:val="0"/>
        <w:numPr>
          <w:ilvl w:val="0"/>
          <w:numId w:val="13"/>
        </w:numPr>
        <w:autoSpaceDE w:val="0"/>
        <w:autoSpaceDN w:val="0"/>
        <w:adjustRightInd w:val="0"/>
        <w:rPr>
          <w:rFonts w:asciiTheme="majorHAnsi" w:hAnsiTheme="majorHAnsi"/>
          <w:bCs/>
          <w:szCs w:val="22"/>
        </w:rPr>
      </w:pPr>
      <w:r w:rsidRPr="00290BEF">
        <w:rPr>
          <w:rFonts w:asciiTheme="majorHAnsi" w:hAnsiTheme="majorHAnsi"/>
          <w:bCs/>
          <w:szCs w:val="22"/>
        </w:rPr>
        <w:t xml:space="preserve">National Conference of State Legislatures (NCSL) (2020). The State Legislatures Magazine. </w:t>
      </w:r>
    </w:p>
    <w:p w14:paraId="21D7A4A8" w14:textId="77777777" w:rsidR="0055731E" w:rsidRDefault="0055731E" w:rsidP="0055731E">
      <w:pPr>
        <w:widowControl w:val="0"/>
        <w:numPr>
          <w:ilvl w:val="0"/>
          <w:numId w:val="13"/>
        </w:numPr>
        <w:autoSpaceDE w:val="0"/>
        <w:autoSpaceDN w:val="0"/>
        <w:adjustRightInd w:val="0"/>
        <w:rPr>
          <w:rFonts w:asciiTheme="majorHAnsi" w:hAnsiTheme="majorHAnsi"/>
          <w:bCs/>
          <w:szCs w:val="22"/>
        </w:rPr>
      </w:pPr>
      <w:r w:rsidRPr="00290BEF">
        <w:rPr>
          <w:rFonts w:asciiTheme="majorHAnsi" w:hAnsiTheme="majorHAnsi"/>
          <w:bCs/>
          <w:szCs w:val="22"/>
        </w:rPr>
        <w:t xml:space="preserve">Crow, D., Lawhon, L. A., Berggren, J., Huda, J., Koebele, E., &amp; </w:t>
      </w:r>
      <w:proofErr w:type="spellStart"/>
      <w:r w:rsidRPr="00290BEF">
        <w:rPr>
          <w:rFonts w:asciiTheme="majorHAnsi" w:hAnsiTheme="majorHAnsi"/>
          <w:bCs/>
          <w:szCs w:val="22"/>
        </w:rPr>
        <w:t>Kroepsch</w:t>
      </w:r>
      <w:proofErr w:type="spellEnd"/>
      <w:r w:rsidRPr="00290BEF">
        <w:rPr>
          <w:rFonts w:asciiTheme="majorHAnsi" w:hAnsiTheme="majorHAnsi"/>
          <w:bCs/>
          <w:szCs w:val="22"/>
        </w:rPr>
        <w:t>, A. (2017). A Narrative Policy Framework Analysis of Wildfire Policy Discussions in Two Colorado Communities. Politics &amp; Policy</w:t>
      </w:r>
    </w:p>
    <w:p w14:paraId="68D489C9" w14:textId="77777777" w:rsidR="0055731E" w:rsidRPr="00290BEF" w:rsidRDefault="0055731E" w:rsidP="0055731E">
      <w:pPr>
        <w:widowControl w:val="0"/>
        <w:numPr>
          <w:ilvl w:val="1"/>
          <w:numId w:val="13"/>
        </w:numPr>
        <w:autoSpaceDE w:val="0"/>
        <w:autoSpaceDN w:val="0"/>
        <w:adjustRightInd w:val="0"/>
        <w:rPr>
          <w:rFonts w:asciiTheme="majorHAnsi" w:hAnsiTheme="majorHAnsi"/>
          <w:bCs/>
          <w:szCs w:val="22"/>
        </w:rPr>
      </w:pPr>
      <w:proofErr w:type="spellStart"/>
      <w:r>
        <w:rPr>
          <w:rFonts w:asciiTheme="majorHAnsi" w:hAnsiTheme="majorHAnsi"/>
          <w:bCs/>
          <w:szCs w:val="22"/>
        </w:rPr>
        <w:t>Int</w:t>
      </w:r>
      <w:r w:rsidRPr="00290BEF">
        <w:rPr>
          <w:rFonts w:asciiTheme="majorHAnsi" w:hAnsiTheme="majorHAnsi"/>
          <w:bCs/>
          <w:szCs w:val="22"/>
        </w:rPr>
        <w:t>views</w:t>
      </w:r>
      <w:proofErr w:type="spellEnd"/>
      <w:r w:rsidRPr="00290BEF">
        <w:rPr>
          <w:rFonts w:asciiTheme="majorHAnsi" w:hAnsiTheme="majorHAnsi"/>
          <w:bCs/>
          <w:szCs w:val="22"/>
        </w:rPr>
        <w:t xml:space="preserve"> with state legislators</w:t>
      </w:r>
    </w:p>
    <w:p w14:paraId="3CB6CC2C" w14:textId="77777777" w:rsidR="0055731E" w:rsidRPr="00290BEF" w:rsidRDefault="0055731E" w:rsidP="0055731E">
      <w:pPr>
        <w:widowControl w:val="0"/>
        <w:numPr>
          <w:ilvl w:val="0"/>
          <w:numId w:val="13"/>
        </w:numPr>
        <w:autoSpaceDE w:val="0"/>
        <w:autoSpaceDN w:val="0"/>
        <w:adjustRightInd w:val="0"/>
        <w:rPr>
          <w:rFonts w:asciiTheme="majorHAnsi" w:hAnsiTheme="majorHAnsi"/>
          <w:bCs/>
          <w:szCs w:val="22"/>
        </w:rPr>
      </w:pPr>
      <w:r w:rsidRPr="00290BEF">
        <w:rPr>
          <w:rFonts w:asciiTheme="majorHAnsi" w:hAnsiTheme="majorHAnsi"/>
          <w:bCs/>
          <w:szCs w:val="22"/>
        </w:rPr>
        <w:t xml:space="preserve">Gelman, A., &amp; Lax, J. (2007). The Institutional Dynamics of Policy Change. Working Paper, Columbia University. </w:t>
      </w:r>
    </w:p>
    <w:p w14:paraId="4BC379E4" w14:textId="77777777" w:rsidR="0055731E" w:rsidRPr="00290BEF" w:rsidRDefault="0055731E" w:rsidP="0055731E">
      <w:pPr>
        <w:widowControl w:val="0"/>
        <w:numPr>
          <w:ilvl w:val="1"/>
          <w:numId w:val="13"/>
        </w:numPr>
        <w:autoSpaceDE w:val="0"/>
        <w:autoSpaceDN w:val="0"/>
        <w:adjustRightInd w:val="0"/>
        <w:rPr>
          <w:rFonts w:asciiTheme="majorHAnsi" w:hAnsiTheme="majorHAnsi"/>
          <w:bCs/>
          <w:szCs w:val="22"/>
        </w:rPr>
      </w:pPr>
      <w:r>
        <w:rPr>
          <w:rFonts w:asciiTheme="majorHAnsi" w:hAnsiTheme="majorHAnsi"/>
          <w:bCs/>
          <w:szCs w:val="22"/>
        </w:rPr>
        <w:t>In</w:t>
      </w:r>
      <w:r w:rsidRPr="00290BEF">
        <w:rPr>
          <w:rFonts w:asciiTheme="majorHAnsi" w:hAnsiTheme="majorHAnsi"/>
          <w:bCs/>
          <w:szCs w:val="22"/>
        </w:rPr>
        <w:t>cludes a survey of state legislators on their policy positions and decision-making processes.</w:t>
      </w:r>
    </w:p>
    <w:p w14:paraId="2BF8FDA3" w14:textId="77777777" w:rsidR="0055731E" w:rsidRPr="00227CD0" w:rsidRDefault="0055731E" w:rsidP="00227CD0">
      <w:pPr>
        <w:rPr>
          <w:rFonts w:ascii="Times New Roman" w:hAnsi="Times New Roman"/>
          <w:b/>
          <w:bCs/>
          <w:sz w:val="24"/>
        </w:rPr>
      </w:pPr>
    </w:p>
    <w:sectPr w:rsidR="0055731E" w:rsidRPr="00227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F9A"/>
    <w:multiLevelType w:val="hybridMultilevel"/>
    <w:tmpl w:val="F990ADC8"/>
    <w:lvl w:ilvl="0" w:tplc="38C44264">
      <w:start w:val="1"/>
      <w:numFmt w:val="bullet"/>
      <w:lvlText w:val="—"/>
      <w:lvlJc w:val="left"/>
      <w:pPr>
        <w:ind w:left="720" w:hanging="360"/>
      </w:pPr>
      <w:rPr>
        <w:rFonts w:ascii="d" w:hAns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17B5F"/>
    <w:multiLevelType w:val="hybridMultilevel"/>
    <w:tmpl w:val="81EE2C16"/>
    <w:lvl w:ilvl="0" w:tplc="38C44264">
      <w:start w:val="1"/>
      <w:numFmt w:val="bullet"/>
      <w:lvlText w:val="—"/>
      <w:lvlJc w:val="left"/>
      <w:pPr>
        <w:ind w:left="720" w:hanging="360"/>
      </w:pPr>
      <w:rPr>
        <w:rFonts w:ascii="d" w:hAns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B6B31"/>
    <w:multiLevelType w:val="multilevel"/>
    <w:tmpl w:val="0680D8F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24789"/>
    <w:multiLevelType w:val="multilevel"/>
    <w:tmpl w:val="0F14B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A67339"/>
    <w:multiLevelType w:val="multilevel"/>
    <w:tmpl w:val="452AF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283D33"/>
    <w:multiLevelType w:val="hybridMultilevel"/>
    <w:tmpl w:val="0CEAD732"/>
    <w:lvl w:ilvl="0" w:tplc="1CAE873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BA7BDA"/>
    <w:multiLevelType w:val="multilevel"/>
    <w:tmpl w:val="5F9A35FE"/>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BC676A"/>
    <w:multiLevelType w:val="multilevel"/>
    <w:tmpl w:val="18862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9A70DF"/>
    <w:multiLevelType w:val="hybridMultilevel"/>
    <w:tmpl w:val="7E9EEC96"/>
    <w:lvl w:ilvl="0" w:tplc="38C44264">
      <w:start w:val="1"/>
      <w:numFmt w:val="bullet"/>
      <w:lvlText w:val="—"/>
      <w:lvlJc w:val="left"/>
      <w:pPr>
        <w:ind w:left="720" w:hanging="360"/>
      </w:pPr>
      <w:rPr>
        <w:rFonts w:ascii="d" w:hAns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CA6312"/>
    <w:multiLevelType w:val="hybridMultilevel"/>
    <w:tmpl w:val="F61676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163915"/>
    <w:multiLevelType w:val="hybridMultilevel"/>
    <w:tmpl w:val="3A96DAB2"/>
    <w:lvl w:ilvl="0" w:tplc="38C44264">
      <w:start w:val="1"/>
      <w:numFmt w:val="bullet"/>
      <w:lvlText w:val="—"/>
      <w:lvlJc w:val="left"/>
      <w:pPr>
        <w:ind w:left="720" w:hanging="360"/>
      </w:pPr>
      <w:rPr>
        <w:rFonts w:ascii="d" w:hAns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76279C"/>
    <w:multiLevelType w:val="hybridMultilevel"/>
    <w:tmpl w:val="6AB4DDF4"/>
    <w:lvl w:ilvl="0" w:tplc="38C44264">
      <w:start w:val="1"/>
      <w:numFmt w:val="bullet"/>
      <w:lvlText w:val="—"/>
      <w:lvlJc w:val="left"/>
      <w:pPr>
        <w:ind w:left="720" w:hanging="360"/>
      </w:pPr>
      <w:rPr>
        <w:rFonts w:ascii="d" w:hAns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966849"/>
    <w:multiLevelType w:val="multilevel"/>
    <w:tmpl w:val="1980C36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2B5E40"/>
    <w:multiLevelType w:val="multilevel"/>
    <w:tmpl w:val="F734493A"/>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C4037D"/>
    <w:multiLevelType w:val="multilevel"/>
    <w:tmpl w:val="FBDE3C5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051DB8"/>
    <w:multiLevelType w:val="multilevel"/>
    <w:tmpl w:val="A288ABA8"/>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960059">
    <w:abstractNumId w:val="1"/>
  </w:num>
  <w:num w:numId="2" w16cid:durableId="1796217202">
    <w:abstractNumId w:val="11"/>
  </w:num>
  <w:num w:numId="3" w16cid:durableId="1671331331">
    <w:abstractNumId w:val="6"/>
  </w:num>
  <w:num w:numId="4" w16cid:durableId="1902476663">
    <w:abstractNumId w:val="12"/>
  </w:num>
  <w:num w:numId="5" w16cid:durableId="3020728">
    <w:abstractNumId w:val="4"/>
  </w:num>
  <w:num w:numId="6" w16cid:durableId="1230531342">
    <w:abstractNumId w:val="10"/>
  </w:num>
  <w:num w:numId="7" w16cid:durableId="1109280856">
    <w:abstractNumId w:val="5"/>
  </w:num>
  <w:num w:numId="8" w16cid:durableId="1806123881">
    <w:abstractNumId w:val="15"/>
  </w:num>
  <w:num w:numId="9" w16cid:durableId="128597952">
    <w:abstractNumId w:val="2"/>
  </w:num>
  <w:num w:numId="10" w16cid:durableId="1147169371">
    <w:abstractNumId w:val="14"/>
  </w:num>
  <w:num w:numId="11" w16cid:durableId="1303845062">
    <w:abstractNumId w:val="13"/>
  </w:num>
  <w:num w:numId="12" w16cid:durableId="359362185">
    <w:abstractNumId w:val="9"/>
  </w:num>
  <w:num w:numId="13" w16cid:durableId="1674800014">
    <w:abstractNumId w:val="7"/>
  </w:num>
  <w:num w:numId="14" w16cid:durableId="665860529">
    <w:abstractNumId w:val="0"/>
  </w:num>
  <w:num w:numId="15" w16cid:durableId="1755738181">
    <w:abstractNumId w:val="8"/>
  </w:num>
  <w:num w:numId="16" w16cid:durableId="730076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DBE"/>
    <w:rsid w:val="00061B50"/>
    <w:rsid w:val="00061CC2"/>
    <w:rsid w:val="000B4953"/>
    <w:rsid w:val="000F0967"/>
    <w:rsid w:val="00104AF7"/>
    <w:rsid w:val="00113D6F"/>
    <w:rsid w:val="00125550"/>
    <w:rsid w:val="00167EFC"/>
    <w:rsid w:val="001E2B33"/>
    <w:rsid w:val="0021198A"/>
    <w:rsid w:val="00227CD0"/>
    <w:rsid w:val="0023373B"/>
    <w:rsid w:val="002A0004"/>
    <w:rsid w:val="002F36BC"/>
    <w:rsid w:val="00301D66"/>
    <w:rsid w:val="004B22F4"/>
    <w:rsid w:val="004F1700"/>
    <w:rsid w:val="0055731E"/>
    <w:rsid w:val="00630880"/>
    <w:rsid w:val="006A7DC4"/>
    <w:rsid w:val="006C4C7E"/>
    <w:rsid w:val="006E5B44"/>
    <w:rsid w:val="006F6C84"/>
    <w:rsid w:val="007E3D50"/>
    <w:rsid w:val="0081710E"/>
    <w:rsid w:val="0087689C"/>
    <w:rsid w:val="008A41DE"/>
    <w:rsid w:val="009161A0"/>
    <w:rsid w:val="0093047B"/>
    <w:rsid w:val="0097058A"/>
    <w:rsid w:val="009802A2"/>
    <w:rsid w:val="009D1958"/>
    <w:rsid w:val="00A73870"/>
    <w:rsid w:val="00AA06B0"/>
    <w:rsid w:val="00AD5849"/>
    <w:rsid w:val="00B439D3"/>
    <w:rsid w:val="00BD2BF8"/>
    <w:rsid w:val="00C560FF"/>
    <w:rsid w:val="00C82DBE"/>
    <w:rsid w:val="00CF2BC0"/>
    <w:rsid w:val="00D72C59"/>
    <w:rsid w:val="00D94E75"/>
    <w:rsid w:val="00FC5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72976D"/>
  <w15:chartTrackingRefBased/>
  <w15:docId w15:val="{204D296B-D9A5-BB4E-9208-CA03A6E69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DBE"/>
    <w:rPr>
      <w:rFonts w:ascii="Open Sans" w:eastAsia="Times New Roman" w:hAnsi="Open Sans" w:cs="Times New Roman"/>
      <w:sz w:val="22"/>
    </w:rPr>
  </w:style>
  <w:style w:type="paragraph" w:styleId="Heading1">
    <w:name w:val="heading 1"/>
    <w:basedOn w:val="Normal"/>
    <w:next w:val="Normal"/>
    <w:link w:val="Heading1Char"/>
    <w:uiPriority w:val="9"/>
    <w:qFormat/>
    <w:rsid w:val="00C82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D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D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D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D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DBE"/>
    <w:rPr>
      <w:rFonts w:eastAsiaTheme="majorEastAsia" w:cstheme="majorBidi"/>
      <w:color w:val="272727" w:themeColor="text1" w:themeTint="D8"/>
    </w:rPr>
  </w:style>
  <w:style w:type="paragraph" w:styleId="Title">
    <w:name w:val="Title"/>
    <w:basedOn w:val="Normal"/>
    <w:next w:val="Normal"/>
    <w:link w:val="TitleChar"/>
    <w:uiPriority w:val="10"/>
    <w:qFormat/>
    <w:rsid w:val="00C82D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D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D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2DBE"/>
    <w:rPr>
      <w:i/>
      <w:iCs/>
      <w:color w:val="404040" w:themeColor="text1" w:themeTint="BF"/>
    </w:rPr>
  </w:style>
  <w:style w:type="paragraph" w:styleId="ListParagraph">
    <w:name w:val="List Paragraph"/>
    <w:basedOn w:val="Normal"/>
    <w:uiPriority w:val="34"/>
    <w:qFormat/>
    <w:rsid w:val="00C82DBE"/>
    <w:pPr>
      <w:ind w:left="720"/>
      <w:contextualSpacing/>
    </w:pPr>
  </w:style>
  <w:style w:type="character" w:styleId="IntenseEmphasis">
    <w:name w:val="Intense Emphasis"/>
    <w:basedOn w:val="DefaultParagraphFont"/>
    <w:uiPriority w:val="21"/>
    <w:qFormat/>
    <w:rsid w:val="00C82DBE"/>
    <w:rPr>
      <w:i/>
      <w:iCs/>
      <w:color w:val="0F4761" w:themeColor="accent1" w:themeShade="BF"/>
    </w:rPr>
  </w:style>
  <w:style w:type="paragraph" w:styleId="IntenseQuote">
    <w:name w:val="Intense Quote"/>
    <w:basedOn w:val="Normal"/>
    <w:next w:val="Normal"/>
    <w:link w:val="IntenseQuoteChar"/>
    <w:uiPriority w:val="30"/>
    <w:qFormat/>
    <w:rsid w:val="00C82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DBE"/>
    <w:rPr>
      <w:i/>
      <w:iCs/>
      <w:color w:val="0F4761" w:themeColor="accent1" w:themeShade="BF"/>
    </w:rPr>
  </w:style>
  <w:style w:type="character" w:styleId="IntenseReference">
    <w:name w:val="Intense Reference"/>
    <w:basedOn w:val="DefaultParagraphFont"/>
    <w:uiPriority w:val="32"/>
    <w:qFormat/>
    <w:rsid w:val="00C82DBE"/>
    <w:rPr>
      <w:b/>
      <w:bCs/>
      <w:smallCaps/>
      <w:color w:val="0F4761" w:themeColor="accent1" w:themeShade="BF"/>
      <w:spacing w:val="5"/>
    </w:rPr>
  </w:style>
  <w:style w:type="character" w:styleId="CommentReference">
    <w:name w:val="annotation reference"/>
    <w:basedOn w:val="DefaultParagraphFont"/>
    <w:uiPriority w:val="99"/>
    <w:semiHidden/>
    <w:unhideWhenUsed/>
    <w:rsid w:val="00C82DBE"/>
    <w:rPr>
      <w:sz w:val="16"/>
      <w:szCs w:val="16"/>
    </w:rPr>
  </w:style>
  <w:style w:type="character" w:styleId="Hyperlink">
    <w:name w:val="Hyperlink"/>
    <w:basedOn w:val="DefaultParagraphFont"/>
    <w:uiPriority w:val="99"/>
    <w:unhideWhenUsed/>
    <w:rsid w:val="00227CD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0982">
      <w:bodyDiv w:val="1"/>
      <w:marLeft w:val="0"/>
      <w:marRight w:val="0"/>
      <w:marTop w:val="0"/>
      <w:marBottom w:val="0"/>
      <w:divBdr>
        <w:top w:val="none" w:sz="0" w:space="0" w:color="auto"/>
        <w:left w:val="none" w:sz="0" w:space="0" w:color="auto"/>
        <w:bottom w:val="none" w:sz="0" w:space="0" w:color="auto"/>
        <w:right w:val="none" w:sz="0" w:space="0" w:color="auto"/>
      </w:divBdr>
    </w:div>
    <w:div w:id="121391434">
      <w:bodyDiv w:val="1"/>
      <w:marLeft w:val="0"/>
      <w:marRight w:val="0"/>
      <w:marTop w:val="0"/>
      <w:marBottom w:val="0"/>
      <w:divBdr>
        <w:top w:val="none" w:sz="0" w:space="0" w:color="auto"/>
        <w:left w:val="none" w:sz="0" w:space="0" w:color="auto"/>
        <w:bottom w:val="none" w:sz="0" w:space="0" w:color="auto"/>
        <w:right w:val="none" w:sz="0" w:space="0" w:color="auto"/>
      </w:divBdr>
    </w:div>
    <w:div w:id="121774406">
      <w:bodyDiv w:val="1"/>
      <w:marLeft w:val="0"/>
      <w:marRight w:val="0"/>
      <w:marTop w:val="0"/>
      <w:marBottom w:val="0"/>
      <w:divBdr>
        <w:top w:val="none" w:sz="0" w:space="0" w:color="auto"/>
        <w:left w:val="none" w:sz="0" w:space="0" w:color="auto"/>
        <w:bottom w:val="none" w:sz="0" w:space="0" w:color="auto"/>
        <w:right w:val="none" w:sz="0" w:space="0" w:color="auto"/>
      </w:divBdr>
    </w:div>
    <w:div w:id="281961933">
      <w:bodyDiv w:val="1"/>
      <w:marLeft w:val="0"/>
      <w:marRight w:val="0"/>
      <w:marTop w:val="0"/>
      <w:marBottom w:val="0"/>
      <w:divBdr>
        <w:top w:val="none" w:sz="0" w:space="0" w:color="auto"/>
        <w:left w:val="none" w:sz="0" w:space="0" w:color="auto"/>
        <w:bottom w:val="none" w:sz="0" w:space="0" w:color="auto"/>
        <w:right w:val="none" w:sz="0" w:space="0" w:color="auto"/>
      </w:divBdr>
    </w:div>
    <w:div w:id="295986361">
      <w:bodyDiv w:val="1"/>
      <w:marLeft w:val="0"/>
      <w:marRight w:val="0"/>
      <w:marTop w:val="0"/>
      <w:marBottom w:val="0"/>
      <w:divBdr>
        <w:top w:val="none" w:sz="0" w:space="0" w:color="auto"/>
        <w:left w:val="none" w:sz="0" w:space="0" w:color="auto"/>
        <w:bottom w:val="none" w:sz="0" w:space="0" w:color="auto"/>
        <w:right w:val="none" w:sz="0" w:space="0" w:color="auto"/>
      </w:divBdr>
    </w:div>
    <w:div w:id="161273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7</Pages>
  <Words>2366</Words>
  <Characters>14907</Characters>
  <Application>Microsoft Office Word</Application>
  <DocSecurity>0</DocSecurity>
  <Lines>261</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12</cp:revision>
  <dcterms:created xsi:type="dcterms:W3CDTF">2024-12-09T01:33:00Z</dcterms:created>
  <dcterms:modified xsi:type="dcterms:W3CDTF">2026-02-11T02:33:00Z</dcterms:modified>
</cp:coreProperties>
</file>