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E36C6C6" w14:textId="77777777" w:rsidR="0078023A" w:rsidRPr="0078023A" w:rsidRDefault="0078023A" w:rsidP="0078023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Claim</w:t>
      </w:r>
      <w:r w:rsidRPr="0078023A">
        <w:rPr>
          <w:rFonts w:ascii="Times New Roman" w:eastAsia="Times New Roman" w:hAnsi="Times New Roman" w:cs="Times New Roman"/>
          <w:kern w:val="0"/>
          <w14:ligatures w14:val="none"/>
        </w:rPr>
        <w:t xml:space="preserve"> – one sentence, starting with “This paragraph argues that…”</w:t>
      </w:r>
    </w:p>
    <w:p w14:paraId="06746B15" w14:textId="77777777" w:rsidR="0078023A" w:rsidRPr="0078023A" w:rsidRDefault="0078023A" w:rsidP="0078023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Why it must exist</w:t>
      </w:r>
      <w:r w:rsidRPr="0078023A">
        <w:rPr>
          <w:rFonts w:ascii="Times New Roman" w:eastAsia="Times New Roman" w:hAnsi="Times New Roman" w:cs="Times New Roman"/>
          <w:kern w:val="0"/>
          <w14:ligatures w14:val="none"/>
        </w:rPr>
        <w:t xml:space="preserve"> – what breaks if this paragraph is missing?</w:t>
      </w:r>
    </w:p>
    <w:p w14:paraId="3B3CAD3E" w14:textId="77777777" w:rsidR="0078023A" w:rsidRPr="0078023A" w:rsidRDefault="0078023A" w:rsidP="0078023A">
      <w:pPr>
        <w:numPr>
          <w:ilvl w:val="0"/>
          <w:numId w:val="1"/>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Where it points next</w:t>
      </w:r>
      <w:r w:rsidRPr="0078023A">
        <w:rPr>
          <w:rFonts w:ascii="Times New Roman" w:eastAsia="Times New Roman" w:hAnsi="Times New Roman" w:cs="Times New Roman"/>
          <w:kern w:val="0"/>
          <w14:ligatures w14:val="none"/>
        </w:rPr>
        <w:t xml:space="preserve"> – what question it leaves the reader with</w:t>
      </w:r>
    </w:p>
    <w:p w14:paraId="19B00EEE"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b/>
          <w:bCs/>
          <w:kern w:val="0"/>
          <w14:ligatures w14:val="none"/>
        </w:rPr>
        <w:t>Paragraph 1</w:t>
      </w:r>
    </w:p>
    <w:p w14:paraId="7B5EFBCC" w14:textId="2CB71919" w:rsidR="0078023A" w:rsidRDefault="0078023A" w:rsidP="0078023A">
      <w:pPr>
        <w:pStyle w:val="NormalWeb"/>
        <w:numPr>
          <w:ilvl w:val="0"/>
          <w:numId w:val="2"/>
        </w:numPr>
      </w:pPr>
      <w:r>
        <w:t>Claims</w:t>
      </w:r>
    </w:p>
    <w:p w14:paraId="5455C70E" w14:textId="4DD4B2EC" w:rsidR="0078023A" w:rsidRDefault="0078023A" w:rsidP="0078023A">
      <w:pPr>
        <w:pStyle w:val="NormalWeb"/>
        <w:numPr>
          <w:ilvl w:val="1"/>
          <w:numId w:val="2"/>
        </w:numPr>
      </w:pPr>
      <w:r>
        <w:t>Good representation is central to the study of demcoracy</w:t>
      </w:r>
    </w:p>
    <w:p w14:paraId="05EEB2A1" w14:textId="11E93395" w:rsidR="0078023A" w:rsidRDefault="0078023A" w:rsidP="0078023A">
      <w:pPr>
        <w:pStyle w:val="NormalWeb"/>
        <w:numPr>
          <w:ilvl w:val="1"/>
          <w:numId w:val="2"/>
        </w:numPr>
      </w:pPr>
      <w:r>
        <w:t>Widely shared normative commitment across political science and public policy</w:t>
      </w:r>
    </w:p>
    <w:p w14:paraId="31478529" w14:textId="606B76C1" w:rsidR="0078023A" w:rsidRDefault="0078023A" w:rsidP="0078023A">
      <w:pPr>
        <w:pStyle w:val="NormalWeb"/>
        <w:numPr>
          <w:ilvl w:val="1"/>
          <w:numId w:val="2"/>
        </w:numPr>
      </w:pPr>
      <w:r>
        <w:t>Sets the stakes: democracy is evaluated through representation</w:t>
      </w:r>
    </w:p>
    <w:p w14:paraId="42BF7D3D" w14:textId="7707C719" w:rsidR="0078023A" w:rsidRPr="0078023A" w:rsidRDefault="0078023A" w:rsidP="0078023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 xml:space="preserve">Why </w:t>
      </w:r>
      <w:r>
        <w:rPr>
          <w:rFonts w:ascii="Times New Roman" w:eastAsia="Times New Roman" w:hAnsi="Times New Roman" w:cs="Times New Roman"/>
          <w:kern w:val="0"/>
          <w14:ligatures w14:val="none"/>
        </w:rPr>
        <w:t>this para</w:t>
      </w:r>
      <w:r w:rsidRPr="0078023A">
        <w:rPr>
          <w:rFonts w:ascii="Times New Roman" w:eastAsia="Times New Roman" w:hAnsi="Times New Roman" w:cs="Times New Roman"/>
          <w:kern w:val="0"/>
          <w14:ligatures w14:val="none"/>
        </w:rPr>
        <w:t xml:space="preserve"> must exist: Establishes stakes and disciplinary relevance without committing to a single metric.</w:t>
      </w:r>
      <w:r>
        <w:rPr>
          <w:rFonts w:ascii="Times New Roman" w:eastAsia="Times New Roman" w:hAnsi="Times New Roman" w:cs="Times New Roman"/>
          <w:kern w:val="0"/>
          <w14:ligatures w14:val="none"/>
        </w:rPr>
        <w:t xml:space="preserve"> Establishes the big tent and stakes: democracy is evaluated through representation, one way is through descriptive representation</w:t>
      </w:r>
    </w:p>
    <w:p w14:paraId="47345491" w14:textId="766F0BBE" w:rsidR="0078023A" w:rsidRDefault="0078023A" w:rsidP="0078023A">
      <w:pPr>
        <w:numPr>
          <w:ilvl w:val="0"/>
          <w:numId w:val="2"/>
        </w:num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Points next: If representation is contested, what benchmarks do scholars use?</w:t>
      </w:r>
      <w:r>
        <w:rPr>
          <w:rFonts w:ascii="Times New Roman" w:eastAsia="Times New Roman" w:hAnsi="Times New Roman" w:cs="Times New Roman"/>
          <w:kern w:val="0"/>
          <w14:ligatures w14:val="none"/>
        </w:rPr>
        <w:t xml:space="preserve"> What is descriptive Representation</w:t>
      </w:r>
    </w:p>
    <w:p w14:paraId="1F6680AD"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This paragraph should:</w:t>
      </w:r>
    </w:p>
    <w:p w14:paraId="3A633B26" w14:textId="77777777" w:rsidR="00662EFC" w:rsidRPr="00662EFC"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Assert that representation is the core evaluative concept of democracy</w:t>
      </w:r>
    </w:p>
    <w:p w14:paraId="0BE0F387" w14:textId="77777777" w:rsidR="00662EFC" w:rsidRPr="00662EFC"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Signal disciplinary consensus on its importance</w:t>
      </w:r>
    </w:p>
    <w:p w14:paraId="4FEB49E6" w14:textId="77777777" w:rsidR="00662EFC" w:rsidRPr="00662EFC"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Surface the paradox: centrality without clarity</w:t>
      </w:r>
    </w:p>
    <w:p w14:paraId="107EDDD1" w14:textId="77777777" w:rsidR="00662EFC" w:rsidRPr="00662EFC" w:rsidRDefault="00662EFC" w:rsidP="00662EFC">
      <w:pPr>
        <w:numPr>
          <w:ilvl w:val="0"/>
          <w:numId w:val="17"/>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xml:space="preserve">End by positioning descriptive representation as one </w:t>
      </w:r>
      <w:r w:rsidRPr="00662EFC">
        <w:rPr>
          <w:rFonts w:ascii="Times New Roman" w:eastAsia="Times New Roman" w:hAnsi="Times New Roman" w:cs="Times New Roman"/>
          <w:i/>
          <w:iCs/>
          <w:kern w:val="0"/>
          <w14:ligatures w14:val="none"/>
        </w:rPr>
        <w:t>response</w:t>
      </w:r>
      <w:r w:rsidRPr="00662EFC">
        <w:rPr>
          <w:rFonts w:ascii="Times New Roman" w:eastAsia="Times New Roman" w:hAnsi="Times New Roman" w:cs="Times New Roman"/>
          <w:kern w:val="0"/>
          <w14:ligatures w14:val="none"/>
        </w:rPr>
        <w:t xml:space="preserve"> to that paradox (not the answer)</w:t>
      </w:r>
    </w:p>
    <w:p w14:paraId="6E10458F"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xml:space="preserve">It should </w:t>
      </w:r>
      <w:r w:rsidRPr="00662EFC">
        <w:rPr>
          <w:rFonts w:ascii="Times New Roman" w:eastAsia="Times New Roman" w:hAnsi="Times New Roman" w:cs="Times New Roman"/>
          <w:i/>
          <w:iCs/>
          <w:kern w:val="0"/>
          <w14:ligatures w14:val="none"/>
        </w:rPr>
        <w:t>not</w:t>
      </w:r>
      <w:r w:rsidRPr="00662EFC">
        <w:rPr>
          <w:rFonts w:ascii="Times New Roman" w:eastAsia="Times New Roman" w:hAnsi="Times New Roman" w:cs="Times New Roman"/>
          <w:kern w:val="0"/>
          <w14:ligatures w14:val="none"/>
        </w:rPr>
        <w:t>:</w:t>
      </w:r>
    </w:p>
    <w:p w14:paraId="0149665B" w14:textId="77777777" w:rsidR="00662EFC" w:rsidRPr="00662EFC" w:rsidRDefault="00662EFC" w:rsidP="00662EF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Argue for descriptive representation yet</w:t>
      </w:r>
    </w:p>
    <w:p w14:paraId="77E857A5" w14:textId="77777777" w:rsidR="00662EFC" w:rsidRPr="00662EFC" w:rsidRDefault="00662EFC" w:rsidP="00662EFC">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Introduce incarceration</w:t>
      </w:r>
    </w:p>
    <w:p w14:paraId="7C961074" w14:textId="77777777" w:rsidR="00662EFC" w:rsidRPr="00662EFC" w:rsidRDefault="00662EFC" w:rsidP="0078023A">
      <w:pPr>
        <w:numPr>
          <w:ilvl w:val="0"/>
          <w:numId w:val="18"/>
        </w:numPr>
        <w:spacing w:before="100" w:beforeAutospacing="1" w:after="100" w:afterAutospacing="1" w:line="240" w:lineRule="auto"/>
        <w:rPr>
          <w:rFonts w:ascii="Times New Roman" w:eastAsia="Times New Roman" w:hAnsi="Times New Roman" w:cs="Times New Roman"/>
          <w:kern w:val="0"/>
          <w14:ligatures w14:val="none"/>
        </w:rPr>
      </w:pPr>
    </w:p>
    <w:p w14:paraId="76CCB4B4" w14:textId="5487E62C" w:rsid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b/>
          <w:bCs/>
          <w:kern w:val="0"/>
          <w14:ligatures w14:val="none"/>
        </w:rPr>
        <w:t>Paragraph 2:</w:t>
      </w:r>
      <w:r>
        <w:rPr>
          <w:rFonts w:ascii="Times New Roman" w:eastAsia="Times New Roman" w:hAnsi="Times New Roman" w:cs="Times New Roman"/>
          <w:kern w:val="0"/>
          <w14:ligatures w14:val="none"/>
        </w:rPr>
        <w:t xml:space="preserve"> Descriptive representation is one normative benchmark thought to …</w:t>
      </w:r>
    </w:p>
    <w:p w14:paraId="798BD27F" w14:textId="1E250D83" w:rsidR="0078023A"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Descriptive representation is  (not the only) one normative benchmark used to evaluate representation</w:t>
      </w:r>
    </w:p>
    <w:p w14:paraId="2D34804D" w14:textId="252966BA" w:rsidR="00BA0102" w:rsidRDefault="00803A77" w:rsidP="00BA0102">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Legislator </w:t>
      </w:r>
      <w:r w:rsidR="00BA0102">
        <w:rPr>
          <w:rFonts w:ascii="Times New Roman" w:eastAsia="Times New Roman" w:hAnsi="Times New Roman" w:cs="Times New Roman"/>
          <w:kern w:val="0"/>
          <w14:ligatures w14:val="none"/>
        </w:rPr>
        <w:t>Characteristics</w:t>
      </w:r>
    </w:p>
    <w:p w14:paraId="3D83D133" w14:textId="6B826878" w:rsidR="00BA0102" w:rsidRDefault="00BA0102" w:rsidP="00BA010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Occupation, education, wealth, income, familiy of origin (usually occupation or wealth of a persons primary caretaker during childhood)</w:t>
      </w:r>
    </w:p>
    <w:p w14:paraId="57169810" w14:textId="6962C29B" w:rsidR="00BA0102" w:rsidRDefault="00BA0102" w:rsidP="00BA010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Each measured in different ways</w:t>
      </w:r>
    </w:p>
    <w:p w14:paraId="39938656" w14:textId="66AE72CF" w:rsidR="00BA0102" w:rsidRDefault="00BA0102" w:rsidP="00BA010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Wealth varies for example from in one case land ownership (Rossi 2014) to net worth (Frumbach 2015) and financial assets (Stacy 2020)</w:t>
      </w:r>
    </w:p>
    <w:p w14:paraId="7969DA8E" w14:textId="5E41E62D" w:rsidR="00BA0102" w:rsidRDefault="00BA0102" w:rsidP="00BA010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Large debate about best way to measure of ceonceive of occupation (Carnes &amp; Lupu Review)</w:t>
      </w:r>
    </w:p>
    <w:p w14:paraId="3A00DB4E" w14:textId="215928E1" w:rsidR="00803A77" w:rsidRDefault="00803A77" w:rsidP="00803A77">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Studied for </w:t>
      </w:r>
    </w:p>
    <w:p w14:paraId="2665DF7B" w14:textId="73A60528" w:rsidR="00803A77"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First, gaining snapshots – who politicians were (Matthews 1954) </w:t>
      </w:r>
    </w:p>
    <w:p w14:paraId="3825B91C" w14:textId="69777239" w:rsidR="00803A77"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or trends in changes across time </w:t>
      </w:r>
    </w:p>
    <w:p w14:paraId="3C8B4D92" w14:textId="775483A5" w:rsidR="00803A77" w:rsidRDefault="00803A77" w:rsidP="00803A77">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Economic background</w:t>
      </w:r>
    </w:p>
    <w:p w14:paraId="6069F8BE" w14:textId="6EC8CCF7" w:rsidR="00803A77" w:rsidRDefault="00803A77" w:rsidP="00803A77">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congruence</w:t>
      </w:r>
    </w:p>
    <w:p w14:paraId="5783EE7C" w14:textId="77777777" w:rsidR="00803A77" w:rsidRDefault="00803A77" w:rsidP="00803A77">
      <w:pPr>
        <w:pStyle w:val="ListParagraph"/>
        <w:spacing w:before="100" w:beforeAutospacing="1" w:after="100" w:afterAutospacing="1" w:line="240" w:lineRule="auto"/>
        <w:ind w:left="2160"/>
        <w:rPr>
          <w:rFonts w:ascii="Times New Roman" w:eastAsia="Times New Roman" w:hAnsi="Times New Roman" w:cs="Times New Roman"/>
          <w:kern w:val="0"/>
          <w14:ligatures w14:val="none"/>
        </w:rPr>
      </w:pPr>
    </w:p>
    <w:p w14:paraId="108FDCBE" w14:textId="6F1C2D59" w:rsidR="00803A77" w:rsidRDefault="0078023A" w:rsidP="00803A77">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Often invoked as a proxy or entry point to understand/study</w:t>
      </w:r>
    </w:p>
    <w:p w14:paraId="7ED7B440" w14:textId="6A2DDDD5" w:rsidR="00803A77" w:rsidRDefault="00803A77" w:rsidP="00803A77">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Maybe frame as causes consequences of descriptive inequalities</w:t>
      </w:r>
    </w:p>
    <w:p w14:paraId="138C8306" w14:textId="5B16C8A2" w:rsidR="00803A77"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Snapshots</w:t>
      </w:r>
    </w:p>
    <w:p w14:paraId="0403532D" w14:textId="0C8FE7A7" w:rsidR="00803A77"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Upstream</w:t>
      </w:r>
    </w:p>
    <w:p w14:paraId="46498EA8" w14:textId="42A31103" w:rsidR="00803A77" w:rsidRPr="00803A77" w:rsidRDefault="00803A77"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downstream</w:t>
      </w:r>
    </w:p>
    <w:p w14:paraId="6CE68357" w14:textId="523B4525" w:rsidR="00BD386E" w:rsidRDefault="00BD386E" w:rsidP="00BD386E">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Service responsiveness</w:t>
      </w:r>
      <w:r w:rsidR="00803A77">
        <w:rPr>
          <w:rFonts w:ascii="Times New Roman" w:eastAsia="Times New Roman" w:hAnsi="Times New Roman" w:cs="Times New Roman"/>
          <w:kern w:val="0"/>
          <w14:ligatures w14:val="none"/>
        </w:rPr>
        <w:t xml:space="preserve"> (legislator constituent relationships)</w:t>
      </w:r>
    </w:p>
    <w:p w14:paraId="7A246F7B" w14:textId="2AF2F2CF" w:rsidR="00803A77" w:rsidRPr="00BD386E" w:rsidRDefault="00D25FD2" w:rsidP="00803A77">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Thought to facilitate trust via shared experience between legislator and constituent</w:t>
      </w:r>
    </w:p>
    <w:p w14:paraId="73594334" w14:textId="002A2BFF" w:rsidR="0078023A" w:rsidRDefault="0078023A" w:rsidP="0078023A">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Policy responsiveness </w:t>
      </w:r>
      <w:r w:rsidR="00BD386E">
        <w:rPr>
          <w:rFonts w:ascii="Times New Roman" w:eastAsia="Times New Roman" w:hAnsi="Times New Roman" w:cs="Times New Roman"/>
          <w:kern w:val="0"/>
          <w14:ligatures w14:val="none"/>
        </w:rPr>
        <w:t>or substantive representation</w:t>
      </w:r>
    </w:p>
    <w:p w14:paraId="4CABF9E9" w14:textId="04BD5B55" w:rsidR="00BD386E" w:rsidRDefault="00BD386E" w:rsidP="00BD386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Substantive representation as an </w:t>
      </w:r>
      <w:r w:rsidRPr="00BD386E">
        <w:rPr>
          <w:rFonts w:ascii="Times New Roman" w:eastAsia="Times New Roman" w:hAnsi="Times New Roman" w:cs="Times New Roman"/>
          <w:b/>
          <w:bCs/>
          <w:kern w:val="0"/>
          <w14:ligatures w14:val="none"/>
        </w:rPr>
        <w:t>outcome</w:t>
      </w:r>
      <w:r>
        <w:rPr>
          <w:rFonts w:ascii="Times New Roman" w:eastAsia="Times New Roman" w:hAnsi="Times New Roman" w:cs="Times New Roman"/>
          <w:kern w:val="0"/>
          <w14:ligatures w14:val="none"/>
        </w:rPr>
        <w:t xml:space="preserve"> </w:t>
      </w:r>
    </w:p>
    <w:p w14:paraId="55DB738A" w14:textId="36B3A558" w:rsidR="00803A77" w:rsidRDefault="00803A77" w:rsidP="00803A77">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“consequences for values, preferences, behaviors of individual politicians/policy outcomes at the level of the political institutions (Carnes &amp; Lupu)</w:t>
      </w:r>
    </w:p>
    <w:p w14:paraId="6F0303CD" w14:textId="1233076C" w:rsidR="00BD386E" w:rsidRDefault="00BD386E" w:rsidP="00BD386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Substantive representation as a </w:t>
      </w:r>
      <w:r w:rsidRPr="00BD386E">
        <w:rPr>
          <w:rFonts w:ascii="Times New Roman" w:eastAsia="Times New Roman" w:hAnsi="Times New Roman" w:cs="Times New Roman"/>
          <w:b/>
          <w:bCs/>
          <w:kern w:val="0"/>
          <w14:ligatures w14:val="none"/>
        </w:rPr>
        <w:t>process</w:t>
      </w:r>
      <w:r>
        <w:rPr>
          <w:rFonts w:ascii="Times New Roman" w:eastAsia="Times New Roman" w:hAnsi="Times New Roman" w:cs="Times New Roman"/>
          <w:kern w:val="0"/>
          <w14:ligatures w14:val="none"/>
        </w:rPr>
        <w:t xml:space="preserve"> – </w:t>
      </w:r>
    </w:p>
    <w:p w14:paraId="1F0BC6F3" w14:textId="59C48878" w:rsidR="00BD386E" w:rsidRDefault="00BD386E" w:rsidP="00BD386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Can involve symbolic inclusion recognition </w:t>
      </w:r>
    </w:p>
    <w:p w14:paraId="3CE4A0E4" w14:textId="206B1B8A" w:rsidR="0078023A" w:rsidRDefault="0078023A" w:rsidP="0078023A">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Symbolic inclusion/recognition</w:t>
      </w:r>
    </w:p>
    <w:p w14:paraId="7DD9D44A" w14:textId="77C125F0" w:rsidR="0078023A"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This paragraph must exist because it introduces the concept that is my project’s theoretical inroad: descriptive representation and what it should do in theory;</w:t>
      </w:r>
    </w:p>
    <w:p w14:paraId="7B94C9EA" w14:textId="65B9F16E"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Not talking about carceral citizens yet</w:t>
      </w:r>
    </w:p>
    <w:p w14:paraId="475941BE" w14:textId="20924FA8" w:rsidR="00F60858" w:rsidRDefault="00F60858" w:rsidP="00F60858">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Points to what we know about when/whether descriptive representation matters, status</w:t>
      </w:r>
    </w:p>
    <w:p w14:paraId="56037825" w14:textId="06CC1673" w:rsidR="0078023A" w:rsidRPr="00C43D8D" w:rsidRDefault="0078023A" w:rsidP="0078023A">
      <w:pPr>
        <w:spacing w:before="100" w:beforeAutospacing="1" w:after="100" w:afterAutospacing="1" w:line="240" w:lineRule="auto"/>
        <w:rPr>
          <w:rFonts w:ascii="Times New Roman" w:eastAsia="Times New Roman" w:hAnsi="Times New Roman" w:cs="Times New Roman"/>
          <w:kern w:val="0"/>
          <w:sz w:val="28"/>
          <w:szCs w:val="28"/>
          <w14:ligatures w14:val="none"/>
        </w:rPr>
      </w:pPr>
      <w:r w:rsidRPr="00C43D8D">
        <w:rPr>
          <w:rFonts w:ascii="Times New Roman" w:eastAsia="Times New Roman" w:hAnsi="Times New Roman" w:cs="Times New Roman"/>
          <w:b/>
          <w:bCs/>
          <w:kern w:val="0"/>
          <w:sz w:val="28"/>
          <w:szCs w:val="28"/>
          <w14:ligatures w14:val="none"/>
        </w:rPr>
        <w:t>Paragraph 3</w:t>
      </w:r>
      <w:r w:rsidRPr="00C43D8D">
        <w:rPr>
          <w:rFonts w:ascii="Times New Roman" w:eastAsia="Times New Roman" w:hAnsi="Times New Roman" w:cs="Times New Roman"/>
          <w:kern w:val="0"/>
          <w:sz w:val="28"/>
          <w:szCs w:val="28"/>
          <w14:ligatures w14:val="none"/>
        </w:rPr>
        <w:t xml:space="preserve"> – Empirical paragraph on descriptive representation</w:t>
      </w:r>
    </w:p>
    <w:p w14:paraId="51817894" w14:textId="10AE3390" w:rsidR="0078023A"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We know descriptive rep is associated with increased</w:t>
      </w:r>
    </w:p>
    <w:p w14:paraId="78AFC2D3" w14:textId="53CA6BBE" w:rsidR="00BD386E" w:rsidRDefault="00BD386E" w:rsidP="00BD386E">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A30F02">
        <w:rPr>
          <w:rFonts w:ascii="Times New Roman" w:eastAsia="Times New Roman" w:hAnsi="Times New Roman" w:cs="Times New Roman"/>
          <w:b/>
          <w:bCs/>
          <w:kern w:val="0"/>
          <w14:ligatures w14:val="none"/>
        </w:rPr>
        <w:t>T</w:t>
      </w:r>
      <w:r w:rsidRPr="00A30F02">
        <w:rPr>
          <w:rFonts w:ascii="Times New Roman" w:eastAsia="Times New Roman" w:hAnsi="Times New Roman" w:cs="Times New Roman"/>
          <w:b/>
          <w:bCs/>
          <w:kern w:val="0"/>
          <w14:ligatures w14:val="none"/>
        </w:rPr>
        <w:t>rust</w:t>
      </w:r>
      <w:r>
        <w:rPr>
          <w:rFonts w:ascii="Times New Roman" w:eastAsia="Times New Roman" w:hAnsi="Times New Roman" w:cs="Times New Roman"/>
          <w:kern w:val="0"/>
          <w14:ligatures w14:val="none"/>
        </w:rPr>
        <w:t xml:space="preserve"> between constituents and legislators</w:t>
      </w:r>
    </w:p>
    <w:p w14:paraId="38527B7F" w14:textId="4F5899F7" w:rsidR="00A30F02" w:rsidRDefault="00A30F02" w:rsidP="00BD386E">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sidRPr="00A73870">
        <w:rPr>
          <w:rFonts w:ascii="Times New Roman" w:hAnsi="Times New Roman"/>
        </w:rPr>
        <w:t>Black constituents consistently report feeling better represented – having a stronger say in government actions – when represented by Black legislators (Gleason and Stout 2014).</w:t>
      </w:r>
    </w:p>
    <w:p w14:paraId="01A5AF76" w14:textId="7E34529E" w:rsidR="00BD386E" w:rsidRDefault="00BD386E" w:rsidP="00BD386E">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Trust in political institutions (Clayton </w:t>
      </w:r>
      <w:r w:rsidR="007246DB">
        <w:rPr>
          <w:rFonts w:ascii="Times New Roman" w:eastAsia="Times New Roman" w:hAnsi="Times New Roman" w:cs="Times New Roman"/>
          <w:kern w:val="0"/>
          <w14:ligatures w14:val="none"/>
        </w:rPr>
        <w:t>– women)</w:t>
      </w:r>
    </w:p>
    <w:p w14:paraId="500C7268" w14:textId="11B60902" w:rsidR="007246DB" w:rsidRDefault="007246DB" w:rsidP="007246DB">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When more working class backgrounds in latin american countries, more trust in legislators </w:t>
      </w:r>
    </w:p>
    <w:p w14:paraId="4E060310" w14:textId="6AE86F7C" w:rsidR="00A30F02" w:rsidRDefault="00A30F02" w:rsidP="00A30F02">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Legislators discriminate based on constituent race (Butler &amp; Broockman)</w:t>
      </w:r>
    </w:p>
    <w:p w14:paraId="46E5CB29" w14:textId="6BC0783F" w:rsidR="00BD386E" w:rsidRDefault="00BD386E" w:rsidP="00BD386E">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w:t>
      </w:r>
      <w:r>
        <w:rPr>
          <w:rFonts w:ascii="Times New Roman" w:eastAsia="Times New Roman" w:hAnsi="Times New Roman" w:cs="Times New Roman"/>
          <w:kern w:val="0"/>
          <w14:ligatures w14:val="none"/>
        </w:rPr>
        <w:t xml:space="preserve">olitical </w:t>
      </w:r>
      <w:r w:rsidRPr="00A30F02">
        <w:rPr>
          <w:rFonts w:ascii="Times New Roman" w:eastAsia="Times New Roman" w:hAnsi="Times New Roman" w:cs="Times New Roman"/>
          <w:b/>
          <w:bCs/>
          <w:kern w:val="0"/>
          <w14:ligatures w14:val="none"/>
        </w:rPr>
        <w:t>participation</w:t>
      </w:r>
    </w:p>
    <w:p w14:paraId="18CB0BFF" w14:textId="4097E272" w:rsidR="00C43D8D" w:rsidRPr="00BD386E" w:rsidRDefault="00C43D8D" w:rsidP="00C43D8D">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hAnsi="Times New Roman"/>
        </w:rPr>
        <w:t>Black descriptive representation generates political empowerment and participation (Bobo and Gilliam 1990, Clark 2019).</w:t>
      </w:r>
    </w:p>
    <w:p w14:paraId="50E8F249" w14:textId="00B767C9" w:rsidR="0078023A" w:rsidRDefault="0078023A" w:rsidP="0078023A">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sidRPr="00A30F02">
        <w:rPr>
          <w:rFonts w:ascii="Times New Roman" w:eastAsia="Times New Roman" w:hAnsi="Times New Roman" w:cs="Times New Roman"/>
          <w:b/>
          <w:bCs/>
          <w:kern w:val="0"/>
          <w14:ligatures w14:val="none"/>
        </w:rPr>
        <w:t>Substantive</w:t>
      </w:r>
      <w:r>
        <w:rPr>
          <w:rFonts w:ascii="Times New Roman" w:eastAsia="Times New Roman" w:hAnsi="Times New Roman" w:cs="Times New Roman"/>
          <w:kern w:val="0"/>
          <w14:ligatures w14:val="none"/>
        </w:rPr>
        <w:t xml:space="preserve"> representation</w:t>
      </w:r>
      <w:r w:rsidR="00CE7C71">
        <w:rPr>
          <w:rFonts w:ascii="Times New Roman" w:eastAsia="Times New Roman" w:hAnsi="Times New Roman" w:cs="Times New Roman"/>
          <w:kern w:val="0"/>
          <w14:ligatures w14:val="none"/>
        </w:rPr>
        <w:t xml:space="preserve"> (preferences/interests, then policy action/behavior, then outcomes)</w:t>
      </w:r>
    </w:p>
    <w:p w14:paraId="7F38459B" w14:textId="3AAF5F2F" w:rsidR="00BD386E" w:rsidRDefault="00BD386E" w:rsidP="00BD386E">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As outcome</w:t>
      </w:r>
    </w:p>
    <w:p w14:paraId="76AFD194" w14:textId="77777777" w:rsidR="00803A77" w:rsidRDefault="00803A77" w:rsidP="00803A77">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w:t>
      </w:r>
      <w:r w:rsidR="00BA0102">
        <w:rPr>
          <w:rFonts w:ascii="Times New Roman" w:eastAsia="Times New Roman" w:hAnsi="Times New Roman" w:cs="Times New Roman"/>
          <w:kern w:val="0"/>
          <w14:ligatures w14:val="none"/>
        </w:rPr>
        <w:t xml:space="preserve">efined as in interests </w:t>
      </w:r>
    </w:p>
    <w:p w14:paraId="59E03C62" w14:textId="2040F2D0" w:rsidR="00803A77" w:rsidRDefault="00BA0102"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t>
      </w:r>
      <w:r w:rsidR="00803A77">
        <w:rPr>
          <w:rFonts w:ascii="Times New Roman" w:eastAsia="Times New Roman" w:hAnsi="Times New Roman" w:cs="Times New Roman"/>
          <w:kern w:val="0"/>
          <w14:ligatures w14:val="none"/>
        </w:rPr>
        <w:t xml:space="preserve">women - </w:t>
      </w:r>
      <w:r>
        <w:rPr>
          <w:rFonts w:ascii="Times New Roman" w:eastAsia="Times New Roman" w:hAnsi="Times New Roman" w:cs="Times New Roman"/>
          <w:kern w:val="0"/>
          <w14:ligatures w14:val="none"/>
        </w:rPr>
        <w:t>Clayton)</w:t>
      </w:r>
    </w:p>
    <w:p w14:paraId="48D9F81F" w14:textId="77777777" w:rsidR="00803A77" w:rsidRDefault="00803A77"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p>
    <w:p w14:paraId="101A86BE" w14:textId="77777777" w:rsidR="00803A77" w:rsidRDefault="00803A77" w:rsidP="00803A77">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Defined </w:t>
      </w:r>
      <w:r w:rsidR="00BA0102" w:rsidRPr="00803A77">
        <w:rPr>
          <w:rFonts w:ascii="Times New Roman" w:eastAsia="Times New Roman" w:hAnsi="Times New Roman" w:cs="Times New Roman"/>
          <w:kern w:val="0"/>
          <w14:ligatures w14:val="none"/>
        </w:rPr>
        <w:t xml:space="preserve">as preferences </w:t>
      </w:r>
    </w:p>
    <w:p w14:paraId="0F558482" w14:textId="0CA7D0A1" w:rsidR="00C43D8D" w:rsidRDefault="00C43D8D"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Race</w:t>
      </w:r>
    </w:p>
    <w:p w14:paraId="7F93942E" w14:textId="7956BB1F" w:rsidR="00BA0102" w:rsidRDefault="00BA0102"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sidRPr="00803A77">
        <w:rPr>
          <w:rFonts w:ascii="Times New Roman" w:eastAsia="Times New Roman" w:hAnsi="Times New Roman" w:cs="Times New Roman"/>
          <w:kern w:val="0"/>
          <w14:ligatures w14:val="none"/>
        </w:rPr>
        <w:lastRenderedPageBreak/>
        <w:t>(</w:t>
      </w:r>
      <w:r w:rsidR="00803A77">
        <w:rPr>
          <w:rFonts w:ascii="Times New Roman" w:eastAsia="Times New Roman" w:hAnsi="Times New Roman" w:cs="Times New Roman"/>
          <w:kern w:val="0"/>
          <w14:ligatures w14:val="none"/>
        </w:rPr>
        <w:t xml:space="preserve">women - </w:t>
      </w:r>
      <w:r w:rsidRPr="00803A77">
        <w:rPr>
          <w:rFonts w:ascii="Times New Roman" w:eastAsia="Times New Roman" w:hAnsi="Times New Roman" w:cs="Times New Roman"/>
          <w:kern w:val="0"/>
          <w14:ligatures w14:val="none"/>
        </w:rPr>
        <w:t>Clayton)</w:t>
      </w:r>
    </w:p>
    <w:p w14:paraId="50F80CB8" w14:textId="170034A7" w:rsidR="00803A77" w:rsidRDefault="00CE7C71" w:rsidP="00803A77">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whether “because of differences in self-interests (Meltzer &amp; Richard 1981), general ideology (Piketty 1995) or social networks (Keely &amp; Tan 2008, Manza &amp; Brooks 2008)” . . . “people who are more economically advantaged in society tend to be more supportive of rightist economic policy” (259-258 C&amp; L R). . . “politicians who are more personally conservative on economic issues are those from professional or white-color jobs in Ireland, Latin America, and the United States” (</w:t>
      </w:r>
      <w:r>
        <w:rPr>
          <w:rFonts w:ascii="Times New Roman" w:eastAsia="Times New Roman" w:hAnsi="Times New Roman" w:cs="Times New Roman"/>
          <w:kern w:val="0"/>
          <w14:ligatures w14:val="none"/>
        </w:rPr>
        <w:t>259-258 C&amp; L R).</w:t>
      </w:r>
      <w:r>
        <w:rPr>
          <w:rFonts w:ascii="Times New Roman" w:eastAsia="Times New Roman" w:hAnsi="Times New Roman" w:cs="Times New Roman"/>
          <w:kern w:val="0"/>
          <w14:ligatures w14:val="none"/>
        </w:rPr>
        <w:t>. ..  or from business backgrounds, or earn higher incomes</w:t>
      </w:r>
    </w:p>
    <w:p w14:paraId="1296A720" w14:textId="145658FA" w:rsidR="00CE7C71" w:rsidRPr="00803A77" w:rsidRDefault="00CE7C71" w:rsidP="00CE7C71">
      <w:pPr>
        <w:pStyle w:val="ListParagraph"/>
        <w:numPr>
          <w:ilvl w:val="5"/>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economically advantaged politicians tend to have views congruent with preferences of economically advantaged citizens, which cuts across education </w:t>
      </w:r>
    </w:p>
    <w:p w14:paraId="7BE82FA1" w14:textId="1B56FF82" w:rsidR="00BD386E" w:rsidRDefault="00BD386E" w:rsidP="00BD386E">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Particularly in moments of policy innovation, or an issue is in early stages of policy redress (Bratton &amp; Ray 2002, from Clayton)</w:t>
      </w:r>
    </w:p>
    <w:p w14:paraId="48601447" w14:textId="77777777" w:rsidR="00A30F02" w:rsidRDefault="00A30F02" w:rsidP="00A30F02">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Economically advantaged legislators may be better able to get their legislation passed </w:t>
      </w:r>
    </w:p>
    <w:p w14:paraId="3F1FF753" w14:textId="77777777" w:rsidR="00A30F02" w:rsidRDefault="00A30F02" w:rsidP="00BD386E">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p>
    <w:p w14:paraId="53A33E58" w14:textId="5AE4DAD7" w:rsidR="00BD386E" w:rsidRDefault="00BD386E" w:rsidP="00BD386E">
      <w:pPr>
        <w:pStyle w:val="ListParagraph"/>
        <w:numPr>
          <w:ilvl w:val="2"/>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As process</w:t>
      </w:r>
    </w:p>
    <w:p w14:paraId="03416471" w14:textId="77777777" w:rsidR="00A30F02" w:rsidRDefault="00A30F02" w:rsidP="00A30F02">
      <w:pPr>
        <w:pStyle w:val="ListParagraph"/>
        <w:numPr>
          <w:ilvl w:val="4"/>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Race</w:t>
      </w:r>
    </w:p>
    <w:p w14:paraId="7EB701EA" w14:textId="00910DC8" w:rsidR="00A30F02" w:rsidRDefault="00A30F02" w:rsidP="00A30F02">
      <w:pPr>
        <w:pStyle w:val="ListParagraph"/>
        <w:numPr>
          <w:ilvl w:val="5"/>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Bills supported by civil rights groups more likely to receive committee markup when committees have more Black/Latino members</w:t>
      </w:r>
      <w:r>
        <w:rPr>
          <w:rFonts w:ascii="Times New Roman" w:eastAsia="Times New Roman" w:hAnsi="Times New Roman" w:cs="Times New Roman"/>
          <w:kern w:val="0"/>
          <w14:ligatures w14:val="none"/>
        </w:rPr>
        <w:t xml:space="preserve"> (Minta)</w:t>
      </w:r>
    </w:p>
    <w:p w14:paraId="08AB1125" w14:textId="5A7B2CB9" w:rsidR="00A30F02" w:rsidRDefault="00A30F02" w:rsidP="00A30F02">
      <w:pPr>
        <w:pStyle w:val="ListParagraph"/>
        <w:numPr>
          <w:ilvl w:val="5"/>
          <w:numId w:val="6"/>
        </w:numPr>
        <w:spacing w:before="100" w:beforeAutospacing="1" w:after="100" w:afterAutospacing="1" w:line="240" w:lineRule="auto"/>
        <w:rPr>
          <w:rFonts w:ascii="Times New Roman" w:eastAsia="Times New Roman" w:hAnsi="Times New Roman" w:cs="Times New Roman"/>
          <w:kern w:val="0"/>
          <w14:ligatures w14:val="none"/>
        </w:rPr>
      </w:pPr>
    </w:p>
    <w:p w14:paraId="5B2A5D12" w14:textId="77777777" w:rsidR="00A30F02" w:rsidRDefault="00A30F02" w:rsidP="007246DB">
      <w:pPr>
        <w:pStyle w:val="ListParagraph"/>
        <w:numPr>
          <w:ilvl w:val="3"/>
          <w:numId w:val="6"/>
        </w:numPr>
        <w:spacing w:before="100" w:beforeAutospacing="1" w:after="100" w:afterAutospacing="1" w:line="240" w:lineRule="auto"/>
        <w:rPr>
          <w:rFonts w:ascii="Times New Roman" w:eastAsia="Times New Roman" w:hAnsi="Times New Roman" w:cs="Times New Roman"/>
          <w:kern w:val="0"/>
          <w14:ligatures w14:val="none"/>
        </w:rPr>
      </w:pPr>
    </w:p>
    <w:p w14:paraId="2A280C87" w14:textId="48CEB09B" w:rsidR="0078023A"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These associations motivate scholarly and institutional interest</w:t>
      </w:r>
    </w:p>
    <w:p w14:paraId="6743961C" w14:textId="087671B9" w:rsidR="0078023A"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Moreover, some countries even enshrine descriptive representation in law or constitutions</w:t>
      </w:r>
    </w:p>
    <w:p w14:paraId="609D0579" w14:textId="52C47479" w:rsidR="0078023A" w:rsidRDefault="0078023A"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Literature to engage: Amanda </w:t>
      </w:r>
      <w:r w:rsidR="00F60858">
        <w:rPr>
          <w:rFonts w:ascii="Times New Roman" w:eastAsia="Times New Roman" w:hAnsi="Times New Roman" w:cs="Times New Roman"/>
          <w:kern w:val="0"/>
          <w14:ligatures w14:val="none"/>
        </w:rPr>
        <w:t xml:space="preserve">Clayton </w:t>
      </w:r>
    </w:p>
    <w:p w14:paraId="1EF97926" w14:textId="3F68A4BD" w:rsidR="00F60858" w:rsidRDefault="00F60858" w:rsidP="00F60858">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(maybe) Carnes &amp; Lupu</w:t>
      </w:r>
    </w:p>
    <w:p w14:paraId="1798BA9E" w14:textId="34CBFCE6" w:rsidR="00F60858" w:rsidRDefault="00F60858" w:rsidP="00F60858">
      <w:pPr>
        <w:pStyle w:val="ListParagraph"/>
        <w:numPr>
          <w:ilvl w:val="1"/>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(maybe) Nadia Brown</w:t>
      </w:r>
    </w:p>
    <w:p w14:paraId="1F4D144A" w14:textId="0BB6F160" w:rsidR="00F60858" w:rsidRDefault="00F60858" w:rsidP="00F60858">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paragraph must exist because it’s introducing what people have measured, building the scaffolding by adding </w:t>
      </w:r>
      <w:r w:rsidRPr="00F60858">
        <w:rPr>
          <w:rFonts w:ascii="Times New Roman" w:eastAsia="Times New Roman" w:hAnsi="Times New Roman" w:cs="Times New Roman"/>
          <w:kern w:val="0"/>
          <w:u w:val="single"/>
          <w14:ligatures w14:val="none"/>
        </w:rPr>
        <w:t>reasons</w:t>
      </w:r>
      <w:r>
        <w:rPr>
          <w:rFonts w:ascii="Times New Roman" w:eastAsia="Times New Roman" w:hAnsi="Times New Roman" w:cs="Times New Roman"/>
          <w:kern w:val="0"/>
          <w14:ligatures w14:val="none"/>
        </w:rPr>
        <w:t xml:space="preserve"> </w:t>
      </w:r>
      <w:r w:rsidRPr="00F60858">
        <w:rPr>
          <w:rFonts w:ascii="Times New Roman" w:eastAsia="Times New Roman" w:hAnsi="Times New Roman" w:cs="Times New Roman"/>
          <w:kern w:val="0"/>
          <w14:ligatures w14:val="none"/>
        </w:rPr>
        <w:t>why</w:t>
      </w:r>
      <w:r>
        <w:rPr>
          <w:rFonts w:ascii="Times New Roman" w:eastAsia="Times New Roman" w:hAnsi="Times New Roman" w:cs="Times New Roman"/>
          <w:kern w:val="0"/>
          <w14:ligatures w14:val="none"/>
        </w:rPr>
        <w:t xml:space="preserve"> descriptive representation is known to matter, and bread crumbs for later expectations about CC’s as special case and likely under-representated</w:t>
      </w:r>
    </w:p>
    <w:p w14:paraId="326EF746" w14:textId="02519A51" w:rsidR="0078023A" w:rsidRDefault="00F60858" w:rsidP="0078023A">
      <w:pPr>
        <w:pStyle w:val="ListParagraph"/>
        <w:numPr>
          <w:ilvl w:val="0"/>
          <w:numId w:val="6"/>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points to the “special cases” paragraph – which highlights exactly when/for whom descriptive representation is especially important. </w:t>
      </w:r>
    </w:p>
    <w:p w14:paraId="1869E6DB" w14:textId="77777777" w:rsidR="00662EFC" w:rsidRDefault="00662EFC" w:rsidP="00C43D8D">
      <w:pPr>
        <w:spacing w:before="100" w:beforeAutospacing="1" w:after="100" w:afterAutospacing="1" w:line="240" w:lineRule="auto"/>
        <w:rPr>
          <w:rFonts w:ascii="Times New Roman" w:eastAsia="Times New Roman" w:hAnsi="Times New Roman" w:cs="Times New Roman"/>
          <w:kern w:val="0"/>
          <w14:ligatures w14:val="none"/>
        </w:rPr>
      </w:pPr>
    </w:p>
    <w:p w14:paraId="4589A333" w14:textId="77777777" w:rsidR="00C43D8D" w:rsidRDefault="00C43D8D" w:rsidP="00C43D8D">
      <w:pPr>
        <w:spacing w:line="360" w:lineRule="auto"/>
        <w:rPr>
          <w:rFonts w:ascii="Times New Roman" w:hAnsi="Times New Roman"/>
        </w:rPr>
      </w:pPr>
      <w:r>
        <w:rPr>
          <w:rFonts w:ascii="Times New Roman" w:hAnsi="Times New Roman"/>
        </w:rPr>
        <w:t xml:space="preserve">While Black and minority descriptive representation has made gains since </w:t>
      </w:r>
      <w:r w:rsidRPr="00953873">
        <w:rPr>
          <w:rFonts w:ascii="Times New Roman" w:hAnsi="Times New Roman"/>
        </w:rPr>
        <w:t>the passage of the VRA</w:t>
      </w:r>
      <w:r>
        <w:rPr>
          <w:rFonts w:ascii="Times New Roman" w:hAnsi="Times New Roman"/>
        </w:rPr>
        <w:t>, Congress and legislatures fall of proportional representation</w:t>
      </w:r>
      <w:r w:rsidRPr="00953873">
        <w:rPr>
          <w:rFonts w:ascii="Times New Roman" w:hAnsi="Times New Roman"/>
        </w:rPr>
        <w:t xml:space="preserve"> (McClain and Carew</w:t>
      </w:r>
      <w:r>
        <w:rPr>
          <w:rFonts w:ascii="Times New Roman" w:hAnsi="Times New Roman"/>
        </w:rPr>
        <w:t xml:space="preserve"> </w:t>
      </w:r>
      <w:r w:rsidRPr="00953873">
        <w:rPr>
          <w:rFonts w:ascii="Times New Roman" w:hAnsi="Times New Roman"/>
        </w:rPr>
        <w:t>2017</w:t>
      </w:r>
      <w:r>
        <w:rPr>
          <w:rFonts w:ascii="Times New Roman" w:hAnsi="Times New Roman"/>
        </w:rPr>
        <w:t>, Pew 2023</w:t>
      </w:r>
      <w:r w:rsidRPr="00953873">
        <w:rPr>
          <w:rFonts w:ascii="Times New Roman" w:hAnsi="Times New Roman"/>
        </w:rPr>
        <w:t>)</w:t>
      </w:r>
      <w:r>
        <w:rPr>
          <w:rFonts w:ascii="Times New Roman" w:hAnsi="Times New Roman"/>
        </w:rPr>
        <w:t>. On aggregate, s</w:t>
      </w:r>
      <w:r w:rsidRPr="00953873">
        <w:rPr>
          <w:rFonts w:ascii="Times New Roman" w:hAnsi="Times New Roman"/>
        </w:rPr>
        <w:t xml:space="preserve">tate legislatures </w:t>
      </w:r>
      <w:r>
        <w:rPr>
          <w:rFonts w:ascii="Times New Roman" w:hAnsi="Times New Roman"/>
        </w:rPr>
        <w:t xml:space="preserve">continue to dramatically under </w:t>
      </w:r>
      <w:r w:rsidRPr="00953873">
        <w:rPr>
          <w:rFonts w:ascii="Times New Roman" w:hAnsi="Times New Roman"/>
        </w:rPr>
        <w:t>dramatically underrepresent the demographic groups most affected by incarceration</w:t>
      </w:r>
      <w:r>
        <w:rPr>
          <w:rFonts w:ascii="Times New Roman" w:hAnsi="Times New Roman"/>
        </w:rPr>
        <w:t xml:space="preserve"> – composed of only </w:t>
      </w:r>
      <w:r>
        <w:rPr>
          <w:rFonts w:ascii="Times New Roman" w:hAnsi="Times New Roman"/>
        </w:rPr>
        <w:lastRenderedPageBreak/>
        <w:t xml:space="preserve">10.55% Black and 6.34% Hispanic elected officials. </w:t>
      </w:r>
      <w:r w:rsidRPr="00A73870">
        <w:rPr>
          <w:rFonts w:ascii="Times New Roman" w:hAnsi="Times New Roman"/>
        </w:rPr>
        <w:t>These disparities likely extend to legislative leadership positions, though current comprehensive data is limited.</w:t>
      </w:r>
    </w:p>
    <w:p w14:paraId="4C46B13F" w14:textId="77777777" w:rsidR="00C43D8D" w:rsidRDefault="00C43D8D" w:rsidP="00C43D8D">
      <w:pPr>
        <w:spacing w:line="360" w:lineRule="auto"/>
        <w:rPr>
          <w:rFonts w:ascii="Times New Roman" w:hAnsi="Times New Roman"/>
        </w:rPr>
      </w:pPr>
    </w:p>
    <w:p w14:paraId="4F0A8FEF" w14:textId="77777777" w:rsidR="00C43D8D" w:rsidRDefault="00C43D8D" w:rsidP="00C43D8D">
      <w:pPr>
        <w:spacing w:line="360" w:lineRule="auto"/>
        <w:rPr>
          <w:rFonts w:ascii="Times New Roman" w:hAnsi="Times New Roman"/>
        </w:rPr>
      </w:pPr>
    </w:p>
    <w:p w14:paraId="634099B1" w14:textId="77777777" w:rsidR="00C43D8D" w:rsidRDefault="00C43D8D" w:rsidP="00C43D8D">
      <w:pPr>
        <w:spacing w:line="360" w:lineRule="auto"/>
        <w:rPr>
          <w:rFonts w:ascii="Times New Roman" w:hAnsi="Times New Roman"/>
        </w:rPr>
      </w:pPr>
      <w:r>
        <w:rPr>
          <w:rFonts w:ascii="Times New Roman" w:hAnsi="Times New Roman"/>
        </w:rPr>
        <w:t xml:space="preserve">Elected officials in congress and in the states are “almost always wealthier, more educated, and more likely to come from white-collar jobs than the citizens who elect them” (Carnes 2012). </w:t>
      </w:r>
      <w:r w:rsidRPr="00A73870">
        <w:rPr>
          <w:rFonts w:ascii="Times New Roman" w:hAnsi="Times New Roman"/>
        </w:rPr>
        <w:t>In Congress, less than 2 percent of the average representative's pre-congressional career was spent in working-class jobs, contrasting sharply with the over 50% working-class composition of the U.S. labor force (Carnes and Lupu 2015).</w:t>
      </w:r>
    </w:p>
    <w:p w14:paraId="2DD93378" w14:textId="77777777" w:rsidR="00C43D8D" w:rsidRDefault="00C43D8D" w:rsidP="00C43D8D">
      <w:pPr>
        <w:spacing w:line="360" w:lineRule="auto"/>
        <w:rPr>
          <w:rFonts w:ascii="Times New Roman" w:hAnsi="Times New Roman"/>
        </w:rPr>
      </w:pPr>
      <w:r>
        <w:rPr>
          <w:rFonts w:ascii="Times New Roman" w:hAnsi="Times New Roman"/>
        </w:rPr>
        <w:t xml:space="preserve">“Descriptive representation transforms democratic institutions,” Brown, Clark, Mahoney and Strawbridge write (2023). In their article, building on Brown’s work in particular, the authors show how that the election of Black women to congress has facilitated the crystallization of interests. </w:t>
      </w:r>
    </w:p>
    <w:p w14:paraId="6B7E9791" w14:textId="77777777" w:rsidR="00C43D8D" w:rsidRDefault="00C43D8D" w:rsidP="00C43D8D">
      <w:pPr>
        <w:spacing w:before="100" w:beforeAutospacing="1" w:after="100" w:afterAutospacing="1" w:line="240" w:lineRule="auto"/>
        <w:rPr>
          <w:rFonts w:ascii="Times New Roman" w:eastAsia="Times New Roman" w:hAnsi="Times New Roman" w:cs="Times New Roman"/>
          <w:kern w:val="0"/>
          <w14:ligatures w14:val="none"/>
        </w:rPr>
      </w:pPr>
    </w:p>
    <w:p w14:paraId="22E02F25" w14:textId="77777777" w:rsidR="00C43D8D" w:rsidRDefault="00C43D8D" w:rsidP="00C43D8D">
      <w:pPr>
        <w:spacing w:before="100" w:beforeAutospacing="1" w:after="100" w:afterAutospacing="1" w:line="240" w:lineRule="auto"/>
        <w:rPr>
          <w:rFonts w:ascii="Times New Roman" w:eastAsia="Times New Roman" w:hAnsi="Times New Roman" w:cs="Times New Roman"/>
          <w:kern w:val="0"/>
          <w14:ligatures w14:val="none"/>
        </w:rPr>
      </w:pPr>
    </w:p>
    <w:p w14:paraId="1BF5F375" w14:textId="77777777" w:rsidR="00C43D8D" w:rsidRPr="00662EFC" w:rsidRDefault="00C43D8D" w:rsidP="00C43D8D">
      <w:pPr>
        <w:spacing w:before="100" w:beforeAutospacing="1" w:after="100" w:afterAutospacing="1" w:line="240" w:lineRule="auto"/>
        <w:rPr>
          <w:rFonts w:ascii="Times New Roman" w:eastAsia="Times New Roman" w:hAnsi="Times New Roman" w:cs="Times New Roman"/>
          <w:kern w:val="0"/>
          <w14:ligatures w14:val="none"/>
        </w:rPr>
      </w:pPr>
    </w:p>
    <w:p w14:paraId="7726A00F" w14:textId="1096BE51" w:rsid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BD386E">
        <w:rPr>
          <w:rFonts w:ascii="Times New Roman" w:eastAsia="Times New Roman" w:hAnsi="Times New Roman" w:cs="Times New Roman"/>
          <w:b/>
          <w:bCs/>
          <w:kern w:val="0"/>
          <w14:ligatures w14:val="none"/>
        </w:rPr>
        <w:t>Paragraph 4</w:t>
      </w:r>
      <w:r>
        <w:rPr>
          <w:rFonts w:ascii="Times New Roman" w:eastAsia="Times New Roman" w:hAnsi="Times New Roman" w:cs="Times New Roman"/>
          <w:kern w:val="0"/>
          <w14:ligatures w14:val="none"/>
        </w:rPr>
        <w:t xml:space="preserve"> – not every</w:t>
      </w:r>
      <w:r w:rsidR="00F60858">
        <w:rPr>
          <w:rFonts w:ascii="Times New Roman" w:eastAsia="Times New Roman" w:hAnsi="Times New Roman" w:cs="Times New Roman"/>
          <w:kern w:val="0"/>
          <w14:ligatures w14:val="none"/>
        </w:rPr>
        <w:t xml:space="preserve"> group needs descriptive representation, but some especially do </w:t>
      </w:r>
    </w:p>
    <w:p w14:paraId="66797F6F" w14:textId="77777777" w:rsidR="00F60858"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Defend subgroup cases</w:t>
      </w:r>
      <w:r w:rsidR="00F60858">
        <w:rPr>
          <w:rFonts w:ascii="Times New Roman" w:eastAsia="Times New Roman" w:hAnsi="Times New Roman" w:cs="Times New Roman"/>
          <w:kern w:val="0"/>
          <w14:ligatures w14:val="none"/>
        </w:rPr>
        <w:t xml:space="preserve"> – tho not normatively required for all groups…</w:t>
      </w:r>
    </w:p>
    <w:p w14:paraId="52FD5E53" w14:textId="1FA8447F" w:rsidR="0078023A"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i/>
          <w:iCs/>
          <w:kern w:val="0"/>
          <w14:ligatures w14:val="none"/>
        </w:rPr>
        <w:t>Define</w:t>
      </w:r>
      <w:r>
        <w:rPr>
          <w:rFonts w:ascii="Times New Roman" w:eastAsia="Times New Roman" w:hAnsi="Times New Roman" w:cs="Times New Roman"/>
          <w:kern w:val="0"/>
          <w14:ligatures w14:val="none"/>
        </w:rPr>
        <w:t xml:space="preserve"> subgroup cases:</w:t>
      </w:r>
    </w:p>
    <w:p w14:paraId="61558D01" w14:textId="77777777" w:rsidR="00D25FD2" w:rsidRDefault="00D25FD2"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Mansbridge: </w:t>
      </w:r>
    </w:p>
    <w:p w14:paraId="11B4DAF3" w14:textId="36699D3E" w:rsidR="00D25FD2"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1. Contexts of communicative distrust between dominant and subordinate groups, as shared experience can facilitate communication between reprsentatives and constituents</w:t>
      </w:r>
    </w:p>
    <w:p w14:paraId="1CE79FD2" w14:textId="3D5809B1" w:rsidR="00D25FD2"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History of dominance can breed inattention from dominant group, and distrust from subordinate group, so non-descriptive representation might not allow for effective surrogacy</w:t>
      </w:r>
    </w:p>
    <w:p w14:paraId="2F2DB5B8" w14:textId="4A559865" w:rsidR="00D25FD2"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2. Context of uncrystallized interests – issues are new to political agenda and parties haven’t organized around them, candidates haven’t taken pubic opinions – horizontal communication amongst legislators (process) </w:t>
      </w:r>
    </w:p>
    <w:p w14:paraId="13900687" w14:textId="21C55AAC" w:rsidR="00D25FD2"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3. Context where group’s “ability to rule” has been historically questioned – legal exclusion from voting/governing means the absence of group members from governing bodies reinforces the message that such persons are unfit to rule; </w:t>
      </w:r>
    </w:p>
    <w:p w14:paraId="0E392F01" w14:textId="660A7BFD" w:rsidR="00D25FD2"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Proportional presence disrupts that meaning – Mansbridge argues this matters more for changing the psychology of dominant groups than for providing role models to subordinate groups (culture, process) </w:t>
      </w:r>
    </w:p>
    <w:p w14:paraId="2AE8841F" w14:textId="3843CB70" w:rsidR="00D25FD2"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4. Context of low defacto legitimacy – seeing members of one’s group governing enhances the empirical legitimacy of the polity itself; feelings of inclusion, sense one’s voice was present in deliberation, even when one side didn’t prevail </w:t>
      </w:r>
    </w:p>
    <w:p w14:paraId="0613975F" w14:textId="19D8F900" w:rsidR="00D25FD2"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Specifically names/cases:</w:t>
      </w:r>
    </w:p>
    <w:p w14:paraId="7DEC5AE4" w14:textId="7F4DDFE6" w:rsidR="00D25FD2"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Black Americans</w:t>
      </w:r>
    </w:p>
    <w:p w14:paraId="5B4085FB" w14:textId="46E386E2" w:rsidR="00D25FD2"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Women</w:t>
      </w:r>
    </w:p>
    <w:p w14:paraId="08FC482C" w14:textId="053241E1" w:rsidR="00D25FD2"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Notes these groups differ in important ways (communicative distrust between black and white americans appears deeper than between men and women </w:t>
      </w:r>
    </w:p>
    <w:p w14:paraId="0B012645" w14:textId="30E75216" w:rsidR="00D25FD2" w:rsidRDefault="00D25FD2" w:rsidP="00D25FD2">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Gay showed Black constituents more likely to contact Black representatives, Haynes found no parallel gender effect</w:t>
      </w:r>
    </w:p>
    <w:p w14:paraId="30CB6EE3" w14:textId="69B04F60" w:rsidR="00D25FD2"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Gay men &amp; Lesbians</w:t>
      </w:r>
    </w:p>
    <w:p w14:paraId="16234C3E" w14:textId="4A236800" w:rsidR="00D25FD2" w:rsidRDefault="00D25FD2" w:rsidP="00D25FD2">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Criteria:</w:t>
      </w:r>
    </w:p>
    <w:p w14:paraId="476C14BF" w14:textId="2C810215" w:rsidR="00D25FD2"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Proportionally underrepresented relative to population share</w:t>
      </w:r>
    </w:p>
    <w:p w14:paraId="7B3CDCE7" w14:textId="702B1D83" w:rsidR="00D25FD2"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Whose members consider themselves to be unable to be adequately represented by others</w:t>
      </w:r>
    </w:p>
    <w:p w14:paraId="54659F91" w14:textId="590F45EB" w:rsidR="00D25FD2"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Where evidence that dominant groups have historically made it difficult or illegal for the group to represent itself</w:t>
      </w:r>
    </w:p>
    <w:p w14:paraId="4E6C275B" w14:textId="36EB5CE1" w:rsidR="00D25FD2" w:rsidRDefault="00D25FD2" w:rsidP="00D25FD2">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*history of legal exclusion from the vote a strong indicator </w:t>
      </w:r>
    </w:p>
    <w:p w14:paraId="6A6B1CA1" w14:textId="03604780" w:rsidR="00042A1E" w:rsidRDefault="00042A1E" w:rsidP="00D25FD2">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Pottle</w:t>
      </w:r>
    </w:p>
    <w:p w14:paraId="651025EA" w14:textId="56674B42" w:rsidR="00042A1E" w:rsidRDefault="00042A1E" w:rsidP="00042A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Mansbridge’s communicative distrust is described as a symptom of historical dominance and subordination (distrust impairs virtical communication between representatives and constituents, and that shared experience can bridge that gap) – but she doesn’t fully theorize why the distrust persists structurally beyond pointing to historical legacies. </w:t>
      </w:r>
    </w:p>
    <w:p w14:paraId="63E9AD95" w14:textId="68DCA2DD" w:rsidR="00042A1E" w:rsidRDefault="00042A1E" w:rsidP="00042A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“Testimonial injustice” may be illustrative here: </w:t>
      </w:r>
    </w:p>
    <w:p w14:paraId="49DD73C6" w14:textId="39A7E6C1" w:rsidR="0017581E"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Not only are the communicative breakdowns Mansbridge identifies residue of historical wrongs that shared experience can overcome, but the breakdown is actively reproduced through electoral incentives that construct certain groups as uncredible. </w:t>
      </w:r>
    </w:p>
    <w:p w14:paraId="012C1E95" w14:textId="2D503AAA" w:rsidR="0017581E"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The infrastructure that constitutes legislative responsiveness (constituent mail, meeting access, staff gatekeeping_ grant epistemic authority to strategically valuable constituencies.</w:t>
      </w:r>
    </w:p>
    <w:p w14:paraId="3979FB10" w14:textId="54209785" w:rsidR="0017581E"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Mansbridge’s “circumvent the strong varriers to communication between dominant and subordinate groups” raises question of what happens when representative herself faces electoral incentives to maintain those barriers</w:t>
      </w:r>
    </w:p>
    <w:p w14:paraId="1B4C953B" w14:textId="6F144725" w:rsidR="0017581E"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Distrust is structurally incentiviezed</w:t>
      </w:r>
    </w:p>
    <w:p w14:paraId="565CD1D5" w14:textId="5EF3874B" w:rsidR="0017581E"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17581E">
        <w:rPr>
          <w:rFonts w:ascii="Times New Roman" w:eastAsia="Times New Roman" w:hAnsi="Times New Roman" w:cs="Times New Roman"/>
          <w:kern w:val="0"/>
          <w14:ligatures w14:val="none"/>
        </w:rPr>
        <w:sym w:font="Wingdings" w:char="F0E0"/>
      </w:r>
      <w:r>
        <w:rPr>
          <w:rFonts w:ascii="Times New Roman" w:eastAsia="Times New Roman" w:hAnsi="Times New Roman" w:cs="Times New Roman"/>
          <w:kern w:val="0"/>
          <w14:ligatures w14:val="none"/>
        </w:rPr>
        <w:t xml:space="preserve"> can’t just argue that putting people with carceral experience in office would automatically solve the communicative problem, </w:t>
      </w:r>
      <w:r>
        <w:rPr>
          <w:rFonts w:ascii="Times New Roman" w:eastAsia="Times New Roman" w:hAnsi="Times New Roman" w:cs="Times New Roman"/>
          <w:kern w:val="0"/>
          <w14:ligatures w14:val="none"/>
        </w:rPr>
        <w:lastRenderedPageBreak/>
        <w:t>rather, you’d need to account for the electoral structures that pressure even descriptive representatives to distance themselves from stigmatized communities</w:t>
      </w:r>
    </w:p>
    <w:p w14:paraId="1A08C160" w14:textId="6E784580" w:rsidR="0017581E" w:rsidRDefault="0017581E" w:rsidP="001758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“Hermeneutic Injustice” too (vis-à-vis structural production of “uncrystallized” interests)</w:t>
      </w:r>
    </w:p>
    <w:p w14:paraId="3DE95B20" w14:textId="02056E81" w:rsidR="0017581E"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Where Mansbridge treats uncrystallized interests as a kind of natural feature of the political landscape – some issues just haven’t made it onto the agenda yet, parties haven’t organized around them, and descriptive representatives are uniquely posititioned to navigate them as they emerge. </w:t>
      </w:r>
    </w:p>
    <w:p w14:paraId="63576AE8" w14:textId="53354A1D" w:rsidR="0017581E"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Examples suggest relatively benign process of political development where issues simply haven’t yet been articulated.</w:t>
      </w:r>
    </w:p>
    <w:p w14:paraId="60EED0A8" w14:textId="11550C0D" w:rsidR="0017581E"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sidRPr="0017581E">
        <w:rPr>
          <w:rFonts w:ascii="Times New Roman" w:eastAsia="Times New Roman" w:hAnsi="Times New Roman" w:cs="Times New Roman"/>
          <w:kern w:val="0"/>
          <w14:ligatures w14:val="none"/>
        </w:rPr>
        <w:sym w:font="Wingdings" w:char="F0E0"/>
      </w:r>
      <w:r>
        <w:rPr>
          <w:rFonts w:ascii="Times New Roman" w:eastAsia="Times New Roman" w:hAnsi="Times New Roman" w:cs="Times New Roman"/>
          <w:kern w:val="0"/>
          <w14:ligatures w14:val="none"/>
        </w:rPr>
        <w:t xml:space="preserve"> Pottle refames:</w:t>
      </w:r>
    </w:p>
    <w:p w14:paraId="74C17ACD" w14:textId="51381126" w:rsidR="0017581E"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“uncrystallized” – appearing interests are not genuinely new but rather the hermeneutic resources needed to articulate them have been systematically excluded from mainstream political vocabulary – “a mainstream” that’s defined by the epistemic preferences of advantaged constituencies. </w:t>
      </w:r>
    </w:p>
    <w:p w14:paraId="09728AFD" w14:textId="27C33DCB" w:rsidR="0017581E"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Interests of people impacted by incarceration aren’t uncrystalied in sense that nobodys’ thought about them. </w:t>
      </w:r>
    </w:p>
    <w:p w14:paraId="458A00DF" w14:textId="792F6089" w:rsidR="0017581E"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Communities have rich, internally developed understandings of the state (WEAVER P&amp;P) – they’ve articulated theories of the state, have political knowledge, but its not granted standing in elite discourse. </w:t>
      </w:r>
    </w:p>
    <w:p w14:paraId="31BE7EB8" w14:textId="4355F456" w:rsidR="0017581E"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They appear uncrystallized because the resonance imperative means legislators have no incentive to adopt or legitimate the vocabularies through which those experiences are understood. </w:t>
      </w:r>
    </w:p>
    <w:p w14:paraId="4F18365D" w14:textId="77777777" w:rsidR="00C4102C" w:rsidRPr="00C4102C" w:rsidRDefault="00C4102C" w:rsidP="00C4102C">
      <w:pPr>
        <w:pStyle w:val="ListParagraph"/>
        <w:numPr>
          <w:ilvl w:val="2"/>
          <w:numId w:val="5"/>
        </w:numPr>
        <w:rPr>
          <w:rFonts w:ascii="Times New Roman" w:eastAsia="Times New Roman" w:hAnsi="Times New Roman" w:cs="Times New Roman"/>
          <w:kern w:val="0"/>
          <w14:ligatures w14:val="none"/>
        </w:rPr>
      </w:pPr>
      <w:r w:rsidRPr="00C4102C">
        <w:rPr>
          <w:rFonts w:ascii="Times New Roman" w:eastAsia="Times New Roman" w:hAnsi="Times New Roman" w:cs="Times New Roman"/>
          <w:kern w:val="0"/>
          <w14:ligatures w14:val="none"/>
        </w:rPr>
        <w:t xml:space="preserve">Mansbridge's third and fourth contexts — constructing social meaning around "ability to rule" and enhancing de facto legitimacy — are fundamentally about </w:t>
      </w:r>
      <w:r w:rsidRPr="00C4102C">
        <w:rPr>
          <w:rFonts w:ascii="Times New Roman" w:eastAsia="Times New Roman" w:hAnsi="Times New Roman" w:cs="Times New Roman"/>
          <w:i/>
          <w:iCs/>
          <w:kern w:val="0"/>
          <w14:ligatures w14:val="none"/>
        </w:rPr>
        <w:t>who is perceived as a legitimate political actor</w:t>
      </w:r>
      <w:r w:rsidRPr="00C4102C">
        <w:rPr>
          <w:rFonts w:ascii="Times New Roman" w:eastAsia="Times New Roman" w:hAnsi="Times New Roman" w:cs="Times New Roman"/>
          <w:kern w:val="0"/>
          <w14:ligatures w14:val="none"/>
        </w:rPr>
        <w:t>. She argues these are goods in their own right, beyond substantive representation.</w:t>
      </w:r>
    </w:p>
    <w:p w14:paraId="6EEA6599" w14:textId="77777777" w:rsidR="00C4102C" w:rsidRPr="00C4102C" w:rsidRDefault="00C4102C" w:rsidP="00C4102C">
      <w:pPr>
        <w:pStyle w:val="ListParagraph"/>
        <w:numPr>
          <w:ilvl w:val="2"/>
          <w:numId w:val="5"/>
        </w:numPr>
        <w:rPr>
          <w:rFonts w:ascii="Times New Roman" w:eastAsia="Times New Roman" w:hAnsi="Times New Roman" w:cs="Times New Roman"/>
          <w:kern w:val="0"/>
          <w14:ligatures w14:val="none"/>
        </w:rPr>
      </w:pPr>
      <w:r w:rsidRPr="00C4102C">
        <w:rPr>
          <w:rFonts w:ascii="Times New Roman" w:eastAsia="Times New Roman" w:hAnsi="Times New Roman" w:cs="Times New Roman"/>
          <w:kern w:val="0"/>
          <w14:ligatures w14:val="none"/>
        </w:rPr>
        <w:t xml:space="preserve">Pottle extends this by suggesting that the question isn't just whether a group is seen as </w:t>
      </w:r>
      <w:r w:rsidRPr="00C4102C">
        <w:rPr>
          <w:rFonts w:ascii="Times New Roman" w:eastAsia="Times New Roman" w:hAnsi="Times New Roman" w:cs="Times New Roman"/>
          <w:i/>
          <w:iCs/>
          <w:kern w:val="0"/>
          <w14:ligatures w14:val="none"/>
        </w:rPr>
        <w:t>able to rule</w:t>
      </w:r>
      <w:r w:rsidRPr="00C4102C">
        <w:rPr>
          <w:rFonts w:ascii="Times New Roman" w:eastAsia="Times New Roman" w:hAnsi="Times New Roman" w:cs="Times New Roman"/>
          <w:kern w:val="0"/>
          <w14:ligatures w14:val="none"/>
        </w:rPr>
        <w:t xml:space="preserve"> but whether it's seen as </w:t>
      </w:r>
      <w:r w:rsidRPr="00C4102C">
        <w:rPr>
          <w:rFonts w:ascii="Times New Roman" w:eastAsia="Times New Roman" w:hAnsi="Times New Roman" w:cs="Times New Roman"/>
          <w:i/>
          <w:iCs/>
          <w:kern w:val="0"/>
          <w14:ligatures w14:val="none"/>
        </w:rPr>
        <w:t>able to know</w:t>
      </w:r>
      <w:r w:rsidRPr="00C4102C">
        <w:rPr>
          <w:rFonts w:ascii="Times New Roman" w:eastAsia="Times New Roman" w:hAnsi="Times New Roman" w:cs="Times New Roman"/>
          <w:kern w:val="0"/>
          <w14:ligatures w14:val="none"/>
        </w:rPr>
        <w:t xml:space="preserve"> — whether its members' experiences count as politically relevant knowledge. Hermeneutic and testimonial injustice don't just exclude groups from governing; they exclude groups from the epistemic community whose understandings shape policy. This is a deeper form of the "second-class citizenship" Mansbridge describes, because it means that even when members of the group are physically present in deliberative spaces, their experiential knowledge may not be granted epistemic standing.</w:t>
      </w:r>
    </w:p>
    <w:p w14:paraId="2F0D8F19" w14:textId="77777777" w:rsidR="00C4102C" w:rsidRDefault="00C4102C" w:rsidP="001758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p>
    <w:p w14:paraId="22385569" w14:textId="2373DDB8" w:rsidR="0017581E" w:rsidRDefault="0017581E" w:rsidP="0017581E">
      <w:pPr>
        <w:pStyle w:val="ListParagraph"/>
        <w:numPr>
          <w:ilvl w:val="2"/>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POINT</w:t>
      </w:r>
    </w:p>
    <w:p w14:paraId="01069E43" w14:textId="518B4220" w:rsidR="0017581E" w:rsidRDefault="0017581E" w:rsidP="0017581E">
      <w:pPr>
        <w:pStyle w:val="ListParagraph"/>
        <w:numPr>
          <w:ilvl w:val="3"/>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Shift the normative stakes. </w:t>
      </w:r>
    </w:p>
    <w:p w14:paraId="26E7BDEF" w14:textId="0ADC66AB" w:rsidR="0017581E"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If interests were just uncrystallized, descriptive representation is instrumentally useful – it brings new information into deliberation. </w:t>
      </w:r>
    </w:p>
    <w:p w14:paraId="03DDF82D" w14:textId="0639CC70" w:rsidR="0017581E"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If interests are hermeutically suppressed, then absence of descriptive representation isn’t just an informational loss but an active form of epistemic exclusion that reproduces the conditions of its own perpetuation. </w:t>
      </w:r>
    </w:p>
    <w:p w14:paraId="18E64CA8" w14:textId="77777777" w:rsidR="0017581E" w:rsidRDefault="0017581E" w:rsidP="0017581E">
      <w:pPr>
        <w:pStyle w:val="ListParagraph"/>
        <w:numPr>
          <w:ilvl w:val="4"/>
          <w:numId w:val="5"/>
        </w:numPr>
        <w:spacing w:before="100" w:beforeAutospacing="1" w:after="100" w:afterAutospacing="1" w:line="240" w:lineRule="auto"/>
        <w:rPr>
          <w:rFonts w:ascii="Times New Roman" w:eastAsia="Times New Roman" w:hAnsi="Times New Roman" w:cs="Times New Roman"/>
          <w:kern w:val="0"/>
          <w14:ligatures w14:val="none"/>
        </w:rPr>
      </w:pPr>
    </w:p>
    <w:p w14:paraId="4150915E" w14:textId="6FB76A04" w:rsidR="00F60858" w:rsidRDefault="00F60858" w:rsidP="00D25FD2">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Systematic exclusion</w:t>
      </w:r>
    </w:p>
    <w:p w14:paraId="1BD2B28E" w14:textId="0BAE3B5E"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(ability to represent selves? Inability to represent selves? Mansfield likely relevant here)</w:t>
      </w:r>
    </w:p>
    <w:p w14:paraId="794B4094" w14:textId="659B09FB"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Distinct interests or perspectives not otherwise incorporated</w:t>
      </w:r>
    </w:p>
    <w:p w14:paraId="133DD677" w14:textId="2182E8F5"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May be excluded from standard channels of voice</w:t>
      </w:r>
    </w:p>
    <w:p w14:paraId="690742DF" w14:textId="53DA72E5"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May hold distinct views or experiences</w:t>
      </w:r>
    </w:p>
    <w:p w14:paraId="2A08D9FF" w14:textId="73DA1DF3"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May face barriers to self-representation</w:t>
      </w:r>
    </w:p>
    <w:p w14:paraId="7064BF6E" w14:textId="05DCBE40"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(gender, race, class arguments) </w:t>
      </w:r>
    </w:p>
    <w:p w14:paraId="275502F2" w14:textId="3287A816" w:rsidR="00BD386E" w:rsidRPr="00F60858" w:rsidRDefault="00BD386E"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In these cases, inclusion is often framed as a matter of representative justice (Dahlerup 2007, Phillips 1995) </w:t>
      </w:r>
    </w:p>
    <w:p w14:paraId="44E9049D" w14:textId="2CE9255D" w:rsidR="00F6085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Literature: Mansfield, Clayton</w:t>
      </w:r>
      <w:r w:rsidR="00581F38">
        <w:rPr>
          <w:rFonts w:ascii="Times New Roman" w:eastAsia="Times New Roman" w:hAnsi="Times New Roman" w:cs="Times New Roman"/>
          <w:kern w:val="0"/>
          <w14:ligatures w14:val="none"/>
        </w:rPr>
        <w:t>, Carnes &amp; Lupu</w:t>
      </w:r>
    </w:p>
    <w:p w14:paraId="2310D642" w14:textId="4D54BE3D" w:rsidR="00F60858" w:rsidRDefault="00F60858" w:rsidP="00F60858">
      <w:pPr>
        <w:pStyle w:val="ListParagraph"/>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Potentially pottle </w:t>
      </w:r>
    </w:p>
    <w:p w14:paraId="17743273" w14:textId="35E01A52" w:rsidR="0078023A"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This must exist to create theoretical scaffolding to later propose that carceral constituencies/impacted groups may be a case for whom descriptive representation is </w:t>
      </w:r>
      <w:r>
        <w:rPr>
          <w:rFonts w:ascii="Times New Roman" w:eastAsia="Times New Roman" w:hAnsi="Times New Roman" w:cs="Times New Roman"/>
          <w:i/>
          <w:iCs/>
          <w:kern w:val="0"/>
          <w14:ligatures w14:val="none"/>
        </w:rPr>
        <w:t xml:space="preserve">especially </w:t>
      </w:r>
      <w:r>
        <w:rPr>
          <w:rFonts w:ascii="Times New Roman" w:eastAsia="Times New Roman" w:hAnsi="Times New Roman" w:cs="Times New Roman"/>
          <w:kern w:val="0"/>
          <w14:ligatures w14:val="none"/>
        </w:rPr>
        <w:t>important</w:t>
      </w:r>
    </w:p>
    <w:p w14:paraId="20816E41" w14:textId="60D60236" w:rsidR="00F60858" w:rsidRDefault="00F60858"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Having established theoretical scaffolding, this will let me turn to carceral state context to fill that scaffolding in (reader should be able to go through subsequent paragraphs and basically “plug” carceral citizens into a framework: group for whom descriptive representation is likely particularly important, and/but likely distorted)</w:t>
      </w:r>
    </w:p>
    <w:p w14:paraId="4FB51150" w14:textId="77777777" w:rsidR="00CC4033" w:rsidRDefault="00CC4033" w:rsidP="00CC4033">
      <w:pPr>
        <w:pStyle w:val="NormalWeb"/>
      </w:pPr>
      <w:r>
        <w:rPr>
          <w:rStyle w:val="Strong"/>
          <w:rFonts w:eastAsiaTheme="majorEastAsia"/>
        </w:rPr>
        <w:t>Weaver / Prowse / Piston / Pottle</w:t>
      </w:r>
      <w:r>
        <w:t>:</w:t>
      </w:r>
    </w:p>
    <w:p w14:paraId="706607B8" w14:textId="77777777" w:rsidR="00CC4033" w:rsidRDefault="00CC4033" w:rsidP="00CC4033">
      <w:pPr>
        <w:pStyle w:val="NormalWeb"/>
        <w:numPr>
          <w:ilvl w:val="0"/>
          <w:numId w:val="19"/>
        </w:numPr>
      </w:pPr>
      <w:r>
        <w:t>“credibility judgments”</w:t>
      </w:r>
    </w:p>
    <w:p w14:paraId="15431FFF" w14:textId="77777777" w:rsidR="00CC4033" w:rsidRDefault="00CC4033" w:rsidP="00CC4033">
      <w:pPr>
        <w:pStyle w:val="NormalWeb"/>
        <w:numPr>
          <w:ilvl w:val="0"/>
          <w:numId w:val="19"/>
        </w:numPr>
      </w:pPr>
      <w:r>
        <w:t>“informational environment”</w:t>
      </w:r>
    </w:p>
    <w:p w14:paraId="6C72E949" w14:textId="2AC448EC" w:rsidR="00CC4033" w:rsidRPr="00CC4033" w:rsidRDefault="00CC4033" w:rsidP="00CC4033">
      <w:pPr>
        <w:pStyle w:val="NormalWeb"/>
        <w:numPr>
          <w:ilvl w:val="0"/>
          <w:numId w:val="19"/>
        </w:numPr>
      </w:pPr>
      <w:r>
        <w:t>“filtered or discounted voices”</w:t>
      </w:r>
    </w:p>
    <w:p w14:paraId="643F51A7" w14:textId="077B53B0" w:rsidR="0078023A" w:rsidRPr="00BF1776" w:rsidRDefault="0078023A" w:rsidP="0078023A">
      <w:pPr>
        <w:spacing w:before="100" w:beforeAutospacing="1" w:after="100" w:afterAutospacing="1" w:line="240" w:lineRule="auto"/>
        <w:rPr>
          <w:rFonts w:ascii="Times New Roman" w:eastAsia="Times New Roman" w:hAnsi="Times New Roman" w:cs="Times New Roman"/>
          <w:kern w:val="0"/>
          <w:sz w:val="32"/>
          <w:szCs w:val="32"/>
          <w:u w:val="single"/>
          <w14:ligatures w14:val="none"/>
        </w:rPr>
      </w:pPr>
      <w:r w:rsidRPr="00BF1776">
        <w:rPr>
          <w:rFonts w:ascii="Times New Roman" w:eastAsia="Times New Roman" w:hAnsi="Times New Roman" w:cs="Times New Roman"/>
          <w:b/>
          <w:bCs/>
          <w:kern w:val="0"/>
          <w:sz w:val="32"/>
          <w:szCs w:val="32"/>
          <w:u w:val="single"/>
          <w14:ligatures w14:val="none"/>
        </w:rPr>
        <w:t>Paragraph 5</w:t>
      </w:r>
      <w:r w:rsidRPr="00BF1776">
        <w:rPr>
          <w:rFonts w:ascii="Times New Roman" w:eastAsia="Times New Roman" w:hAnsi="Times New Roman" w:cs="Times New Roman"/>
          <w:kern w:val="0"/>
          <w:sz w:val="32"/>
          <w:szCs w:val="32"/>
          <w:u w:val="single"/>
          <w14:ligatures w14:val="none"/>
        </w:rPr>
        <w:t xml:space="preserve"> – Turn to second literature: carceral state </w:t>
      </w:r>
    </w:p>
    <w:p w14:paraId="1B8CC517" w14:textId="640ABDBF" w:rsidR="0078023A" w:rsidRDefault="0078023A"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E5781">
        <w:rPr>
          <w:rFonts w:ascii="Times New Roman" w:eastAsia="Times New Roman" w:hAnsi="Times New Roman" w:cs="Times New Roman"/>
          <w:b/>
          <w:bCs/>
          <w:kern w:val="0"/>
          <w14:ligatures w14:val="none"/>
        </w:rPr>
        <w:t>Claims</w:t>
      </w:r>
      <w:r>
        <w:rPr>
          <w:rFonts w:ascii="Times New Roman" w:eastAsia="Times New Roman" w:hAnsi="Times New Roman" w:cs="Times New Roman"/>
          <w:kern w:val="0"/>
          <w14:ligatures w14:val="none"/>
        </w:rPr>
        <w:t>: there’s reason to think carceral contact groups are one of those groups</w:t>
      </w:r>
      <w:r w:rsidR="00662EFC">
        <w:rPr>
          <w:rFonts w:ascii="Times New Roman" w:eastAsia="Times New Roman" w:hAnsi="Times New Roman" w:cs="Times New Roman"/>
          <w:kern w:val="0"/>
          <w14:ligatures w14:val="none"/>
        </w:rPr>
        <w:t>/fits this subgroup logic</w:t>
      </w:r>
    </w:p>
    <w:p w14:paraId="5FD78F27" w14:textId="1E12151E" w:rsidR="00DE5781" w:rsidRDefault="00DE5781" w:rsidP="0078023A">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DE5781">
        <w:rPr>
          <w:rFonts w:ascii="Times New Roman" w:eastAsia="Times New Roman" w:hAnsi="Times New Roman" w:cs="Times New Roman"/>
          <w:kern w:val="0"/>
          <w14:ligatures w14:val="none"/>
        </w:rPr>
        <w:t xml:space="preserve">This paragraph explicitly </w:t>
      </w:r>
      <w:r w:rsidRPr="00DE5781">
        <w:rPr>
          <w:rFonts w:ascii="Times New Roman" w:eastAsia="Times New Roman" w:hAnsi="Times New Roman" w:cs="Times New Roman"/>
          <w:i/>
          <w:iCs/>
          <w:kern w:val="0"/>
          <w14:ligatures w14:val="none"/>
        </w:rPr>
        <w:t>slots carceral citizens into the Mansbridge-style framework you’ve already built</w:t>
      </w:r>
      <w:r w:rsidRPr="00DE5781">
        <w:rPr>
          <w:rFonts w:ascii="Times New Roman" w:eastAsia="Times New Roman" w:hAnsi="Times New Roman" w:cs="Times New Roman"/>
          <w:kern w:val="0"/>
          <w14:ligatures w14:val="none"/>
        </w:rPr>
        <w:t>, by showing that carceral contact produces distinct, systematic political effects</w:t>
      </w:r>
      <w:r w:rsidR="00711452">
        <w:rPr>
          <w:rFonts w:ascii="Times New Roman" w:eastAsia="Times New Roman" w:hAnsi="Times New Roman" w:cs="Times New Roman"/>
          <w:kern w:val="0"/>
          <w14:ligatures w14:val="none"/>
        </w:rPr>
        <w:t xml:space="preserve">, starting with connecting effects as political, rather than just “disenfranchisement” as that belongs in a later paragraph – rather, thinking about how these collateral consequences accumulate ) </w:t>
      </w:r>
      <w:r w:rsidRPr="00DE5781">
        <w:rPr>
          <w:rFonts w:ascii="Times New Roman" w:eastAsia="Times New Roman" w:hAnsi="Times New Roman" w:cs="Times New Roman"/>
          <w:kern w:val="0"/>
          <w14:ligatures w14:val="none"/>
        </w:rPr>
        <w:t>that generate unique representational needs.</w:t>
      </w:r>
    </w:p>
    <w:p w14:paraId="7405E453" w14:textId="0145E360" w:rsidR="00662EFC" w:rsidRPr="00662EFC" w:rsidRDefault="00662EFC" w:rsidP="00662EFC">
      <w:pPr>
        <w:pStyle w:val="ListParagraph"/>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 xml:space="preserve">Includes: </w:t>
      </w:r>
    </w:p>
    <w:p w14:paraId="21154BDA" w14:textId="77777777" w:rsidR="00662EFC" w:rsidRPr="00662EFC" w:rsidRDefault="00662EFC" w:rsidP="00662EFC">
      <w:pPr>
        <w:pStyle w:val="ListParagraph"/>
        <w:numPr>
          <w:ilvl w:val="1"/>
          <w:numId w:val="5"/>
        </w:numPr>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people who are incarcerated</w:t>
      </w:r>
    </w:p>
    <w:p w14:paraId="490B9BDF" w14:textId="77777777" w:rsidR="00662EFC" w:rsidRPr="00662EFC" w:rsidRDefault="00662EFC" w:rsidP="00662EFC">
      <w:pPr>
        <w:pStyle w:val="ListParagraph"/>
        <w:numPr>
          <w:ilvl w:val="1"/>
          <w:numId w:val="5"/>
        </w:numPr>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people proximally impacted (family, partners, communities)</w:t>
      </w:r>
    </w:p>
    <w:p w14:paraId="2A768CCE" w14:textId="77777777" w:rsidR="00662EFC" w:rsidRDefault="00662EFC" w:rsidP="00662EFC">
      <w:pPr>
        <w:pStyle w:val="ListParagraph"/>
        <w:numPr>
          <w:ilvl w:val="1"/>
          <w:numId w:val="5"/>
        </w:numPr>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victims (flagged but not yet fully theorized)</w:t>
      </w:r>
    </w:p>
    <w:p w14:paraId="43B7F156" w14:textId="77777777" w:rsidR="00662EFC" w:rsidRDefault="00662EFC" w:rsidP="00662EFC">
      <w:pPr>
        <w:pStyle w:val="ListParagraph"/>
        <w:ind w:left="1440"/>
        <w:rPr>
          <w:rFonts w:ascii="Times New Roman" w:eastAsia="Times New Roman" w:hAnsi="Times New Roman" w:cs="Times New Roman"/>
          <w:kern w:val="0"/>
          <w14:ligatures w14:val="none"/>
        </w:rPr>
      </w:pPr>
    </w:p>
    <w:p w14:paraId="6C15678B" w14:textId="2104798E" w:rsidR="00662EFC" w:rsidRDefault="00662EFC" w:rsidP="00662EFC">
      <w:pPr>
        <w:pStyle w:val="ListParagraph"/>
        <w:numPr>
          <w:ilvl w:val="0"/>
          <w:numId w:val="5"/>
        </w:numPr>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This is the first paragraph explicitly about incarcerated people</w:t>
      </w:r>
    </w:p>
    <w:p w14:paraId="3060847C" w14:textId="77777777" w:rsidR="00BF1776" w:rsidRPr="00662EFC"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Brief grounding in the growth and reach of the carceral state</w:t>
      </w:r>
    </w:p>
    <w:p w14:paraId="01C74AFD" w14:textId="77777777" w:rsidR="00BF1776" w:rsidRPr="00662EFC"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Introduce the second literature:</w:t>
      </w:r>
    </w:p>
    <w:p w14:paraId="55947964" w14:textId="77777777" w:rsidR="00BF1776" w:rsidRPr="00662EFC" w:rsidRDefault="00BF1776" w:rsidP="00BF1776">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mass incarceration</w:t>
      </w:r>
    </w:p>
    <w:p w14:paraId="3C01D4FC" w14:textId="77777777" w:rsidR="00BF1776" w:rsidRPr="00662EFC" w:rsidRDefault="00BF1776" w:rsidP="00BF1776">
      <w:pPr>
        <w:numPr>
          <w:ilvl w:val="1"/>
          <w:numId w:val="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carceral state as a governing institution</w:t>
      </w:r>
    </w:p>
    <w:p w14:paraId="2D54A85B" w14:textId="77777777" w:rsidR="00BF1776" w:rsidRPr="00662EFC"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Cite familiar work (Western, Wildeman, Lerman &amp; Weaver)</w:t>
      </w:r>
    </w:p>
    <w:p w14:paraId="23CB789D" w14:textId="77777777" w:rsidR="00BF1776" w:rsidRPr="00662EFC" w:rsidRDefault="00BF1776" w:rsidP="00BF1776">
      <w:pPr>
        <w:numPr>
          <w:ilvl w:val="0"/>
          <w:numId w:val="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Emphasize scale and depth of impact across the life course</w:t>
      </w:r>
    </w:p>
    <w:p w14:paraId="1E7D38FE" w14:textId="77777777" w:rsidR="00BF1776" w:rsidRDefault="00BF1776" w:rsidP="00662EFC">
      <w:pPr>
        <w:pStyle w:val="ListParagraph"/>
        <w:numPr>
          <w:ilvl w:val="0"/>
          <w:numId w:val="5"/>
        </w:numPr>
        <w:rPr>
          <w:rFonts w:ascii="Times New Roman" w:eastAsia="Times New Roman" w:hAnsi="Times New Roman" w:cs="Times New Roman"/>
          <w:kern w:val="0"/>
          <w14:ligatures w14:val="none"/>
        </w:rPr>
      </w:pPr>
    </w:p>
    <w:p w14:paraId="3D0BD5CA" w14:textId="41AB589A" w:rsidR="00DE5781" w:rsidRPr="00DE5781" w:rsidRDefault="00DE5781" w:rsidP="00662EFC">
      <w:pPr>
        <w:pStyle w:val="ListParagraph"/>
        <w:numPr>
          <w:ilvl w:val="0"/>
          <w:numId w:val="5"/>
        </w:numPr>
        <w:rPr>
          <w:rFonts w:ascii="Times New Roman" w:eastAsia="Times New Roman" w:hAnsi="Times New Roman" w:cs="Times New Roman"/>
          <w:kern w:val="0"/>
          <w14:ligatures w14:val="none"/>
        </w:rPr>
      </w:pPr>
      <w:r>
        <w:rPr>
          <w:rFonts w:ascii="Times New Roman" w:eastAsia="Times New Roman" w:hAnsi="Times New Roman" w:cs="Times New Roman"/>
          <w:b/>
          <w:bCs/>
          <w:kern w:val="0"/>
          <w14:ligatures w14:val="none"/>
        </w:rPr>
        <w:t>Core claims</w:t>
      </w:r>
    </w:p>
    <w:p w14:paraId="7A943E63" w14:textId="77777777" w:rsidR="00DE5781" w:rsidRDefault="00DE5781" w:rsidP="00DE5781">
      <w:pPr>
        <w:pStyle w:val="NormalWeb"/>
      </w:pPr>
      <w:r>
        <w:rPr>
          <w:rFonts w:hAnsi="Symbol"/>
        </w:rPr>
        <w:t></w:t>
      </w:r>
      <w:r>
        <w:t xml:space="preserve">  There is strong theoretical and empirical reason to treat carceral citizens—those directly incarcerated, those under supervision, and those proximally affected through family, neighborhood, or repeated police contact—as a group that fits established criteria for heightened relevance of descriptive representation.</w:t>
      </w:r>
    </w:p>
    <w:p w14:paraId="242A5008" w14:textId="77777777" w:rsidR="00DE5781" w:rsidRDefault="00DE5781" w:rsidP="00DE5781">
      <w:pPr>
        <w:pStyle w:val="NormalWeb"/>
      </w:pPr>
      <w:r>
        <w:rPr>
          <w:rFonts w:hAnsi="Symbol"/>
        </w:rPr>
        <w:t></w:t>
      </w:r>
      <w:r>
        <w:t xml:space="preserve">  Lerman and Weaver show that contact with the carceral state is not a marginal policy experience but a </w:t>
      </w:r>
      <w:r>
        <w:rPr>
          <w:rStyle w:val="Strong"/>
          <w:rFonts w:eastAsiaTheme="majorEastAsia"/>
        </w:rPr>
        <w:t>formative and durable relationship with government</w:t>
      </w:r>
      <w:r>
        <w:t xml:space="preserve"> that reshapes political identity, expectations, and civic behavior.</w:t>
      </w:r>
    </w:p>
    <w:p w14:paraId="064D0453" w14:textId="77777777" w:rsidR="00DE5781" w:rsidRDefault="00DE5781" w:rsidP="00DE5781">
      <w:pPr>
        <w:pStyle w:val="NormalWeb"/>
      </w:pPr>
      <w:r>
        <w:rPr>
          <w:rFonts w:hAnsi="Symbol"/>
        </w:rPr>
        <w:t></w:t>
      </w:r>
      <w:r>
        <w:t xml:space="preserve">  Carceral contact functions as a </w:t>
      </w:r>
      <w:r>
        <w:rPr>
          <w:rStyle w:val="Strong"/>
          <w:rFonts w:eastAsiaTheme="majorEastAsia"/>
        </w:rPr>
        <w:t>negative policy feedback</w:t>
      </w:r>
      <w:r>
        <w:t>, producing mistrust, alienation, and withdrawal rather than efficacy or voice, thereby distinguishing carceral citizens from groups whose policy experiences generate participation.</w:t>
      </w:r>
    </w:p>
    <w:p w14:paraId="53AB8738" w14:textId="77777777" w:rsidR="00DE5781" w:rsidRDefault="00DE5781" w:rsidP="00DE5781">
      <w:pPr>
        <w:pStyle w:val="NormalWeb"/>
      </w:pPr>
      <w:r>
        <w:rPr>
          <w:rFonts w:hAnsi="Symbol"/>
        </w:rPr>
        <w:t></w:t>
      </w:r>
      <w:r>
        <w:t xml:space="preserve">  These effects extend beyond those formally incarcerated to include families, intimate networks, and communities saturated by policing and surveillance, making carceral impact both </w:t>
      </w:r>
      <w:r>
        <w:rPr>
          <w:rStyle w:val="Strong"/>
          <w:rFonts w:eastAsiaTheme="majorEastAsia"/>
        </w:rPr>
        <w:t>direct and proximal</w:t>
      </w:r>
      <w:r>
        <w:t>.</w:t>
      </w:r>
    </w:p>
    <w:p w14:paraId="766F497B" w14:textId="77777777" w:rsidR="00DE5781" w:rsidRDefault="00DE5781" w:rsidP="00DE5781">
      <w:pPr>
        <w:pStyle w:val="NormalWeb"/>
      </w:pPr>
      <w:r>
        <w:rPr>
          <w:rFonts w:hAnsi="Symbol"/>
        </w:rPr>
        <w:t></w:t>
      </w:r>
      <w:r>
        <w:t xml:space="preserve">  Victims of crime are analytically part of this constituency not only because of empirical overlap with carceral communities, but because they too are governed through the criminal legal system and encounter the state primarily through punitive institutions.</w:t>
      </w:r>
    </w:p>
    <w:p w14:paraId="2662E13B" w14:textId="77777777" w:rsidR="00DE5781" w:rsidRDefault="00DE5781" w:rsidP="00DE5781">
      <w:pPr>
        <w:pStyle w:val="NormalWeb"/>
      </w:pPr>
      <w:r>
        <w:rPr>
          <w:rFonts w:hAnsi="Symbol"/>
        </w:rPr>
        <w:t></w:t>
      </w:r>
      <w:r>
        <w:t xml:space="preserve">  As a result, carceral citizens develop </w:t>
      </w:r>
      <w:r>
        <w:rPr>
          <w:rStyle w:val="Strong"/>
          <w:rFonts w:eastAsiaTheme="majorEastAsia"/>
        </w:rPr>
        <w:t>distinct policy-relevant needs and claims</w:t>
      </w:r>
      <w:r>
        <w:t>—regarding voting, reentry, family integrity, economic survival, safety, and dignity—that are unlikely to be captured by standard models of constituency voice.</w:t>
      </w:r>
    </w:p>
    <w:p w14:paraId="203DE6BD" w14:textId="77777777" w:rsidR="00DE5781" w:rsidRPr="00DE5781" w:rsidRDefault="00DE5781" w:rsidP="00DE5781">
      <w:pPr>
        <w:rPr>
          <w:rFonts w:ascii="Times New Roman" w:eastAsia="Times New Roman" w:hAnsi="Times New Roman" w:cs="Times New Roman"/>
          <w:b/>
          <w:bCs/>
          <w:kern w:val="0"/>
          <w14:ligatures w14:val="none"/>
        </w:rPr>
      </w:pPr>
      <w:r w:rsidRPr="00DE5781">
        <w:rPr>
          <w:rFonts w:ascii="Times New Roman" w:eastAsia="Times New Roman" w:hAnsi="Times New Roman" w:cs="Times New Roman"/>
          <w:b/>
          <w:bCs/>
          <w:kern w:val="0"/>
          <w14:ligatures w14:val="none"/>
        </w:rPr>
        <w:t>Sub-points / transitions</w:t>
      </w:r>
    </w:p>
    <w:p w14:paraId="01C9A84C" w14:textId="77777777" w:rsidR="00DE5781" w:rsidRPr="00DE5781" w:rsidRDefault="00DE5781" w:rsidP="00DE5781">
      <w:pPr>
        <w:numPr>
          <w:ilvl w:val="0"/>
          <w:numId w:val="20"/>
        </w:numPr>
        <w:rPr>
          <w:rFonts w:ascii="Times New Roman" w:eastAsia="Times New Roman" w:hAnsi="Times New Roman" w:cs="Times New Roman"/>
          <w:kern w:val="0"/>
          <w14:ligatures w14:val="none"/>
        </w:rPr>
      </w:pPr>
      <w:r w:rsidRPr="00DE5781">
        <w:rPr>
          <w:rFonts w:ascii="Times New Roman" w:eastAsia="Times New Roman" w:hAnsi="Times New Roman" w:cs="Times New Roman"/>
          <w:kern w:val="0"/>
          <w14:ligatures w14:val="none"/>
        </w:rPr>
        <w:t xml:space="preserve">Emphasize that this is </w:t>
      </w:r>
      <w:r w:rsidRPr="00DE5781">
        <w:rPr>
          <w:rFonts w:ascii="Times New Roman" w:eastAsia="Times New Roman" w:hAnsi="Times New Roman" w:cs="Times New Roman"/>
          <w:i/>
          <w:iCs/>
          <w:kern w:val="0"/>
          <w14:ligatures w14:val="none"/>
        </w:rPr>
        <w:t>not</w:t>
      </w:r>
      <w:r w:rsidRPr="00DE5781">
        <w:rPr>
          <w:rFonts w:ascii="Times New Roman" w:eastAsia="Times New Roman" w:hAnsi="Times New Roman" w:cs="Times New Roman"/>
          <w:kern w:val="0"/>
          <w14:ligatures w14:val="none"/>
        </w:rPr>
        <w:t xml:space="preserve"> a claim about moral deservingness, but about </w:t>
      </w:r>
      <w:r w:rsidRPr="00DE5781">
        <w:rPr>
          <w:rFonts w:ascii="Times New Roman" w:eastAsia="Times New Roman" w:hAnsi="Times New Roman" w:cs="Times New Roman"/>
          <w:b/>
          <w:bCs/>
          <w:kern w:val="0"/>
          <w14:ligatures w14:val="none"/>
        </w:rPr>
        <w:t>representational vulnerability and epistemic exclusion</w:t>
      </w:r>
      <w:r w:rsidRPr="00DE5781">
        <w:rPr>
          <w:rFonts w:ascii="Times New Roman" w:eastAsia="Times New Roman" w:hAnsi="Times New Roman" w:cs="Times New Roman"/>
          <w:kern w:val="0"/>
          <w14:ligatures w14:val="none"/>
        </w:rPr>
        <w:t>.</w:t>
      </w:r>
    </w:p>
    <w:p w14:paraId="304A1199" w14:textId="77777777" w:rsidR="00DE5781" w:rsidRPr="00DE5781" w:rsidRDefault="00DE5781" w:rsidP="00DE5781">
      <w:pPr>
        <w:numPr>
          <w:ilvl w:val="0"/>
          <w:numId w:val="20"/>
        </w:numPr>
        <w:rPr>
          <w:rFonts w:ascii="Times New Roman" w:eastAsia="Times New Roman" w:hAnsi="Times New Roman" w:cs="Times New Roman"/>
          <w:kern w:val="0"/>
          <w14:ligatures w14:val="none"/>
        </w:rPr>
      </w:pPr>
      <w:r w:rsidRPr="00DE5781">
        <w:rPr>
          <w:rFonts w:ascii="Times New Roman" w:eastAsia="Times New Roman" w:hAnsi="Times New Roman" w:cs="Times New Roman"/>
          <w:kern w:val="0"/>
          <w14:ligatures w14:val="none"/>
        </w:rPr>
        <w:lastRenderedPageBreak/>
        <w:t xml:space="preserve">Transition forward by previewing that these effects are </w:t>
      </w:r>
      <w:r w:rsidRPr="00DE5781">
        <w:rPr>
          <w:rFonts w:ascii="Times New Roman" w:eastAsia="Times New Roman" w:hAnsi="Times New Roman" w:cs="Times New Roman"/>
          <w:b/>
          <w:bCs/>
          <w:kern w:val="0"/>
          <w14:ligatures w14:val="none"/>
        </w:rPr>
        <w:t>not randomly distributed</w:t>
      </w:r>
      <w:r w:rsidRPr="00DE5781">
        <w:rPr>
          <w:rFonts w:ascii="Times New Roman" w:eastAsia="Times New Roman" w:hAnsi="Times New Roman" w:cs="Times New Roman"/>
          <w:kern w:val="0"/>
          <w14:ligatures w14:val="none"/>
        </w:rPr>
        <w:t>, but systematically concentrated in particular populations.</w:t>
      </w:r>
    </w:p>
    <w:p w14:paraId="2491F7F2" w14:textId="355E087B" w:rsidR="00DE5781" w:rsidRPr="00DE5781" w:rsidRDefault="00DE5781" w:rsidP="00DE5781">
      <w:pPr>
        <w:rPr>
          <w:rFonts w:ascii="Times New Roman" w:eastAsia="Times New Roman" w:hAnsi="Times New Roman" w:cs="Times New Roman"/>
          <w:b/>
          <w:bCs/>
          <w:kern w:val="0"/>
          <w14:ligatures w14:val="none"/>
        </w:rPr>
      </w:pPr>
      <w:r w:rsidRPr="00DE5781">
        <w:rPr>
          <w:rFonts w:ascii="Times New Roman" w:eastAsia="Times New Roman" w:hAnsi="Times New Roman" w:cs="Times New Roman"/>
          <w:b/>
          <w:bCs/>
          <w:kern w:val="0"/>
          <w14:ligatures w14:val="none"/>
        </w:rPr>
        <w:t xml:space="preserve">Quotations </w:t>
      </w:r>
    </w:p>
    <w:p w14:paraId="0EE1D5D6" w14:textId="77777777" w:rsidR="00DE5781" w:rsidRPr="00DE5781" w:rsidRDefault="00DE5781" w:rsidP="00DE5781">
      <w:pPr>
        <w:numPr>
          <w:ilvl w:val="0"/>
          <w:numId w:val="21"/>
        </w:numPr>
        <w:rPr>
          <w:rFonts w:ascii="Times New Roman" w:eastAsia="Times New Roman" w:hAnsi="Times New Roman" w:cs="Times New Roman"/>
          <w:kern w:val="0"/>
          <w14:ligatures w14:val="none"/>
        </w:rPr>
      </w:pPr>
      <w:r w:rsidRPr="00DE5781">
        <w:rPr>
          <w:rFonts w:ascii="Times New Roman" w:eastAsia="Times New Roman" w:hAnsi="Times New Roman" w:cs="Times New Roman"/>
          <w:kern w:val="0"/>
          <w14:ligatures w14:val="none"/>
        </w:rPr>
        <w:t>“The carceral state has become a central point of contact between citizens and their government” (Lerman &amp; Weaver).</w:t>
      </w:r>
    </w:p>
    <w:p w14:paraId="08D51AD5" w14:textId="77777777" w:rsidR="00DE5781" w:rsidRPr="00DE5781" w:rsidRDefault="00DE5781" w:rsidP="00DE5781">
      <w:pPr>
        <w:numPr>
          <w:ilvl w:val="0"/>
          <w:numId w:val="21"/>
        </w:numPr>
        <w:rPr>
          <w:rFonts w:ascii="Times New Roman" w:eastAsia="Times New Roman" w:hAnsi="Times New Roman" w:cs="Times New Roman"/>
          <w:kern w:val="0"/>
          <w14:ligatures w14:val="none"/>
        </w:rPr>
      </w:pPr>
      <w:r w:rsidRPr="00DE5781">
        <w:rPr>
          <w:rFonts w:ascii="Times New Roman" w:eastAsia="Times New Roman" w:hAnsi="Times New Roman" w:cs="Times New Roman"/>
          <w:kern w:val="0"/>
          <w14:ligatures w14:val="none"/>
        </w:rPr>
        <w:t>Contact with criminal justice institutions “produces extreme mistrust of political institutions and public officials” and “diminishes citizens’ sense that they can influence politics.”</w:t>
      </w:r>
    </w:p>
    <w:p w14:paraId="039B650F" w14:textId="71946100" w:rsidR="00DE5781" w:rsidRPr="00DE5781" w:rsidRDefault="00DE5781" w:rsidP="00DE5781">
      <w:pPr>
        <w:numPr>
          <w:ilvl w:val="0"/>
          <w:numId w:val="21"/>
        </w:numPr>
        <w:rPr>
          <w:rFonts w:ascii="Times New Roman" w:eastAsia="Times New Roman" w:hAnsi="Times New Roman" w:cs="Times New Roman"/>
          <w:kern w:val="0"/>
          <w14:ligatures w14:val="none"/>
        </w:rPr>
      </w:pPr>
      <w:r w:rsidRPr="00DE5781">
        <w:rPr>
          <w:rFonts w:ascii="Times New Roman" w:eastAsia="Times New Roman" w:hAnsi="Times New Roman" w:cs="Times New Roman"/>
          <w:kern w:val="0"/>
          <w14:ligatures w14:val="none"/>
        </w:rPr>
        <w:t>Punishment teaches citizens “to stay in the shadows and to be wary of public authority.”</w:t>
      </w:r>
    </w:p>
    <w:p w14:paraId="20E9620B" w14:textId="65DEE315" w:rsidR="00662EFC" w:rsidRDefault="00662EFC" w:rsidP="00662EFC">
      <w:pPr>
        <w:pStyle w:val="ListParagraph"/>
        <w:numPr>
          <w:ilvl w:val="0"/>
          <w:numId w:val="5"/>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Must exist to:</w:t>
      </w:r>
    </w:p>
    <w:p w14:paraId="39BB2499" w14:textId="69286235" w:rsidR="00662EFC" w:rsidRDefault="00662EFC" w:rsidP="00662EFC">
      <w:pPr>
        <w:pStyle w:val="ListParagraph"/>
        <w:numPr>
          <w:ilvl w:val="1"/>
          <w:numId w:val="5"/>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Establish massive effect of carceral content; distinct policy/constituent needs</w:t>
      </w:r>
    </w:p>
    <w:p w14:paraId="09BD59A4" w14:textId="13D8626B" w:rsidR="00662EFC" w:rsidRPr="00662EFC" w:rsidRDefault="00662EFC" w:rsidP="00662EFC">
      <w:pPr>
        <w:pStyle w:val="ListParagraph"/>
        <w:numPr>
          <w:ilvl w:val="1"/>
          <w:numId w:val="5"/>
        </w:num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That this effect extends to children, women, communities </w:t>
      </w:r>
    </w:p>
    <w:p w14:paraId="758BC07D" w14:textId="5D5224F6" w:rsidR="00B9567D" w:rsidRDefault="005156F8" w:rsidP="00B9567D">
      <w:pPr>
        <w:spacing w:before="100" w:beforeAutospacing="1" w:after="100" w:afterAutospacing="1" w:line="240" w:lineRule="auto"/>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Relevant references</w:t>
      </w:r>
      <w:r w:rsidR="00711452">
        <w:rPr>
          <w:rFonts w:ascii="Times New Roman" w:eastAsia="Times New Roman" w:hAnsi="Times New Roman" w:cs="Times New Roman"/>
          <w:b/>
          <w:bCs/>
          <w:kern w:val="0"/>
          <w14:ligatures w14:val="none"/>
        </w:rPr>
        <w:t>/my own previous language</w:t>
      </w:r>
    </w:p>
    <w:p w14:paraId="45FC0D42" w14:textId="445803AD" w:rsidR="005156F8" w:rsidRPr="005156F8" w:rsidRDefault="005156F8" w:rsidP="005156F8">
      <w:pPr>
        <w:spacing w:before="100" w:beforeAutospacing="1" w:after="100" w:afterAutospacing="1" w:line="240" w:lineRule="auto"/>
        <w:rPr>
          <w:rFonts w:ascii="Times New Roman" w:eastAsia="Times New Roman" w:hAnsi="Times New Roman" w:cs="Times New Roman"/>
          <w:kern w:val="0"/>
          <w14:ligatures w14:val="none"/>
        </w:rPr>
      </w:pPr>
      <w:r w:rsidRPr="005156F8">
        <w:rPr>
          <w:rFonts w:ascii="Times New Roman" w:eastAsia="Times New Roman" w:hAnsi="Times New Roman" w:cs="Times New Roman"/>
          <w:kern w:val="0"/>
          <w14:ligatures w14:val="none"/>
        </w:rPr>
        <w:t>the political</w:t>
      </w:r>
      <w:r>
        <w:rPr>
          <w:rFonts w:ascii="Times New Roman" w:eastAsia="Times New Roman" w:hAnsi="Times New Roman" w:cs="Times New Roman"/>
          <w:kern w:val="0"/>
          <w14:ligatures w14:val="none"/>
        </w:rPr>
        <w:t xml:space="preserve"> </w:t>
      </w:r>
      <w:r w:rsidRPr="005156F8">
        <w:rPr>
          <w:rFonts w:ascii="Times New Roman" w:eastAsia="Times New Roman" w:hAnsi="Times New Roman" w:cs="Times New Roman"/>
          <w:kern w:val="0"/>
          <w14:ligatures w14:val="none"/>
        </w:rPr>
        <w:t>science, sociological, and economic literatures on “collateral consequences” to incarceration – such as it’s</w:t>
      </w:r>
      <w:r>
        <w:rPr>
          <w:rFonts w:ascii="Times New Roman" w:eastAsia="Times New Roman" w:hAnsi="Times New Roman" w:cs="Times New Roman"/>
          <w:kern w:val="0"/>
          <w14:ligatures w14:val="none"/>
        </w:rPr>
        <w:t xml:space="preserve"> </w:t>
      </w:r>
      <w:r w:rsidRPr="005156F8">
        <w:rPr>
          <w:rFonts w:ascii="Times New Roman" w:eastAsia="Times New Roman" w:hAnsi="Times New Roman" w:cs="Times New Roman"/>
          <w:kern w:val="0"/>
          <w14:ligatures w14:val="none"/>
        </w:rPr>
        <w:t>often compounding impacts on carceral citizens and their social networks’ wealth, health, education, and</w:t>
      </w:r>
      <w:r>
        <w:rPr>
          <w:rFonts w:ascii="Times New Roman" w:eastAsia="Times New Roman" w:hAnsi="Times New Roman" w:cs="Times New Roman"/>
          <w:kern w:val="0"/>
          <w14:ligatures w14:val="none"/>
        </w:rPr>
        <w:t xml:space="preserve"> </w:t>
      </w:r>
      <w:r w:rsidRPr="005156F8">
        <w:rPr>
          <w:rFonts w:ascii="Times New Roman" w:eastAsia="Times New Roman" w:hAnsi="Times New Roman" w:cs="Times New Roman"/>
          <w:kern w:val="0"/>
          <w14:ligatures w14:val="none"/>
        </w:rPr>
        <w:t>social ties (Mille 2012, Page, Piehowski, and Soss 2019, Wildeman and Lee 2021, Brew, Alani, and</w:t>
      </w:r>
      <w:r>
        <w:rPr>
          <w:rFonts w:ascii="Times New Roman" w:eastAsia="Times New Roman" w:hAnsi="Times New Roman" w:cs="Times New Roman"/>
          <w:kern w:val="0"/>
          <w14:ligatures w14:val="none"/>
        </w:rPr>
        <w:t xml:space="preserve"> </w:t>
      </w:r>
      <w:r w:rsidRPr="005156F8">
        <w:rPr>
          <w:rFonts w:ascii="Times New Roman" w:eastAsia="Times New Roman" w:hAnsi="Times New Roman" w:cs="Times New Roman"/>
          <w:kern w:val="0"/>
          <w14:ligatures w14:val="none"/>
        </w:rPr>
        <w:t>Wildeman 2022,)</w:t>
      </w:r>
    </w:p>
    <w:p w14:paraId="198C0DC3" w14:textId="77777777" w:rsidR="005156F8" w:rsidRDefault="005156F8" w:rsidP="00B9567D">
      <w:pPr>
        <w:spacing w:before="100" w:beforeAutospacing="1" w:after="100" w:afterAutospacing="1" w:line="240" w:lineRule="auto"/>
        <w:rPr>
          <w:rFonts w:ascii="Times New Roman" w:eastAsia="Times New Roman" w:hAnsi="Times New Roman" w:cs="Times New Roman"/>
          <w:b/>
          <w:bCs/>
          <w:kern w:val="0"/>
          <w14:ligatures w14:val="none"/>
        </w:rPr>
      </w:pPr>
    </w:p>
    <w:p w14:paraId="05528E31" w14:textId="7F6BB43C" w:rsidR="00B9567D" w:rsidRPr="00B9567D" w:rsidRDefault="00B9567D" w:rsidP="00B9567D">
      <w:pPr>
        <w:spacing w:before="100" w:beforeAutospacing="1" w:after="100" w:afterAutospacing="1" w:line="240" w:lineRule="auto"/>
        <w:rPr>
          <w:rFonts w:ascii="Times New Roman" w:eastAsia="Times New Roman" w:hAnsi="Times New Roman" w:cs="Times New Roman"/>
          <w:kern w:val="0"/>
          <w:sz w:val="32"/>
          <w:szCs w:val="32"/>
          <w:u w:val="single"/>
          <w14:ligatures w14:val="none"/>
        </w:rPr>
      </w:pPr>
      <w:r w:rsidRPr="00BF1776">
        <w:rPr>
          <w:rFonts w:ascii="Times New Roman" w:eastAsia="Times New Roman" w:hAnsi="Times New Roman" w:cs="Times New Roman"/>
          <w:b/>
          <w:bCs/>
          <w:kern w:val="0"/>
          <w:sz w:val="32"/>
          <w:szCs w:val="32"/>
          <w:u w:val="single"/>
          <w14:ligatures w14:val="none"/>
        </w:rPr>
        <w:t xml:space="preserve">P6: </w:t>
      </w:r>
      <w:r w:rsidRPr="00B9567D">
        <w:rPr>
          <w:rFonts w:ascii="Times New Roman" w:eastAsia="Times New Roman" w:hAnsi="Times New Roman" w:cs="Times New Roman"/>
          <w:b/>
          <w:bCs/>
          <w:kern w:val="0"/>
          <w:sz w:val="32"/>
          <w:szCs w:val="32"/>
          <w:u w:val="single"/>
          <w14:ligatures w14:val="none"/>
        </w:rPr>
        <w:t>Who is affected: the racialized, classed, and spatial concentration of carceral state contact</w:t>
      </w:r>
    </w:p>
    <w:p w14:paraId="4B25A58C" w14:textId="77777777" w:rsidR="00B9567D" w:rsidRPr="00B9567D" w:rsidRDefault="00B9567D" w:rsidP="00B9567D">
      <w:p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b/>
          <w:bCs/>
          <w:kern w:val="0"/>
          <w14:ligatures w14:val="none"/>
        </w:rPr>
        <w:t>Purpose in the theory section:</w:t>
      </w:r>
      <w:r w:rsidRPr="00B9567D">
        <w:rPr>
          <w:rFonts w:ascii="Times New Roman" w:eastAsia="Times New Roman" w:hAnsi="Times New Roman" w:cs="Times New Roman"/>
          <w:kern w:val="0"/>
          <w14:ligatures w14:val="none"/>
        </w:rPr>
        <w:br/>
        <w:t xml:space="preserve">This paragraph establishes that carceral impact is </w:t>
      </w:r>
      <w:r w:rsidRPr="00B9567D">
        <w:rPr>
          <w:rFonts w:ascii="Times New Roman" w:eastAsia="Times New Roman" w:hAnsi="Times New Roman" w:cs="Times New Roman"/>
          <w:b/>
          <w:bCs/>
          <w:kern w:val="0"/>
          <w14:ligatures w14:val="none"/>
        </w:rPr>
        <w:t>systematically targeted</w:t>
      </w:r>
      <w:r w:rsidRPr="00B9567D">
        <w:rPr>
          <w:rFonts w:ascii="Times New Roman" w:eastAsia="Times New Roman" w:hAnsi="Times New Roman" w:cs="Times New Roman"/>
          <w:kern w:val="0"/>
          <w14:ligatures w14:val="none"/>
        </w:rPr>
        <w:t>, not diffuse—linking descriptive representation to race, class, and geography without collapsing your argument into “this is just about race.”</w:t>
      </w:r>
    </w:p>
    <w:p w14:paraId="7E4CCB17" w14:textId="77777777" w:rsidR="00B9567D" w:rsidRPr="00B9567D"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9567D">
        <w:rPr>
          <w:rFonts w:ascii="Times New Roman" w:eastAsia="Times New Roman" w:hAnsi="Times New Roman" w:cs="Times New Roman"/>
          <w:b/>
          <w:bCs/>
          <w:kern w:val="0"/>
          <w:sz w:val="27"/>
          <w:szCs w:val="27"/>
          <w14:ligatures w14:val="none"/>
        </w:rPr>
        <w:t>Core claims</w:t>
      </w:r>
    </w:p>
    <w:p w14:paraId="63182C63" w14:textId="77777777" w:rsidR="00B9567D" w:rsidRPr="00B9567D"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The effects of the carceral state are not evenly distributed across the population but are </w:t>
      </w:r>
      <w:r w:rsidRPr="00B9567D">
        <w:rPr>
          <w:rFonts w:ascii="Times New Roman" w:eastAsia="Times New Roman" w:hAnsi="Times New Roman" w:cs="Times New Roman"/>
          <w:b/>
          <w:bCs/>
          <w:kern w:val="0"/>
          <w14:ligatures w14:val="none"/>
        </w:rPr>
        <w:t>highly concentrated by race, class, age, and place</w:t>
      </w:r>
      <w:r w:rsidRPr="00B9567D">
        <w:rPr>
          <w:rFonts w:ascii="Times New Roman" w:eastAsia="Times New Roman" w:hAnsi="Times New Roman" w:cs="Times New Roman"/>
          <w:kern w:val="0"/>
          <w14:ligatures w14:val="none"/>
        </w:rPr>
        <w:t>, making carceral citizenship a structurally bounded constituency.</w:t>
      </w:r>
    </w:p>
    <w:p w14:paraId="316BB5B2" w14:textId="77777777" w:rsidR="00B9567D" w:rsidRPr="00B9567D"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Lerman and Weaver emphasize that criminal justice contact is </w:t>
      </w:r>
      <w:r w:rsidRPr="00B9567D">
        <w:rPr>
          <w:rFonts w:ascii="Times New Roman" w:eastAsia="Times New Roman" w:hAnsi="Times New Roman" w:cs="Times New Roman"/>
          <w:b/>
          <w:bCs/>
          <w:kern w:val="0"/>
          <w14:ligatures w14:val="none"/>
        </w:rPr>
        <w:t>predictably racialized</w:t>
      </w:r>
      <w:r w:rsidRPr="00B9567D">
        <w:rPr>
          <w:rFonts w:ascii="Times New Roman" w:eastAsia="Times New Roman" w:hAnsi="Times New Roman" w:cs="Times New Roman"/>
          <w:kern w:val="0"/>
          <w14:ligatures w14:val="none"/>
        </w:rPr>
        <w:t>, with Black and Latino/Hispanic Americans—especially young men—far more likely to experience policing, arrest, detention, and supervision.</w:t>
      </w:r>
    </w:p>
    <w:p w14:paraId="0C263E71" w14:textId="77777777" w:rsidR="00B9567D" w:rsidRPr="00B9567D"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Low-income communities and neighborhoods of concentrated disadvantage experience not only higher rates of incarceration but </w:t>
      </w:r>
      <w:r w:rsidRPr="00B9567D">
        <w:rPr>
          <w:rFonts w:ascii="Times New Roman" w:eastAsia="Times New Roman" w:hAnsi="Times New Roman" w:cs="Times New Roman"/>
          <w:b/>
          <w:bCs/>
          <w:kern w:val="0"/>
          <w14:ligatures w14:val="none"/>
        </w:rPr>
        <w:t>sustained saturation by surveillance and coercive state presence</w:t>
      </w:r>
      <w:r w:rsidRPr="00B9567D">
        <w:rPr>
          <w:rFonts w:ascii="Times New Roman" w:eastAsia="Times New Roman" w:hAnsi="Times New Roman" w:cs="Times New Roman"/>
          <w:kern w:val="0"/>
          <w14:ligatures w14:val="none"/>
        </w:rPr>
        <w:t>.</w:t>
      </w:r>
    </w:p>
    <w:p w14:paraId="3236212F" w14:textId="77777777" w:rsidR="00B9567D" w:rsidRPr="00B9567D"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lastRenderedPageBreak/>
        <w:t xml:space="preserve">Because incarceration and supervision are spatially clustered, the political consequences of carceral contact are </w:t>
      </w:r>
      <w:r w:rsidRPr="00B9567D">
        <w:rPr>
          <w:rFonts w:ascii="Times New Roman" w:eastAsia="Times New Roman" w:hAnsi="Times New Roman" w:cs="Times New Roman"/>
          <w:b/>
          <w:bCs/>
          <w:kern w:val="0"/>
          <w14:ligatures w14:val="none"/>
        </w:rPr>
        <w:t>collective and place-based</w:t>
      </w:r>
      <w:r w:rsidRPr="00B9567D">
        <w:rPr>
          <w:rFonts w:ascii="Times New Roman" w:eastAsia="Times New Roman" w:hAnsi="Times New Roman" w:cs="Times New Roman"/>
          <w:kern w:val="0"/>
          <w14:ligatures w14:val="none"/>
        </w:rPr>
        <w:t>, not merely individual.</w:t>
      </w:r>
    </w:p>
    <w:p w14:paraId="61A3E163" w14:textId="77777777" w:rsidR="00B9567D" w:rsidRPr="00B9567D"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These patterns mean that carceral state effects are layered atop existing inequalities in political power, representation, and access, compounding rather than merely reflecting racial and economic disadvantage.</w:t>
      </w:r>
    </w:p>
    <w:p w14:paraId="670A8095" w14:textId="77777777" w:rsidR="00B9567D" w:rsidRPr="00B9567D" w:rsidRDefault="00B9567D" w:rsidP="00B9567D">
      <w:pPr>
        <w:numPr>
          <w:ilvl w:val="0"/>
          <w:numId w:val="22"/>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As Lerman and Weaver stress, the political consequences of punishment “cannot be captured by aggregating individual effects,” because whole communities lose voice, resources, and representational leverage.</w:t>
      </w:r>
    </w:p>
    <w:p w14:paraId="18F3CA5E" w14:textId="77777777" w:rsidR="00B9567D" w:rsidRPr="00B9567D"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9567D">
        <w:rPr>
          <w:rFonts w:ascii="Times New Roman" w:eastAsia="Times New Roman" w:hAnsi="Times New Roman" w:cs="Times New Roman"/>
          <w:b/>
          <w:bCs/>
          <w:kern w:val="0"/>
          <w:sz w:val="27"/>
          <w:szCs w:val="27"/>
          <w14:ligatures w14:val="none"/>
        </w:rPr>
        <w:t>Sub-points / transitions</w:t>
      </w:r>
    </w:p>
    <w:p w14:paraId="5BA743C0" w14:textId="77777777" w:rsidR="00B9567D" w:rsidRPr="00B9567D" w:rsidRDefault="00B9567D" w:rsidP="00B9567D">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Highlight that this concentration matters for representation because </w:t>
      </w:r>
      <w:r w:rsidRPr="00B9567D">
        <w:rPr>
          <w:rFonts w:ascii="Times New Roman" w:eastAsia="Times New Roman" w:hAnsi="Times New Roman" w:cs="Times New Roman"/>
          <w:b/>
          <w:bCs/>
          <w:kern w:val="0"/>
          <w14:ligatures w14:val="none"/>
        </w:rPr>
        <w:t>legislators encounter “carceral communities” unevenly</w:t>
      </w:r>
      <w:r w:rsidRPr="00B9567D">
        <w:rPr>
          <w:rFonts w:ascii="Times New Roman" w:eastAsia="Times New Roman" w:hAnsi="Times New Roman" w:cs="Times New Roman"/>
          <w:kern w:val="0"/>
          <w14:ligatures w14:val="none"/>
        </w:rPr>
        <w:t>, if at all.</w:t>
      </w:r>
    </w:p>
    <w:p w14:paraId="3ADF0128" w14:textId="77777777" w:rsidR="00B9567D" w:rsidRPr="00B9567D" w:rsidRDefault="00B9567D" w:rsidP="00B9567D">
      <w:pPr>
        <w:numPr>
          <w:ilvl w:val="0"/>
          <w:numId w:val="23"/>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Transition forward by noting that these same structural features also explain </w:t>
      </w:r>
      <w:r w:rsidRPr="00B9567D">
        <w:rPr>
          <w:rFonts w:ascii="Times New Roman" w:eastAsia="Times New Roman" w:hAnsi="Times New Roman" w:cs="Times New Roman"/>
          <w:b/>
          <w:bCs/>
          <w:kern w:val="0"/>
          <w14:ligatures w14:val="none"/>
        </w:rPr>
        <w:t>why these groups are likely to be underrepresented and politically invisible</w:t>
      </w:r>
      <w:r w:rsidRPr="00B9567D">
        <w:rPr>
          <w:rFonts w:ascii="Times New Roman" w:eastAsia="Times New Roman" w:hAnsi="Times New Roman" w:cs="Times New Roman"/>
          <w:kern w:val="0"/>
          <w14:ligatures w14:val="none"/>
        </w:rPr>
        <w:t>.</w:t>
      </w:r>
    </w:p>
    <w:p w14:paraId="183C1E4C" w14:textId="77777777" w:rsidR="00B9567D" w:rsidRPr="00B9567D"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9567D">
        <w:rPr>
          <w:rFonts w:ascii="Times New Roman" w:eastAsia="Times New Roman" w:hAnsi="Times New Roman" w:cs="Times New Roman"/>
          <w:b/>
          <w:bCs/>
          <w:kern w:val="0"/>
          <w:sz w:val="27"/>
          <w:szCs w:val="27"/>
          <w14:ligatures w14:val="none"/>
        </w:rPr>
        <w:t>Quotations you can use</w:t>
      </w:r>
    </w:p>
    <w:p w14:paraId="5562F704" w14:textId="77777777" w:rsidR="00B9567D" w:rsidRPr="00B9567D" w:rsidRDefault="00B9567D" w:rsidP="00B9567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“Race, age, and class are all highly predictive of being subject to aggressive surveillance and punishment.”</w:t>
      </w:r>
    </w:p>
    <w:p w14:paraId="50AB3124" w14:textId="77777777" w:rsidR="00B9567D" w:rsidRPr="00B9567D" w:rsidRDefault="00B9567D" w:rsidP="00B9567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“The collateral damage to African American communities cannot be captured by aggregating individual effects.”</w:t>
      </w:r>
    </w:p>
    <w:p w14:paraId="52890001" w14:textId="77777777" w:rsidR="00B9567D" w:rsidRPr="00B9567D" w:rsidRDefault="00B9567D" w:rsidP="00B9567D">
      <w:pPr>
        <w:numPr>
          <w:ilvl w:val="0"/>
          <w:numId w:val="24"/>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Criminal justice has “disproportionate effects on low-income and minority citizens,” shaping citizenship unequally.</w:t>
      </w:r>
    </w:p>
    <w:p w14:paraId="338500D5" w14:textId="77777777" w:rsidR="00E25706" w:rsidRDefault="00E25706" w:rsidP="00E25706">
      <w:pPr>
        <w:autoSpaceDE w:val="0"/>
        <w:autoSpaceDN w:val="0"/>
        <w:adjustRightInd w:val="0"/>
        <w:spacing w:after="0" w:line="240" w:lineRule="auto"/>
        <w:rPr>
          <w:rFonts w:ascii="Times New Roman" w:eastAsia="Times New Roman" w:hAnsi="Times New Roman" w:cs="Times New Roman"/>
          <w:b/>
          <w:bCs/>
          <w:kern w:val="0"/>
          <w:sz w:val="27"/>
          <w:szCs w:val="27"/>
          <w14:ligatures w14:val="none"/>
        </w:rPr>
      </w:pPr>
    </w:p>
    <w:p w14:paraId="7164F463" w14:textId="49007DEA" w:rsidR="00D723E2" w:rsidRDefault="00D723E2" w:rsidP="00E25706">
      <w:pPr>
        <w:autoSpaceDE w:val="0"/>
        <w:autoSpaceDN w:val="0"/>
        <w:adjustRightInd w:val="0"/>
        <w:spacing w:after="0" w:line="240" w:lineRule="auto"/>
        <w:rPr>
          <w:rFonts w:ascii="Times New Roman" w:hAnsi="Times New Roman" w:cs="Times New Roman"/>
          <w:kern w:val="0"/>
          <w:sz w:val="22"/>
          <w:szCs w:val="22"/>
        </w:rPr>
      </w:pPr>
      <w:r w:rsidRPr="00D723E2">
        <w:rPr>
          <w:rFonts w:ascii="Times New Roman" w:hAnsi="Times New Roman" w:cs="Times New Roman"/>
          <w:kern w:val="0"/>
          <w:sz w:val="22"/>
          <w:szCs w:val="22"/>
        </w:rPr>
        <w:t>A growing literature shows how the “punitive turn” (see Waquant 2009) and mass incarceration targets political power of particularly Black, Hispanic, and low-income communities through disenfranchisement policies and practices, prison gerrymandering, and powerful prison economies (Alexander 2010).</w:t>
      </w:r>
    </w:p>
    <w:p w14:paraId="32E650E3" w14:textId="77777777" w:rsidR="00D723E2" w:rsidRDefault="00D723E2" w:rsidP="00E25706">
      <w:pPr>
        <w:autoSpaceDE w:val="0"/>
        <w:autoSpaceDN w:val="0"/>
        <w:adjustRightInd w:val="0"/>
        <w:spacing w:after="0" w:line="240" w:lineRule="auto"/>
        <w:rPr>
          <w:rFonts w:ascii="Times New Roman" w:hAnsi="Times New Roman" w:cs="Times New Roman"/>
          <w:kern w:val="0"/>
          <w:sz w:val="22"/>
          <w:szCs w:val="22"/>
        </w:rPr>
      </w:pPr>
    </w:p>
    <w:p w14:paraId="4E753F19" w14:textId="720CD56F" w:rsidR="00B9567D" w:rsidRDefault="00E25706" w:rsidP="00E25706">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The nearly 2 million people incarcerated in the US are “almost uniformly working class and disproportionately Black or Latino/a” – groups who are least represented in state and federal government (Berger 2018, Carnes 2013, 2015, 2018), suggests an under-representation of individuals who have close social ties with incarcerated people</w:t>
      </w:r>
    </w:p>
    <w:p w14:paraId="7B3A8852" w14:textId="77777777" w:rsidR="00D723E2" w:rsidRDefault="00D723E2" w:rsidP="00E25706">
      <w:pPr>
        <w:autoSpaceDE w:val="0"/>
        <w:autoSpaceDN w:val="0"/>
        <w:adjustRightInd w:val="0"/>
        <w:spacing w:after="0" w:line="240" w:lineRule="auto"/>
        <w:rPr>
          <w:rFonts w:ascii="Times New Roman" w:hAnsi="Times New Roman" w:cs="Times New Roman"/>
          <w:kern w:val="0"/>
          <w:sz w:val="22"/>
          <w:szCs w:val="22"/>
        </w:rPr>
      </w:pPr>
    </w:p>
    <w:p w14:paraId="243347FC" w14:textId="442E2378" w:rsidR="00D723E2" w:rsidRDefault="00D723E2" w:rsidP="00E25706">
      <w:pPr>
        <w:autoSpaceDE w:val="0"/>
        <w:autoSpaceDN w:val="0"/>
        <w:adjustRightInd w:val="0"/>
        <w:spacing w:after="0" w:line="240" w:lineRule="auto"/>
        <w:rPr>
          <w:rFonts w:ascii="Times New Roman" w:hAnsi="Times New Roman"/>
        </w:rPr>
      </w:pPr>
      <w:r>
        <w:rPr>
          <w:rFonts w:ascii="Times New Roman" w:hAnsi="Times New Roman" w:cs="Times New Roman"/>
          <w:kern w:val="0"/>
          <w:sz w:val="22"/>
          <w:szCs w:val="22"/>
        </w:rPr>
        <w:t xml:space="preserve">Criminalized -- </w:t>
      </w:r>
      <w:r w:rsidRPr="00953873">
        <w:rPr>
          <w:rFonts w:ascii="Times New Roman" w:hAnsi="Times New Roman"/>
        </w:rPr>
        <w:t xml:space="preserve">evidence that </w:t>
      </w:r>
      <w:r>
        <w:rPr>
          <w:rFonts w:ascii="Times New Roman" w:hAnsi="Times New Roman"/>
        </w:rPr>
        <w:t xml:space="preserve">sensational </w:t>
      </w:r>
      <w:r w:rsidRPr="00953873">
        <w:rPr>
          <w:rFonts w:ascii="Times New Roman" w:hAnsi="Times New Roman"/>
        </w:rPr>
        <w:t>media coverage of crime privileges whites and penalizes Black Americans (Dixon and Linz, 2000a, Bjornstrom, Kaufman, Peterson, and Slater, 2011) and historical and political narratives that have capitalized on criminalizing Blackness and Black Americans (Alexander; Smiley; 2017)</w:t>
      </w:r>
      <w:r>
        <w:rPr>
          <w:rFonts w:ascii="Times New Roman" w:hAnsi="Times New Roman"/>
        </w:rPr>
        <w:t>,</w:t>
      </w:r>
    </w:p>
    <w:p w14:paraId="7E75F4C0" w14:textId="77777777" w:rsidR="009663A3" w:rsidRDefault="009663A3" w:rsidP="00E25706">
      <w:pPr>
        <w:autoSpaceDE w:val="0"/>
        <w:autoSpaceDN w:val="0"/>
        <w:adjustRightInd w:val="0"/>
        <w:spacing w:after="0" w:line="240" w:lineRule="auto"/>
        <w:rPr>
          <w:rFonts w:ascii="Times New Roman" w:hAnsi="Times New Roman"/>
        </w:rPr>
      </w:pPr>
    </w:p>
    <w:p w14:paraId="43E6A786"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Race or assumed race of policy recipients shapes what people believe about</w:t>
      </w:r>
    </w:p>
    <w:p w14:paraId="02B5A357"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political preferences with regards to many public benefits, including welfare (DeSante, 2013, Gilens,</w:t>
      </w:r>
    </w:p>
    <w:p w14:paraId="0D47E40D"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1996, Soss et al, 2011, Hancock 2004), college scholarships (Feldman and Huddy 2005) as well as</w:t>
      </w:r>
    </w:p>
    <w:p w14:paraId="1A0476FB"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punishment and policing (Israel-Trummel 2022). Across policy literatures, these racialized</w:t>
      </w:r>
    </w:p>
    <w:p w14:paraId="385544C1"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assessments are linked to evaluations that Black individuals are more culpable for their</w:t>
      </w:r>
    </w:p>
    <w:p w14:paraId="3A3B78F1"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circumstances – whether that circumstance is poverty, illness, or being sexually assaulted -- and</w:t>
      </w:r>
    </w:p>
    <w:p w14:paraId="169B8906"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punished more harshly, where whites are seen to be victims of circumstances beyond their control</w:t>
      </w:r>
    </w:p>
    <w:p w14:paraId="67E46BFE"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lastRenderedPageBreak/>
        <w:t>(Aaroe and Peterson, 2014; Nazione and Silk, 2013; Donovan, 2007). In a study exposing survey</w:t>
      </w:r>
    </w:p>
    <w:p w14:paraId="410FCDAF"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participants to a vignette about police violence, Israel-Trummel and Streeter (2021) find that Black</w:t>
      </w:r>
    </w:p>
    <w:p w14:paraId="16528752" w14:textId="77777777" w:rsidR="009663A3" w:rsidRDefault="009663A3" w:rsidP="009663A3">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women participants are deemed to be more responsible (“could have done something differently to</w:t>
      </w:r>
    </w:p>
    <w:p w14:paraId="61C88944" w14:textId="771E18F9" w:rsidR="009663A3" w:rsidRDefault="009663A3" w:rsidP="009663A3">
      <w:pPr>
        <w:autoSpaceDE w:val="0"/>
        <w:autoSpaceDN w:val="0"/>
        <w:adjustRightInd w:val="0"/>
        <w:spacing w:after="0" w:line="240" w:lineRule="auto"/>
        <w:rPr>
          <w:rFonts w:ascii="Times New Roman" w:hAnsi="Times New Roman"/>
        </w:rPr>
      </w:pPr>
      <w:r>
        <w:rPr>
          <w:rFonts w:ascii="Times New Roman" w:hAnsi="Times New Roman" w:cs="Times New Roman"/>
          <w:kern w:val="0"/>
          <w:sz w:val="23"/>
          <w:szCs w:val="23"/>
        </w:rPr>
        <w:t>change the outcome of the interaction”) for their victimization than white women.</w:t>
      </w:r>
    </w:p>
    <w:p w14:paraId="2ABF129A" w14:textId="77777777" w:rsidR="00A93DCF" w:rsidRDefault="00A93DCF" w:rsidP="00E25706">
      <w:pPr>
        <w:autoSpaceDE w:val="0"/>
        <w:autoSpaceDN w:val="0"/>
        <w:adjustRightInd w:val="0"/>
        <w:spacing w:after="0" w:line="240" w:lineRule="auto"/>
        <w:rPr>
          <w:rFonts w:ascii="Times New Roman" w:hAnsi="Times New Roman"/>
        </w:rPr>
      </w:pPr>
    </w:p>
    <w:p w14:paraId="714007BF" w14:textId="77777777" w:rsidR="00A93DCF" w:rsidRDefault="00A93DCF" w:rsidP="00A93DCF">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These affect and identity mechanisms operate in a context fundamentally linking punishment and</w:t>
      </w:r>
    </w:p>
    <w:p w14:paraId="407627E4" w14:textId="77777777" w:rsidR="00A93DCF" w:rsidRDefault="00A93DCF" w:rsidP="00A93DCF">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race, as punishment in the US is a case of racial disproportionality and decentralization (Michener</w:t>
      </w:r>
    </w:p>
    <w:p w14:paraId="56541E21" w14:textId="0FE53943" w:rsidR="00A93DCF" w:rsidRDefault="00A93DCF" w:rsidP="00A93DCF">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3"/>
          <w:szCs w:val="23"/>
        </w:rPr>
        <w:t>2018, Alexander 2010).</w:t>
      </w:r>
    </w:p>
    <w:p w14:paraId="1953BC45" w14:textId="77777777" w:rsidR="009663A3" w:rsidRDefault="009663A3" w:rsidP="00A93DCF">
      <w:pPr>
        <w:autoSpaceDE w:val="0"/>
        <w:autoSpaceDN w:val="0"/>
        <w:adjustRightInd w:val="0"/>
        <w:spacing w:after="0" w:line="240" w:lineRule="auto"/>
        <w:rPr>
          <w:rFonts w:ascii="Times New Roman" w:hAnsi="Times New Roman" w:cs="Times New Roman"/>
          <w:kern w:val="0"/>
          <w:sz w:val="23"/>
          <w:szCs w:val="23"/>
        </w:rPr>
      </w:pPr>
    </w:p>
    <w:p w14:paraId="42056A10"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of color (Gelman, Fagan, and Kiss 2007, Baumgartner, Epp, and Shoub</w:t>
      </w:r>
    </w:p>
    <w:p w14:paraId="64C2C851"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2018, Davenport, Soule, and Armstrong 2011), juries seek out mitigating information for white but</w:t>
      </w:r>
    </w:p>
    <w:p w14:paraId="1F8BC9D5"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not Black defendants (Levinson 2007), assume Black men’s guilt (Levinson, Cai and Young 2010)</w:t>
      </w:r>
    </w:p>
    <w:p w14:paraId="50CAB443"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and sentence Black people more harshly (Rehavi and Starr 2014), and feel most confident in guilty</w:t>
      </w:r>
    </w:p>
    <w:p w14:paraId="0B725DE9"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verdicts based on pigmentation (Levinson and Young 2010). Trial judges present the same levels of</w:t>
      </w:r>
    </w:p>
    <w:p w14:paraId="3D8978E1"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biases as the general public (Rachlinsi, Johnson, Wistrich &amp; Guthrie 2009), and critically the public</w:t>
      </w:r>
    </w:p>
    <w:p w14:paraId="5DEF2348" w14:textId="77777777" w:rsidR="009663A3" w:rsidRPr="009663A3"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assigns culpability not only more often to Black defendants, but also to Black victims (Donovan</w:t>
      </w:r>
    </w:p>
    <w:p w14:paraId="562248B1" w14:textId="3A296F4D" w:rsidR="009663A3" w:rsidRPr="00B9567D" w:rsidRDefault="009663A3" w:rsidP="009663A3">
      <w:pPr>
        <w:autoSpaceDE w:val="0"/>
        <w:autoSpaceDN w:val="0"/>
        <w:adjustRightInd w:val="0"/>
        <w:spacing w:after="0" w:line="240" w:lineRule="auto"/>
        <w:rPr>
          <w:rFonts w:ascii="Times New Roman" w:hAnsi="Times New Roman" w:cs="Times New Roman"/>
          <w:kern w:val="0"/>
          <w:sz w:val="22"/>
          <w:szCs w:val="22"/>
        </w:rPr>
      </w:pPr>
      <w:r w:rsidRPr="009663A3">
        <w:rPr>
          <w:rFonts w:ascii="Times New Roman" w:hAnsi="Times New Roman" w:cs="Times New Roman"/>
          <w:kern w:val="0"/>
          <w:sz w:val="22"/>
          <w:szCs w:val="22"/>
        </w:rPr>
        <w:t>2007, Israel-Trummer and Streeter 2021).</w:t>
      </w:r>
    </w:p>
    <w:p w14:paraId="14BFD739" w14:textId="40FFC0AD" w:rsidR="00B9567D" w:rsidRPr="00B9567D" w:rsidRDefault="00B9567D" w:rsidP="00A93DCF">
      <w:pPr>
        <w:spacing w:before="100" w:beforeAutospacing="1" w:after="100" w:afterAutospacing="1" w:line="240" w:lineRule="auto"/>
        <w:outlineLvl w:val="1"/>
        <w:rPr>
          <w:rFonts w:ascii="Times New Roman" w:eastAsia="Times New Roman" w:hAnsi="Times New Roman" w:cs="Times New Roman"/>
          <w:b/>
          <w:bCs/>
          <w:kern w:val="0"/>
          <w:sz w:val="32"/>
          <w:szCs w:val="32"/>
          <w:u w:val="single"/>
          <w14:ligatures w14:val="none"/>
        </w:rPr>
      </w:pPr>
      <w:r w:rsidRPr="00B9567D">
        <w:rPr>
          <w:rFonts w:ascii="Times New Roman" w:eastAsia="Times New Roman" w:hAnsi="Times New Roman" w:cs="Times New Roman"/>
          <w:b/>
          <w:bCs/>
          <w:kern w:val="0"/>
          <w:sz w:val="32"/>
          <w:szCs w:val="32"/>
          <w:u w:val="single"/>
          <w14:ligatures w14:val="none"/>
        </w:rPr>
        <w:t>Paragraph 7</w:t>
      </w:r>
      <w:r w:rsidR="00A93DCF" w:rsidRPr="00A93DCF">
        <w:rPr>
          <w:rFonts w:ascii="Times New Roman" w:eastAsia="Times New Roman" w:hAnsi="Times New Roman" w:cs="Times New Roman"/>
          <w:b/>
          <w:bCs/>
          <w:kern w:val="0"/>
          <w:sz w:val="32"/>
          <w:szCs w:val="32"/>
          <w:u w:val="single"/>
          <w14:ligatures w14:val="none"/>
        </w:rPr>
        <w:t xml:space="preserve"> -</w:t>
      </w:r>
      <w:r w:rsidRPr="00B9567D">
        <w:rPr>
          <w:rFonts w:ascii="Times New Roman" w:eastAsia="Times New Roman" w:hAnsi="Times New Roman" w:cs="Times New Roman"/>
          <w:b/>
          <w:bCs/>
          <w:kern w:val="0"/>
          <w:sz w:val="32"/>
          <w:szCs w:val="32"/>
          <w:u w:val="single"/>
          <w14:ligatures w14:val="none"/>
        </w:rPr>
        <w:t>Why these groups are likely underrepresented and excluded from politics</w:t>
      </w:r>
    </w:p>
    <w:p w14:paraId="1EB06A0C" w14:textId="6DC38577" w:rsidR="00B9567D" w:rsidRPr="00B9567D" w:rsidRDefault="00B9567D" w:rsidP="00B9567D">
      <w:p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b/>
          <w:bCs/>
          <w:kern w:val="0"/>
          <w14:ligatures w14:val="none"/>
        </w:rPr>
        <w:t>Purpose in the theory section:</w:t>
      </w:r>
      <w:r w:rsidRPr="00B9567D">
        <w:rPr>
          <w:rFonts w:ascii="Times New Roman" w:eastAsia="Times New Roman" w:hAnsi="Times New Roman" w:cs="Times New Roman"/>
          <w:kern w:val="0"/>
          <w14:ligatures w14:val="none"/>
        </w:rPr>
        <w:br/>
        <w:t xml:space="preserve">This paragraph closes the loop: it explains </w:t>
      </w:r>
      <w:r w:rsidRPr="00B9567D">
        <w:rPr>
          <w:rFonts w:ascii="Times New Roman" w:eastAsia="Times New Roman" w:hAnsi="Times New Roman" w:cs="Times New Roman"/>
          <w:i/>
          <w:iCs/>
          <w:kern w:val="0"/>
          <w14:ligatures w14:val="none"/>
        </w:rPr>
        <w:t>why</w:t>
      </w:r>
      <w:r w:rsidRPr="00B9567D">
        <w:rPr>
          <w:rFonts w:ascii="Times New Roman" w:eastAsia="Times New Roman" w:hAnsi="Times New Roman" w:cs="Times New Roman"/>
          <w:kern w:val="0"/>
          <w14:ligatures w14:val="none"/>
        </w:rPr>
        <w:t xml:space="preserve">, given </w:t>
      </w:r>
      <w:r w:rsidR="000E6DD0">
        <w:rPr>
          <w:rFonts w:ascii="Times New Roman" w:eastAsia="Times New Roman" w:hAnsi="Times New Roman" w:cs="Times New Roman"/>
          <w:kern w:val="0"/>
          <w14:ligatures w14:val="none"/>
        </w:rPr>
        <w:t xml:space="preserve">what we know about special cases and impacts of the carceral state and who carceral citizens tend to be </w:t>
      </w:r>
      <w:r w:rsidRPr="00B9567D">
        <w:rPr>
          <w:rFonts w:ascii="Times New Roman" w:eastAsia="Times New Roman" w:hAnsi="Times New Roman" w:cs="Times New Roman"/>
          <w:kern w:val="0"/>
          <w14:ligatures w14:val="none"/>
        </w:rPr>
        <w:t>we should expect systematic failures of descriptive, symbolic, and epistemic representation.</w:t>
      </w:r>
    </w:p>
    <w:p w14:paraId="70E10BA6" w14:textId="77777777" w:rsidR="00B9567D" w:rsidRPr="00B9567D"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9567D">
        <w:rPr>
          <w:rFonts w:ascii="Times New Roman" w:eastAsia="Times New Roman" w:hAnsi="Times New Roman" w:cs="Times New Roman"/>
          <w:b/>
          <w:bCs/>
          <w:kern w:val="0"/>
          <w:sz w:val="27"/>
          <w:szCs w:val="27"/>
          <w14:ligatures w14:val="none"/>
        </w:rPr>
        <w:t>Core claims</w:t>
      </w:r>
    </w:p>
    <w:p w14:paraId="0488CF7A"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The same institutions that generate carceral citizenship also </w:t>
      </w:r>
      <w:r w:rsidRPr="00B9567D">
        <w:rPr>
          <w:rFonts w:ascii="Times New Roman" w:eastAsia="Times New Roman" w:hAnsi="Times New Roman" w:cs="Times New Roman"/>
          <w:b/>
          <w:bCs/>
          <w:kern w:val="0"/>
          <w14:ligatures w14:val="none"/>
        </w:rPr>
        <w:t>actively suppress political voice</w:t>
      </w:r>
      <w:r w:rsidRPr="00B9567D">
        <w:rPr>
          <w:rFonts w:ascii="Times New Roman" w:eastAsia="Times New Roman" w:hAnsi="Times New Roman" w:cs="Times New Roman"/>
          <w:kern w:val="0"/>
          <w14:ligatures w14:val="none"/>
        </w:rPr>
        <w:t>, creating a self-reinforcing cycle of underrepresentation.</w:t>
      </w:r>
    </w:p>
    <w:p w14:paraId="0F8C2BA7"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Formal mechanisms such as felon disenfranchisement exclude millions from electoral participation, but Lerman and Weaver emphasize that </w:t>
      </w:r>
      <w:r w:rsidRPr="00B9567D">
        <w:rPr>
          <w:rFonts w:ascii="Times New Roman" w:eastAsia="Times New Roman" w:hAnsi="Times New Roman" w:cs="Times New Roman"/>
          <w:b/>
          <w:bCs/>
          <w:kern w:val="0"/>
          <w14:ligatures w14:val="none"/>
        </w:rPr>
        <w:t>informal and indirect mechanisms</w:t>
      </w:r>
      <w:r w:rsidRPr="00B9567D">
        <w:rPr>
          <w:rFonts w:ascii="Times New Roman" w:eastAsia="Times New Roman" w:hAnsi="Times New Roman" w:cs="Times New Roman"/>
          <w:kern w:val="0"/>
          <w14:ligatures w14:val="none"/>
        </w:rPr>
        <w:t xml:space="preserve"> extend much further.</w:t>
      </w:r>
    </w:p>
    <w:p w14:paraId="0F735F37"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Criminal justice institutions undermine core democratic capacities by restricting speech, association, and access to courts, while insulating state actors from accountability.</w:t>
      </w:r>
    </w:p>
    <w:p w14:paraId="581887A3"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Carceral contact socializes citizens away from politics by teaching that engagement invites punishment rather than responsiveness.</w:t>
      </w:r>
    </w:p>
    <w:p w14:paraId="40185D12"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At the community level, incarceration and surveillance weaken social networks, collective efficacy, and organizational capacity, further reducing political visibility.</w:t>
      </w:r>
    </w:p>
    <w:p w14:paraId="01B741C0"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These dynamics mean that carceral citizens are systematically </w:t>
      </w:r>
      <w:r w:rsidRPr="00B9567D">
        <w:rPr>
          <w:rFonts w:ascii="Times New Roman" w:eastAsia="Times New Roman" w:hAnsi="Times New Roman" w:cs="Times New Roman"/>
          <w:b/>
          <w:bCs/>
          <w:kern w:val="0"/>
          <w14:ligatures w14:val="none"/>
        </w:rPr>
        <w:t>least likely to appear in the channels legislators rely on to perceive constituencies</w:t>
      </w:r>
      <w:r w:rsidRPr="00B9567D">
        <w:rPr>
          <w:rFonts w:ascii="Times New Roman" w:eastAsia="Times New Roman" w:hAnsi="Times New Roman" w:cs="Times New Roman"/>
          <w:kern w:val="0"/>
          <w14:ligatures w14:val="none"/>
        </w:rPr>
        <w:t>, including voting, organized advocacy, and routine constituent contact.</w:t>
      </w:r>
    </w:p>
    <w:p w14:paraId="6E621DCA" w14:textId="77777777" w:rsidR="00B9567D" w:rsidRPr="00B9567D" w:rsidRDefault="00B9567D" w:rsidP="00B9567D">
      <w:pPr>
        <w:numPr>
          <w:ilvl w:val="0"/>
          <w:numId w:val="25"/>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The result is a form of political exclusion that is not accidental or incidental, but </w:t>
      </w:r>
      <w:r w:rsidRPr="00B9567D">
        <w:rPr>
          <w:rFonts w:ascii="Times New Roman" w:eastAsia="Times New Roman" w:hAnsi="Times New Roman" w:cs="Times New Roman"/>
          <w:b/>
          <w:bCs/>
          <w:kern w:val="0"/>
          <w14:ligatures w14:val="none"/>
        </w:rPr>
        <w:t>institutionally produced</w:t>
      </w:r>
      <w:r w:rsidRPr="00B9567D">
        <w:rPr>
          <w:rFonts w:ascii="Times New Roman" w:eastAsia="Times New Roman" w:hAnsi="Times New Roman" w:cs="Times New Roman"/>
          <w:kern w:val="0"/>
          <w14:ligatures w14:val="none"/>
        </w:rPr>
        <w:t>, making descriptive representation especially salient as an alternative route to recognition.</w:t>
      </w:r>
    </w:p>
    <w:p w14:paraId="451DD3AF" w14:textId="77777777" w:rsidR="00B9567D" w:rsidRPr="00B9567D"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9567D">
        <w:rPr>
          <w:rFonts w:ascii="Times New Roman" w:eastAsia="Times New Roman" w:hAnsi="Times New Roman" w:cs="Times New Roman"/>
          <w:b/>
          <w:bCs/>
          <w:kern w:val="0"/>
          <w:sz w:val="27"/>
          <w:szCs w:val="27"/>
          <w14:ligatures w14:val="none"/>
        </w:rPr>
        <w:lastRenderedPageBreak/>
        <w:t>Sub-points / transitions</w:t>
      </w:r>
    </w:p>
    <w:p w14:paraId="244EB060" w14:textId="77777777" w:rsidR="00B9567D" w:rsidRPr="00B9567D" w:rsidRDefault="00B9567D" w:rsidP="00B9567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Connect directly back to Mansbridge: this is a textbook case of a group facing </w:t>
      </w:r>
      <w:r w:rsidRPr="00B9567D">
        <w:rPr>
          <w:rFonts w:ascii="Times New Roman" w:eastAsia="Times New Roman" w:hAnsi="Times New Roman" w:cs="Times New Roman"/>
          <w:b/>
          <w:bCs/>
          <w:kern w:val="0"/>
          <w14:ligatures w14:val="none"/>
        </w:rPr>
        <w:t>historical exclusion, distrust, and blocked communication</w:t>
      </w:r>
      <w:r w:rsidRPr="00B9567D">
        <w:rPr>
          <w:rFonts w:ascii="Times New Roman" w:eastAsia="Times New Roman" w:hAnsi="Times New Roman" w:cs="Times New Roman"/>
          <w:kern w:val="0"/>
          <w14:ligatures w14:val="none"/>
        </w:rPr>
        <w:t>.</w:t>
      </w:r>
    </w:p>
    <w:p w14:paraId="79D11782" w14:textId="77777777" w:rsidR="00B9567D" w:rsidRPr="00B9567D" w:rsidRDefault="00B9567D" w:rsidP="00B9567D">
      <w:pPr>
        <w:numPr>
          <w:ilvl w:val="0"/>
          <w:numId w:val="26"/>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 xml:space="preserve">Set up the next section by noting that if standard mechanisms fail, </w:t>
      </w:r>
      <w:r w:rsidRPr="00B9567D">
        <w:rPr>
          <w:rFonts w:ascii="Times New Roman" w:eastAsia="Times New Roman" w:hAnsi="Times New Roman" w:cs="Times New Roman"/>
          <w:b/>
          <w:bCs/>
          <w:kern w:val="0"/>
          <w14:ligatures w14:val="none"/>
        </w:rPr>
        <w:t>who legislators are</w:t>
      </w:r>
      <w:r w:rsidRPr="00B9567D">
        <w:rPr>
          <w:rFonts w:ascii="Times New Roman" w:eastAsia="Times New Roman" w:hAnsi="Times New Roman" w:cs="Times New Roman"/>
          <w:kern w:val="0"/>
          <w14:ligatures w14:val="none"/>
        </w:rPr>
        <w:t xml:space="preserve"> may matter more than </w:t>
      </w:r>
      <w:r w:rsidRPr="00B9567D">
        <w:rPr>
          <w:rFonts w:ascii="Times New Roman" w:eastAsia="Times New Roman" w:hAnsi="Times New Roman" w:cs="Times New Roman"/>
          <w:b/>
          <w:bCs/>
          <w:kern w:val="0"/>
          <w14:ligatures w14:val="none"/>
        </w:rPr>
        <w:t>who constituents can be</w:t>
      </w:r>
      <w:r w:rsidRPr="00B9567D">
        <w:rPr>
          <w:rFonts w:ascii="Times New Roman" w:eastAsia="Times New Roman" w:hAnsi="Times New Roman" w:cs="Times New Roman"/>
          <w:kern w:val="0"/>
          <w14:ligatures w14:val="none"/>
        </w:rPr>
        <w:t>.</w:t>
      </w:r>
    </w:p>
    <w:p w14:paraId="657FBEC0" w14:textId="77777777" w:rsidR="00B9567D" w:rsidRPr="00B9567D" w:rsidRDefault="00B9567D" w:rsidP="00B9567D">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B9567D">
        <w:rPr>
          <w:rFonts w:ascii="Times New Roman" w:eastAsia="Times New Roman" w:hAnsi="Times New Roman" w:cs="Times New Roman"/>
          <w:b/>
          <w:bCs/>
          <w:kern w:val="0"/>
          <w:sz w:val="27"/>
          <w:szCs w:val="27"/>
          <w14:ligatures w14:val="none"/>
        </w:rPr>
        <w:t>Quotations you can use</w:t>
      </w:r>
    </w:p>
    <w:p w14:paraId="70C5B492" w14:textId="77777777" w:rsidR="00B9567D" w:rsidRPr="00B9567D" w:rsidRDefault="00B9567D" w:rsidP="00B9567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Criminal justice institutions have “broken significantly with the fundamental norms that define democratic institutions.”</w:t>
      </w:r>
    </w:p>
    <w:p w14:paraId="6BAD49A9" w14:textId="77777777" w:rsidR="00B9567D" w:rsidRPr="00B9567D" w:rsidRDefault="00B9567D" w:rsidP="00B9567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They “restrict citizen voice, undermine equality, and insulate public officials from accountability.”</w:t>
      </w:r>
    </w:p>
    <w:p w14:paraId="71EFC5B6" w14:textId="77777777" w:rsidR="00B9567D" w:rsidRPr="00B9567D" w:rsidRDefault="00B9567D" w:rsidP="00B9567D">
      <w:pPr>
        <w:numPr>
          <w:ilvl w:val="0"/>
          <w:numId w:val="27"/>
        </w:numPr>
        <w:spacing w:before="100" w:beforeAutospacing="1" w:after="100" w:afterAutospacing="1" w:line="240" w:lineRule="auto"/>
        <w:rPr>
          <w:rFonts w:ascii="Times New Roman" w:eastAsia="Times New Roman" w:hAnsi="Times New Roman" w:cs="Times New Roman"/>
          <w:kern w:val="0"/>
          <w14:ligatures w14:val="none"/>
        </w:rPr>
      </w:pPr>
      <w:r w:rsidRPr="00B9567D">
        <w:rPr>
          <w:rFonts w:ascii="Times New Roman" w:eastAsia="Times New Roman" w:hAnsi="Times New Roman" w:cs="Times New Roman"/>
          <w:kern w:val="0"/>
          <w14:ligatures w14:val="none"/>
        </w:rPr>
        <w:t>Punitive institutions have become “less responsive and participatory than democratic institutions require.”</w:t>
      </w:r>
    </w:p>
    <w:p w14:paraId="667114A9" w14:textId="77777777" w:rsidR="00662EFC" w:rsidRDefault="00662EFC" w:rsidP="00B9567D">
      <w:pPr>
        <w:spacing w:before="100" w:beforeAutospacing="1" w:after="100" w:afterAutospacing="1" w:line="240" w:lineRule="auto"/>
        <w:rPr>
          <w:rFonts w:ascii="Times New Roman" w:eastAsia="Times New Roman" w:hAnsi="Times New Roman" w:cs="Times New Roman"/>
          <w:kern w:val="0"/>
          <w14:ligatures w14:val="none"/>
        </w:rPr>
      </w:pPr>
    </w:p>
    <w:p w14:paraId="3FE539D4" w14:textId="3400D5DA" w:rsidR="000557C3" w:rsidRDefault="000557C3" w:rsidP="00B9567D">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Literature</w:t>
      </w:r>
      <w:r w:rsidR="00B54257">
        <w:rPr>
          <w:rFonts w:ascii="Times New Roman" w:eastAsia="Times New Roman" w:hAnsi="Times New Roman" w:cs="Times New Roman"/>
          <w:kern w:val="0"/>
          <w14:ligatures w14:val="none"/>
        </w:rPr>
        <w:t>/past writing</w:t>
      </w:r>
    </w:p>
    <w:p w14:paraId="51D78222" w14:textId="77777777" w:rsidR="000557C3" w:rsidRDefault="000557C3" w:rsidP="000557C3">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incarceration’s impact on political participation, as well as work on prison geography and prison</w:t>
      </w:r>
    </w:p>
    <w:p w14:paraId="04DE8FD7" w14:textId="5CC82316" w:rsidR="000557C3" w:rsidRDefault="000557C3" w:rsidP="000557C3">
      <w:pPr>
        <w:autoSpaceDE w:val="0"/>
        <w:autoSpaceDN w:val="0"/>
        <w:adjustRightInd w:val="0"/>
        <w:spacing w:after="0" w:line="240" w:lineRule="auto"/>
        <w:rPr>
          <w:rFonts w:ascii="Times New Roman" w:hAnsi="Times New Roman" w:cs="Times New Roman"/>
          <w:kern w:val="0"/>
          <w:sz w:val="22"/>
          <w:szCs w:val="22"/>
        </w:rPr>
      </w:pPr>
      <w:r>
        <w:rPr>
          <w:rFonts w:ascii="Times New Roman" w:hAnsi="Times New Roman" w:cs="Times New Roman"/>
          <w:kern w:val="0"/>
          <w:sz w:val="22"/>
          <w:szCs w:val="22"/>
        </w:rPr>
        <w:t>economies (Keen and Jacobs 2009, Wiess and Kang-Brown 2018, Wildeman an Eason 2017, Thorpe 2015, Walker, Thorpe, Chistensen, and Anderson 2017).</w:t>
      </w:r>
    </w:p>
    <w:p w14:paraId="0D4EEB62" w14:textId="77777777" w:rsidR="000557C3" w:rsidRDefault="000557C3" w:rsidP="000557C3">
      <w:pPr>
        <w:autoSpaceDE w:val="0"/>
        <w:autoSpaceDN w:val="0"/>
        <w:adjustRightInd w:val="0"/>
        <w:spacing w:after="0" w:line="240" w:lineRule="auto"/>
        <w:rPr>
          <w:rFonts w:ascii="Times New Roman" w:hAnsi="Times New Roman" w:cs="Times New Roman"/>
          <w:kern w:val="0"/>
          <w:sz w:val="22"/>
          <w:szCs w:val="22"/>
        </w:rPr>
      </w:pPr>
    </w:p>
    <w:p w14:paraId="0FB7501D" w14:textId="23365026" w:rsidR="000557C3" w:rsidRDefault="000557C3" w:rsidP="000557C3">
      <w:pPr>
        <w:autoSpaceDE w:val="0"/>
        <w:autoSpaceDN w:val="0"/>
        <w:adjustRightInd w:val="0"/>
        <w:spacing w:after="0" w:line="240" w:lineRule="auto"/>
        <w:rPr>
          <w:rFonts w:ascii="Times New Roman" w:hAnsi="Times New Roman" w:cs="Times New Roman"/>
          <w:kern w:val="0"/>
          <w:sz w:val="22"/>
          <w:szCs w:val="22"/>
        </w:rPr>
      </w:pPr>
      <w:r w:rsidRPr="000557C3">
        <w:rPr>
          <w:rFonts w:ascii="Times New Roman" w:hAnsi="Times New Roman" w:cs="Times New Roman"/>
          <w:kern w:val="0"/>
          <w:sz w:val="22"/>
          <w:szCs w:val="22"/>
        </w:rPr>
        <w:t>Primarily with Hannah Walker and Michael Leo</w:t>
      </w:r>
      <w:r>
        <w:rPr>
          <w:rFonts w:ascii="Times New Roman" w:hAnsi="Times New Roman" w:cs="Times New Roman"/>
          <w:kern w:val="0"/>
          <w:sz w:val="22"/>
          <w:szCs w:val="22"/>
        </w:rPr>
        <w:t xml:space="preserve"> </w:t>
      </w:r>
      <w:r w:rsidRPr="000557C3">
        <w:rPr>
          <w:rFonts w:ascii="Times New Roman" w:hAnsi="Times New Roman" w:cs="Times New Roman"/>
          <w:kern w:val="0"/>
          <w:sz w:val="22"/>
          <w:szCs w:val="22"/>
        </w:rPr>
        <w:t>Owen’s work as exceptions, this literature has found negative relationships, which may in turn influence</w:t>
      </w:r>
      <w:r>
        <w:rPr>
          <w:rFonts w:ascii="Times New Roman" w:hAnsi="Times New Roman" w:cs="Times New Roman"/>
          <w:kern w:val="0"/>
          <w:sz w:val="22"/>
          <w:szCs w:val="22"/>
        </w:rPr>
        <w:t xml:space="preserve"> </w:t>
      </w:r>
      <w:r w:rsidRPr="000557C3">
        <w:rPr>
          <w:rFonts w:ascii="Times New Roman" w:hAnsi="Times New Roman" w:cs="Times New Roman"/>
          <w:kern w:val="0"/>
          <w:sz w:val="22"/>
          <w:szCs w:val="22"/>
        </w:rPr>
        <w:t>subsequent criminal legal policies and entrench public conceptions incarcerated individuals as</w:t>
      </w:r>
      <w:r>
        <w:rPr>
          <w:rFonts w:ascii="Times New Roman" w:hAnsi="Times New Roman" w:cs="Times New Roman"/>
          <w:kern w:val="0"/>
          <w:sz w:val="22"/>
          <w:szCs w:val="22"/>
        </w:rPr>
        <w:t xml:space="preserve"> </w:t>
      </w:r>
      <w:r w:rsidRPr="000557C3">
        <w:rPr>
          <w:rFonts w:ascii="Times New Roman" w:hAnsi="Times New Roman" w:cs="Times New Roman"/>
          <w:kern w:val="0"/>
          <w:sz w:val="22"/>
          <w:szCs w:val="22"/>
        </w:rPr>
        <w:t>unrepentant, unredeemable, and dangerous (Burch 2011, Gerber, Huber, Meredith, Biggers, and Hendry</w:t>
      </w:r>
      <w:r>
        <w:rPr>
          <w:rFonts w:ascii="Times New Roman" w:hAnsi="Times New Roman" w:cs="Times New Roman"/>
          <w:kern w:val="0"/>
          <w:sz w:val="22"/>
          <w:szCs w:val="22"/>
        </w:rPr>
        <w:t xml:space="preserve"> </w:t>
      </w:r>
      <w:r w:rsidRPr="000557C3">
        <w:rPr>
          <w:rFonts w:ascii="Times New Roman" w:hAnsi="Times New Roman" w:cs="Times New Roman"/>
          <w:kern w:val="0"/>
          <w:sz w:val="22"/>
          <w:szCs w:val="22"/>
        </w:rPr>
        <w:t>2017, Haselwerd 2009, Meredith and Morse 2015, Thomas 2004, Weaver and Lerman 2010, White and</w:t>
      </w:r>
      <w:r>
        <w:rPr>
          <w:rFonts w:ascii="Times New Roman" w:hAnsi="Times New Roman" w:cs="Times New Roman"/>
          <w:kern w:val="0"/>
          <w:sz w:val="22"/>
          <w:szCs w:val="22"/>
        </w:rPr>
        <w:t xml:space="preserve"> </w:t>
      </w:r>
      <w:r w:rsidRPr="000557C3">
        <w:rPr>
          <w:rFonts w:ascii="Times New Roman" w:hAnsi="Times New Roman" w:cs="Times New Roman"/>
          <w:kern w:val="0"/>
          <w:sz w:val="22"/>
          <w:szCs w:val="22"/>
        </w:rPr>
        <w:t>Nguyen 2021)</w:t>
      </w:r>
    </w:p>
    <w:p w14:paraId="26F58547" w14:textId="77777777" w:rsidR="00A93DCF" w:rsidRDefault="00A93DCF" w:rsidP="000557C3">
      <w:pPr>
        <w:autoSpaceDE w:val="0"/>
        <w:autoSpaceDN w:val="0"/>
        <w:adjustRightInd w:val="0"/>
        <w:spacing w:after="0" w:line="240" w:lineRule="auto"/>
        <w:rPr>
          <w:rFonts w:ascii="Times New Roman" w:hAnsi="Times New Roman" w:cs="Times New Roman"/>
          <w:kern w:val="0"/>
          <w:sz w:val="22"/>
          <w:szCs w:val="22"/>
        </w:rPr>
      </w:pPr>
    </w:p>
    <w:p w14:paraId="16AC115E" w14:textId="77777777" w:rsidR="00A93DCF" w:rsidRP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an estimated 4 million more people were excluded from the elections through de jure</w:t>
      </w:r>
    </w:p>
    <w:p w14:paraId="6222FE57" w14:textId="77777777" w:rsidR="00A93DCF" w:rsidRP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disenfranchisement while incarcerated on felony convictions, or while on probation or parole – a</w:t>
      </w:r>
    </w:p>
    <w:p w14:paraId="73843C79" w14:textId="77777777" w:rsidR="00A93DCF" w:rsidRP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figure that does not include people who fear or mistakenly believe they have been permanently</w:t>
      </w:r>
    </w:p>
    <w:p w14:paraId="3310EB3D" w14:textId="77777777" w:rsidR="00A93DCF" w:rsidRP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disenfranchised (Uggen, Willen, and Larson 2024). Scholars have shown these disenfranchisement</w:t>
      </w:r>
    </w:p>
    <w:p w14:paraId="2B1D519D" w14:textId="77777777" w:rsidR="00A93DCF" w:rsidRP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policies target Black political power (Hinton and Cook 2021) and serve as a critical component of</w:t>
      </w:r>
    </w:p>
    <w:p w14:paraId="1ED0AE55" w14:textId="77777777" w:rsidR="00A93DCF" w:rsidRP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mass incarceration’s broader augmentation of American democracy and racialized social control</w:t>
      </w:r>
    </w:p>
    <w:p w14:paraId="23F2DCEB" w14:textId="46BCB27E" w:rsidR="00A93DCF" w:rsidRDefault="00A93DCF" w:rsidP="00A93DCF">
      <w:pPr>
        <w:autoSpaceDE w:val="0"/>
        <w:autoSpaceDN w:val="0"/>
        <w:adjustRightInd w:val="0"/>
        <w:spacing w:after="0" w:line="240" w:lineRule="auto"/>
        <w:rPr>
          <w:rFonts w:ascii="Times New Roman" w:hAnsi="Times New Roman" w:cs="Times New Roman"/>
          <w:kern w:val="0"/>
          <w:sz w:val="22"/>
          <w:szCs w:val="22"/>
        </w:rPr>
      </w:pPr>
      <w:r w:rsidRPr="00A93DCF">
        <w:rPr>
          <w:rFonts w:ascii="Times New Roman" w:hAnsi="Times New Roman" w:cs="Times New Roman"/>
          <w:kern w:val="0"/>
          <w:sz w:val="22"/>
          <w:szCs w:val="22"/>
        </w:rPr>
        <w:t>(Beckett and Western 2001, Simon 2007, 2020, Wacquant 2010, Weaver and Lerman 2010).</w:t>
      </w:r>
    </w:p>
    <w:p w14:paraId="1DA1D161" w14:textId="77777777" w:rsidR="00A93DCF" w:rsidRDefault="00A93DCF" w:rsidP="00A93DCF">
      <w:pPr>
        <w:autoSpaceDE w:val="0"/>
        <w:autoSpaceDN w:val="0"/>
        <w:adjustRightInd w:val="0"/>
        <w:spacing w:after="0" w:line="240" w:lineRule="auto"/>
        <w:rPr>
          <w:rFonts w:ascii="Times New Roman" w:hAnsi="Times New Roman" w:cs="Times New Roman"/>
          <w:kern w:val="0"/>
          <w:sz w:val="22"/>
          <w:szCs w:val="22"/>
        </w:rPr>
      </w:pPr>
    </w:p>
    <w:p w14:paraId="01A84BC1" w14:textId="52BCF666" w:rsidR="00A93DCF" w:rsidRPr="00A93DCF" w:rsidRDefault="00A93DCF" w:rsidP="00A93DCF">
      <w:pPr>
        <w:autoSpaceDE w:val="0"/>
        <w:autoSpaceDN w:val="0"/>
        <w:adjustRightInd w:val="0"/>
        <w:spacing w:after="0" w:line="240" w:lineRule="auto"/>
        <w:rPr>
          <w:rFonts w:ascii="Times New Roman" w:hAnsi="Times New Roman" w:cs="Times New Roman"/>
          <w:kern w:val="0"/>
          <w:sz w:val="23"/>
          <w:szCs w:val="23"/>
        </w:rPr>
      </w:pPr>
      <w:r>
        <w:rPr>
          <w:rFonts w:ascii="Times New Roman" w:hAnsi="Times New Roman" w:cs="Times New Roman"/>
          <w:kern w:val="0"/>
          <w:sz w:val="22"/>
          <w:szCs w:val="22"/>
        </w:rPr>
        <w:t xml:space="preserve">Eligible but excluded incarcerated voters - </w:t>
      </w:r>
      <w:r>
        <w:rPr>
          <w:rFonts w:ascii="Times New Roman" w:hAnsi="Times New Roman" w:cs="Times New Roman"/>
          <w:kern w:val="0"/>
          <w:sz w:val="23"/>
          <w:szCs w:val="23"/>
        </w:rPr>
        <w:t>In September 2024, California's Democratic governor vetoed legislation that sought to end the defacto disenfranchisement of eligible incarcerated voters. With no meaningful and systematized way to cast a counted ballot from jail, these Californians made up the largest share of an estimated 500,000 people nationally were unconstitutionally kept from participating in the subsequent 2024 elections (Wang 2024).</w:t>
      </w:r>
    </w:p>
    <w:p w14:paraId="11AB7402" w14:textId="77777777" w:rsidR="00662EFC" w:rsidRPr="00662EFC" w:rsidRDefault="00543FB5"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06C7BACB">
          <v:rect id="_x0000_i1029" alt="" style="width:468pt;height:.05pt;mso-width-percent:0;mso-height-percent:0;mso-width-percent:0;mso-height-percent:0" o:hralign="center" o:hrstd="t" o:hr="t" fillcolor="#a0a0a0" stroked="f"/>
        </w:pict>
      </w:r>
    </w:p>
    <w:p w14:paraId="798E1D61"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662EFC">
        <w:rPr>
          <w:rFonts w:ascii="Times New Roman" w:eastAsia="Times New Roman" w:hAnsi="Times New Roman" w:cs="Times New Roman"/>
          <w:b/>
          <w:bCs/>
          <w:kern w:val="0"/>
          <w14:ligatures w14:val="none"/>
        </w:rPr>
        <w:t>P9. Proximal impact and who is affected</w:t>
      </w:r>
    </w:p>
    <w:p w14:paraId="5C0A1C54" w14:textId="77777777" w:rsidR="00662EFC" w:rsidRPr="00662EFC"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lastRenderedPageBreak/>
        <w:t>Carceral state affects more than the incarcerated individual</w:t>
      </w:r>
    </w:p>
    <w:p w14:paraId="0AEDB9BB" w14:textId="77777777" w:rsidR="00662EFC" w:rsidRPr="00662EFC"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Emphasize:</w:t>
      </w:r>
    </w:p>
    <w:p w14:paraId="5CFAEE09" w14:textId="77777777" w:rsidR="00662EFC" w:rsidRPr="00662EFC"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children</w:t>
      </w:r>
    </w:p>
    <w:p w14:paraId="218AA477" w14:textId="77777777" w:rsidR="00662EFC" w:rsidRPr="00662EFC"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women</w:t>
      </w:r>
    </w:p>
    <w:p w14:paraId="5ED430DC" w14:textId="77777777" w:rsidR="00662EFC" w:rsidRPr="00662EFC"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families</w:t>
      </w:r>
    </w:p>
    <w:p w14:paraId="0D635AA4" w14:textId="77777777" w:rsidR="00662EFC" w:rsidRPr="00662EFC" w:rsidRDefault="00662EFC" w:rsidP="00662EFC">
      <w:pPr>
        <w:numPr>
          <w:ilvl w:val="1"/>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communities</w:t>
      </w:r>
    </w:p>
    <w:p w14:paraId="3798FC94" w14:textId="77777777" w:rsidR="00662EFC" w:rsidRPr="00662EFC"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This is where “proximal” impact becomes conceptually important</w:t>
      </w:r>
    </w:p>
    <w:p w14:paraId="031E79AF" w14:textId="77777777" w:rsidR="00662EFC" w:rsidRPr="00662EFC" w:rsidRDefault="00662EFC" w:rsidP="00662EFC">
      <w:pPr>
        <w:numPr>
          <w:ilvl w:val="0"/>
          <w:numId w:val="13"/>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Sets up why representation cannot be limited to “prisoners only”</w:t>
      </w:r>
    </w:p>
    <w:p w14:paraId="432EDFBA" w14:textId="77777777" w:rsidR="00662EFC" w:rsidRPr="00662EFC" w:rsidRDefault="00543FB5"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68252DBB">
          <v:rect id="_x0000_i1028" alt="" style="width:468pt;height:.05pt;mso-width-percent:0;mso-height-percent:0;mso-width-percent:0;mso-height-percent:0" o:hralign="center" o:hrstd="t" o:hr="t" fillcolor="#a0a0a0" stroked="f"/>
        </w:pict>
      </w:r>
    </w:p>
    <w:p w14:paraId="7849C267"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662EFC">
        <w:rPr>
          <w:rFonts w:ascii="Times New Roman" w:eastAsia="Times New Roman" w:hAnsi="Times New Roman" w:cs="Times New Roman"/>
          <w:b/>
          <w:bCs/>
          <w:kern w:val="0"/>
          <w14:ligatures w14:val="none"/>
        </w:rPr>
        <w:t>P10. Who carceral citizens are / tend to be</w:t>
      </w:r>
    </w:p>
    <w:p w14:paraId="40B3E679" w14:textId="77777777" w:rsidR="00662EFC" w:rsidRPr="00662EFC" w:rsidRDefault="00662EFC" w:rsidP="00662EF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Carceral impact is not randomly distributed</w:t>
      </w:r>
    </w:p>
    <w:p w14:paraId="509D8FF1" w14:textId="77777777" w:rsidR="00662EFC" w:rsidRPr="00662EFC" w:rsidRDefault="00662EFC" w:rsidP="00662EF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Disproportionately affects:</w:t>
      </w:r>
    </w:p>
    <w:p w14:paraId="47A7DE2D" w14:textId="77777777" w:rsidR="00662EFC" w:rsidRPr="00662EFC" w:rsidRDefault="00662EFC" w:rsidP="00662EFC">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Black Americans</w:t>
      </w:r>
    </w:p>
    <w:p w14:paraId="0E034515" w14:textId="77777777" w:rsidR="00662EFC" w:rsidRPr="00662EFC" w:rsidRDefault="00662EFC" w:rsidP="00662EFC">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Latino/Hispanic Americans</w:t>
      </w:r>
    </w:p>
    <w:p w14:paraId="2E7DFD36" w14:textId="77777777" w:rsidR="00662EFC" w:rsidRPr="00662EFC" w:rsidRDefault="00662EFC" w:rsidP="00662EFC">
      <w:pPr>
        <w:numPr>
          <w:ilvl w:val="1"/>
          <w:numId w:val="14"/>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low-income communities</w:t>
      </w:r>
    </w:p>
    <w:p w14:paraId="3267DE81" w14:textId="77777777" w:rsidR="00662EFC" w:rsidRPr="00662EFC" w:rsidRDefault="00662EFC" w:rsidP="00662EFC">
      <w:pPr>
        <w:numPr>
          <w:ilvl w:val="0"/>
          <w:numId w:val="14"/>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Establishes carceral citizens as a structurally marginalized group</w:t>
      </w:r>
    </w:p>
    <w:p w14:paraId="55CFC531" w14:textId="77777777" w:rsidR="00662EFC" w:rsidRPr="00662EFC" w:rsidRDefault="00543FB5"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3C6E18E0">
          <v:rect id="_x0000_i1027" alt="" style="width:468pt;height:.05pt;mso-width-percent:0;mso-height-percent:0;mso-width-percent:0;mso-height-percent:0" o:hralign="center" o:hrstd="t" o:hr="t" fillcolor="#a0a0a0" stroked="f"/>
        </w:pict>
      </w:r>
    </w:p>
    <w:p w14:paraId="1ECCC9D6"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662EFC">
        <w:rPr>
          <w:rFonts w:ascii="Times New Roman" w:eastAsia="Times New Roman" w:hAnsi="Times New Roman" w:cs="Times New Roman"/>
          <w:b/>
          <w:bCs/>
          <w:kern w:val="0"/>
          <w14:ligatures w14:val="none"/>
        </w:rPr>
        <w:t>P11. Epistemic orientations shaped by carceral contact</w:t>
      </w:r>
    </w:p>
    <w:p w14:paraId="3167D2D6" w14:textId="77777777" w:rsidR="00662EFC" w:rsidRPr="00662EFC" w:rsidRDefault="00662EFC" w:rsidP="00662EF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Introduce Weaver–Prowse–Piston logic</w:t>
      </w:r>
    </w:p>
    <w:p w14:paraId="77102924" w14:textId="77777777" w:rsidR="00662EFC" w:rsidRPr="00662EFC" w:rsidRDefault="00662EFC" w:rsidP="00662EF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Distinct treatment by the state produces:</w:t>
      </w:r>
    </w:p>
    <w:p w14:paraId="42073C45" w14:textId="77777777" w:rsidR="00662EFC" w:rsidRPr="00662EFC" w:rsidRDefault="00662EFC" w:rsidP="00662EFC">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different perceptions of legitimacy</w:t>
      </w:r>
    </w:p>
    <w:p w14:paraId="2A9FF603" w14:textId="77777777" w:rsidR="00662EFC" w:rsidRPr="00662EFC" w:rsidRDefault="00662EFC" w:rsidP="00662EFC">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different understandings of government</w:t>
      </w:r>
    </w:p>
    <w:p w14:paraId="55ADADDA" w14:textId="77777777" w:rsidR="00662EFC" w:rsidRPr="00662EFC" w:rsidRDefault="00662EFC" w:rsidP="00662EFC">
      <w:pPr>
        <w:numPr>
          <w:ilvl w:val="1"/>
          <w:numId w:val="1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different orientations toward policy</w:t>
      </w:r>
    </w:p>
    <w:p w14:paraId="02F35918" w14:textId="77777777" w:rsidR="00662EFC" w:rsidRPr="00662EFC" w:rsidRDefault="00662EFC" w:rsidP="00662EFC">
      <w:pPr>
        <w:numPr>
          <w:ilvl w:val="0"/>
          <w:numId w:val="15"/>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This is the bridge from material effects → epistemic consequences</w:t>
      </w:r>
    </w:p>
    <w:p w14:paraId="4CAD997A" w14:textId="77777777" w:rsidR="00662EFC" w:rsidRPr="00662EFC" w:rsidRDefault="00543FB5"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2729F25D">
          <v:rect id="_x0000_i1026" alt="" style="width:468pt;height:.05pt;mso-width-percent:0;mso-height-percent:0;mso-width-percent:0;mso-height-percent:0" o:hralign="center" o:hrstd="t" o:hr="t" fillcolor="#a0a0a0" stroked="f"/>
        </w:pict>
      </w:r>
    </w:p>
    <w:p w14:paraId="3AE5BA29"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b/>
          <w:bCs/>
          <w:kern w:val="0"/>
          <w14:ligatures w14:val="none"/>
        </w:rPr>
      </w:pPr>
      <w:r w:rsidRPr="00662EFC">
        <w:rPr>
          <w:rFonts w:ascii="Times New Roman" w:eastAsia="Times New Roman" w:hAnsi="Times New Roman" w:cs="Times New Roman"/>
          <w:b/>
          <w:bCs/>
          <w:kern w:val="0"/>
          <w14:ligatures w14:val="none"/>
        </w:rPr>
        <w:t>P12. Why carceral citizens are not well represented</w:t>
      </w:r>
    </w:p>
    <w:p w14:paraId="1A238366" w14:textId="77777777" w:rsidR="00662EFC" w:rsidRPr="00662EFC"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xml:space="preserve">Restates Mansbridge </w:t>
      </w:r>
      <w:r w:rsidRPr="00662EFC">
        <w:rPr>
          <w:rFonts w:ascii="Times New Roman" w:eastAsia="Times New Roman" w:hAnsi="Times New Roman" w:cs="Times New Roman"/>
          <w:i/>
          <w:iCs/>
          <w:kern w:val="0"/>
          <w14:ligatures w14:val="none"/>
        </w:rPr>
        <w:t>for this case</w:t>
      </w:r>
    </w:p>
    <w:p w14:paraId="5F74A4FD" w14:textId="77777777" w:rsidR="00662EFC" w:rsidRPr="00662EFC"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Reasons include:</w:t>
      </w:r>
    </w:p>
    <w:p w14:paraId="18EA5BF3" w14:textId="77777777" w:rsidR="00662EFC" w:rsidRPr="00662EFC"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racial underrepresentation</w:t>
      </w:r>
    </w:p>
    <w:p w14:paraId="71D62B2D" w14:textId="77777777" w:rsidR="00662EFC" w:rsidRPr="00662EFC"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socioeconomic underrepresentation</w:t>
      </w:r>
    </w:p>
    <w:p w14:paraId="40435C80" w14:textId="77777777" w:rsidR="00662EFC" w:rsidRPr="00662EFC"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geographic isolation (prisons, rural siting)</w:t>
      </w:r>
    </w:p>
    <w:p w14:paraId="73407DC7" w14:textId="77777777" w:rsidR="00662EFC" w:rsidRPr="00662EFC" w:rsidRDefault="00662EFC" w:rsidP="00662EFC">
      <w:pPr>
        <w:numPr>
          <w:ilvl w:val="1"/>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stigma</w:t>
      </w:r>
    </w:p>
    <w:p w14:paraId="0C262EFC" w14:textId="77777777" w:rsidR="00662EFC" w:rsidRPr="00662EFC"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Incentives for even co-racial legislators to engage in distancing</w:t>
      </w:r>
    </w:p>
    <w:p w14:paraId="2FE53E68" w14:textId="77777777" w:rsidR="00662EFC" w:rsidRPr="00662EFC" w:rsidRDefault="00662EFC" w:rsidP="00662EFC">
      <w:pPr>
        <w:numPr>
          <w:ilvl w:val="0"/>
          <w:numId w:val="16"/>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Surrogate representation becomes common</w:t>
      </w:r>
    </w:p>
    <w:p w14:paraId="24434A3A"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p>
    <w:p w14:paraId="3984ACBD" w14:textId="58DC9A9C" w:rsid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lastRenderedPageBreak/>
        <w:t>Paragraph 13</w:t>
      </w:r>
    </w:p>
    <w:p w14:paraId="02BECFCF"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Begin moving from theory → expectations</w:t>
      </w:r>
    </w:p>
    <w:p w14:paraId="6D36F20B"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Core expectations include:</w:t>
      </w:r>
    </w:p>
    <w:p w14:paraId="6FF07287" w14:textId="77777777" w:rsidR="00662EFC" w:rsidRPr="00662EFC" w:rsidRDefault="00662EFC" w:rsidP="00662EF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impacted vs non-impacted people think about criminal legal policy differently</w:t>
      </w:r>
    </w:p>
    <w:p w14:paraId="7666906A" w14:textId="77777777" w:rsidR="00662EFC" w:rsidRPr="00662EFC" w:rsidRDefault="00662EFC" w:rsidP="00662EF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impacted communities are underrepresented descriptively</w:t>
      </w:r>
    </w:p>
    <w:p w14:paraId="57BF1796" w14:textId="77777777" w:rsidR="00662EFC" w:rsidRPr="00662EFC" w:rsidRDefault="00662EFC" w:rsidP="00662EFC">
      <w:pPr>
        <w:numPr>
          <w:ilvl w:val="0"/>
          <w:numId w:val="9"/>
        </w:num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where representation exists, it may come via surrogates</w:t>
      </w:r>
    </w:p>
    <w:p w14:paraId="58F8B0AE" w14:textId="3C727722"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Introduce proximal representation as a plausible alternative pathway</w:t>
      </w:r>
      <w:r>
        <w:rPr>
          <w:rFonts w:ascii="Times New Roman" w:eastAsia="Times New Roman" w:hAnsi="Times New Roman" w:cs="Times New Roman"/>
          <w:kern w:val="0"/>
          <w14:ligatures w14:val="none"/>
        </w:rPr>
        <w:t>?</w:t>
      </w:r>
    </w:p>
    <w:p w14:paraId="579EDF39" w14:textId="77777777" w:rsidR="00662EFC" w:rsidRPr="00662EFC"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r w:rsidRPr="00662EFC">
        <w:rPr>
          <w:rFonts w:ascii="Times New Roman" w:eastAsia="Times New Roman" w:hAnsi="Times New Roman" w:cs="Times New Roman"/>
          <w:kern w:val="0"/>
          <w14:ligatures w14:val="none"/>
        </w:rPr>
        <w:t>  Sets the stage for symbolic and epistemic representation questions</w:t>
      </w:r>
    </w:p>
    <w:p w14:paraId="64FCB606" w14:textId="77777777" w:rsidR="00662EFC" w:rsidRPr="0078023A"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p>
    <w:p w14:paraId="3EF0DE15" w14:textId="77777777" w:rsidR="00662EFC" w:rsidRPr="0078023A" w:rsidRDefault="00662EFC" w:rsidP="00662EFC">
      <w:pPr>
        <w:spacing w:before="100" w:beforeAutospacing="1" w:after="100" w:afterAutospacing="1" w:line="240" w:lineRule="auto"/>
        <w:rPr>
          <w:rFonts w:ascii="Times New Roman" w:eastAsia="Times New Roman" w:hAnsi="Times New Roman" w:cs="Times New Roman"/>
          <w:kern w:val="0"/>
          <w14:ligatures w14:val="none"/>
        </w:rPr>
      </w:pPr>
    </w:p>
    <w:p w14:paraId="5EAFB5EA" w14:textId="77777777" w:rsidR="00662EFC" w:rsidRPr="0078023A" w:rsidRDefault="00662EFC" w:rsidP="0078023A">
      <w:pPr>
        <w:spacing w:before="100" w:beforeAutospacing="1" w:after="100" w:afterAutospacing="1" w:line="240" w:lineRule="auto"/>
        <w:rPr>
          <w:rFonts w:ascii="Times New Roman" w:eastAsia="Times New Roman" w:hAnsi="Times New Roman" w:cs="Times New Roman"/>
          <w:kern w:val="0"/>
          <w14:ligatures w14:val="none"/>
        </w:rPr>
      </w:pPr>
    </w:p>
    <w:p w14:paraId="3D9D1C7D"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Do this for all 13 paragraphs. No citations. No quotes. No polishing.</w:t>
      </w:r>
    </w:p>
    <w:p w14:paraId="4F5AAAC5" w14:textId="77777777" w:rsid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This turns the task from “write theory” into “fill 13 slots.”</w:t>
      </w:r>
    </w:p>
    <w:p w14:paraId="3BDEB79A" w14:textId="77777777" w:rsid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p>
    <w:p w14:paraId="447B7766" w14:textId="77777777" w:rsid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p>
    <w:p w14:paraId="55C0718D"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p>
    <w:p w14:paraId="64562CB8" w14:textId="77777777" w:rsidR="0078023A" w:rsidRPr="0078023A" w:rsidRDefault="00543FB5" w:rsidP="0078023A">
      <w:pPr>
        <w:spacing w:after="0" w:line="240" w:lineRule="auto"/>
        <w:rPr>
          <w:rFonts w:ascii="Times New Roman" w:eastAsia="Times New Roman" w:hAnsi="Times New Roman" w:cs="Times New Roman"/>
          <w:kern w:val="0"/>
          <w14:ligatures w14:val="none"/>
        </w:rPr>
      </w:pPr>
      <w:r>
        <w:rPr>
          <w:rFonts w:ascii="Times New Roman" w:eastAsia="Times New Roman" w:hAnsi="Times New Roman" w:cs="Times New Roman"/>
          <w:noProof/>
          <w:kern w:val="0"/>
        </w:rPr>
        <w:pict w14:anchorId="49899671">
          <v:rect id="_x0000_i1025" alt="" style="width:468pt;height:.05pt;mso-width-percent:0;mso-height-percent:0;mso-width-percent:0;mso-height-percent:0" o:hralign="center" o:hrstd="t" o:hr="t" fillcolor="#a0a0a0" stroked="f"/>
        </w:pict>
      </w:r>
    </w:p>
    <w:p w14:paraId="58FE70EC" w14:textId="77777777" w:rsidR="0078023A" w:rsidRPr="0078023A" w:rsidRDefault="0078023A" w:rsidP="0078023A">
      <w:pPr>
        <w:spacing w:before="100" w:beforeAutospacing="1" w:after="100" w:afterAutospacing="1" w:line="240" w:lineRule="auto"/>
        <w:outlineLvl w:val="2"/>
        <w:rPr>
          <w:rFonts w:ascii="Times New Roman" w:eastAsia="Times New Roman" w:hAnsi="Times New Roman" w:cs="Times New Roman"/>
          <w:b/>
          <w:bCs/>
          <w:kern w:val="0"/>
          <w:sz w:val="27"/>
          <w:szCs w:val="27"/>
          <w14:ligatures w14:val="none"/>
        </w:rPr>
      </w:pPr>
      <w:r w:rsidRPr="0078023A">
        <w:rPr>
          <w:rFonts w:ascii="Times New Roman" w:eastAsia="Times New Roman" w:hAnsi="Times New Roman" w:cs="Times New Roman"/>
          <w:b/>
          <w:bCs/>
          <w:kern w:val="0"/>
          <w:sz w:val="27"/>
          <w:szCs w:val="27"/>
          <w14:ligatures w14:val="none"/>
        </w:rPr>
        <w:t xml:space="preserve">Step 2: Identify the </w:t>
      </w:r>
      <w:r w:rsidRPr="0078023A">
        <w:rPr>
          <w:rFonts w:ascii="Times New Roman" w:eastAsia="Times New Roman" w:hAnsi="Times New Roman" w:cs="Times New Roman"/>
          <w:b/>
          <w:bCs/>
          <w:i/>
          <w:iCs/>
          <w:kern w:val="0"/>
          <w:sz w:val="27"/>
          <w:szCs w:val="27"/>
          <w14:ligatures w14:val="none"/>
        </w:rPr>
        <w:t>keystone paragraph</w:t>
      </w:r>
    </w:p>
    <w:p w14:paraId="343F0505"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From your memo, one paragraph is doing the heaviest lifting:</w:t>
      </w:r>
    </w:p>
    <w:p w14:paraId="70B0713F"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 xml:space="preserve">the move from </w:t>
      </w:r>
      <w:r w:rsidRPr="0078023A">
        <w:rPr>
          <w:rFonts w:ascii="Times New Roman" w:eastAsia="Times New Roman" w:hAnsi="Times New Roman" w:cs="Times New Roman"/>
          <w:b/>
          <w:bCs/>
          <w:kern w:val="0"/>
          <w14:ligatures w14:val="none"/>
        </w:rPr>
        <w:t>descriptive representation → epistemic orientation</w:t>
      </w:r>
    </w:p>
    <w:p w14:paraId="3BF57553"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That paragraph is your keystone. Everything before it prepares the reader to accept it; everything after it elaborates consequences.</w:t>
      </w:r>
    </w:p>
    <w:p w14:paraId="52A2B94F" w14:textId="77777777" w:rsidR="0078023A" w:rsidRPr="0078023A" w:rsidRDefault="0078023A" w:rsidP="0078023A">
      <w:pPr>
        <w:spacing w:before="100" w:beforeAutospacing="1" w:after="100" w:afterAutospacing="1" w:line="240" w:lineRule="auto"/>
        <w:rPr>
          <w:rFonts w:ascii="Times New Roman" w:eastAsia="Times New Roman" w:hAnsi="Times New Roman" w:cs="Times New Roman"/>
          <w:kern w:val="0"/>
          <w14:ligatures w14:val="none"/>
        </w:rPr>
      </w:pPr>
      <w:r w:rsidRPr="0078023A">
        <w:rPr>
          <w:rFonts w:ascii="Times New Roman" w:eastAsia="Times New Roman" w:hAnsi="Times New Roman" w:cs="Times New Roman"/>
          <w:kern w:val="0"/>
          <w14:ligatures w14:val="none"/>
        </w:rPr>
        <w:t>Once you’ve numbered the 13 paragraphs, we should explicitly label:</w:t>
      </w:r>
    </w:p>
    <w:p w14:paraId="0644DC8A" w14:textId="77777777" w:rsidR="000418C1" w:rsidRPr="000418C1" w:rsidRDefault="000418C1" w:rsidP="000418C1">
      <w:pPr>
        <w:spacing w:before="100" w:beforeAutospacing="1" w:after="100" w:afterAutospacing="1" w:line="240" w:lineRule="auto"/>
        <w:outlineLvl w:val="0"/>
        <w:rPr>
          <w:rFonts w:ascii="Times New Roman" w:eastAsia="Times New Roman" w:hAnsi="Times New Roman" w:cs="Times New Roman"/>
          <w:b/>
          <w:bCs/>
          <w:kern w:val="36"/>
          <w:sz w:val="48"/>
          <w:szCs w:val="48"/>
          <w14:ligatures w14:val="none"/>
        </w:rPr>
      </w:pPr>
      <w:r w:rsidRPr="000418C1">
        <w:rPr>
          <w:rFonts w:ascii="Times New Roman" w:eastAsia="Times New Roman" w:hAnsi="Times New Roman" w:cs="Times New Roman"/>
          <w:b/>
          <w:bCs/>
          <w:kern w:val="36"/>
          <w:sz w:val="48"/>
          <w:szCs w:val="48"/>
          <w14:ligatures w14:val="none"/>
        </w:rPr>
        <w:lastRenderedPageBreak/>
        <w:t>Framework Map: How the Organizing Logic Evolves Through the Theory Section</w:t>
      </w:r>
    </w:p>
    <w:p w14:paraId="1ACD5DA5" w14:textId="77777777" w:rsidR="000418C1" w:rsidRPr="000418C1"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418C1">
        <w:rPr>
          <w:rFonts w:ascii="Times New Roman" w:eastAsia="Times New Roman" w:hAnsi="Times New Roman" w:cs="Times New Roman"/>
          <w:b/>
          <w:bCs/>
          <w:kern w:val="0"/>
          <w:sz w:val="36"/>
          <w:szCs w:val="36"/>
          <w14:ligatures w14:val="none"/>
        </w:rPr>
        <w:t>LAYER 1: Starting Framework (P1-P2)</w:t>
      </w:r>
    </w:p>
    <w:p w14:paraId="538E4FAB" w14:textId="77777777" w:rsidR="000418C1" w:rsidRPr="000418C1"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418C1">
        <w:rPr>
          <w:rFonts w:ascii="Times New Roman" w:eastAsia="Times New Roman" w:hAnsi="Times New Roman" w:cs="Times New Roman"/>
          <w:b/>
          <w:bCs/>
          <w:kern w:val="0"/>
          <w:sz w:val="36"/>
          <w:szCs w:val="36"/>
          <w14:ligatures w14:val="none"/>
        </w:rPr>
        <w:t>The basic upstream/downstream distinction as introduced</w:t>
      </w:r>
    </w:p>
    <w:p w14:paraId="15932CF7"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REPRESENTATION</w:t>
      </w:r>
    </w:p>
    <w:p w14:paraId="4A30AB0A"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UPSTREAM (institutional causes of who is present)</w:t>
      </w:r>
    </w:p>
    <w:p w14:paraId="481E7806"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 Institutional design &amp; incentives</w:t>
      </w:r>
    </w:p>
    <w:p w14:paraId="53EF4C67"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 Party gatekeeping &amp; candidate recruitment</w:t>
      </w:r>
    </w:p>
    <w:p w14:paraId="1E52FD89"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 Masculinized/racialized institutional cultures</w:t>
      </w:r>
    </w:p>
    <w:p w14:paraId="70D53CBF"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 Persistent bias that elections alone don't correct</w:t>
      </w:r>
    </w:p>
    <w:p w14:paraId="3F884C45"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w:t>
      </w:r>
    </w:p>
    <w:p w14:paraId="6AE2C7A8"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DOWNSTREAM (what follows from who is present)</w:t>
      </w:r>
    </w:p>
    <w:p w14:paraId="19127B0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[not yet differentiated]</w:t>
      </w:r>
    </w:p>
    <w:p w14:paraId="7505C2AE"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"outcomes, policy process, responsiveness"</w:t>
      </w:r>
    </w:p>
    <w:p w14:paraId="790A8DEF" w14:textId="77777777" w:rsidR="000418C1" w:rsidRPr="000418C1"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418C1">
        <w:rPr>
          <w:rFonts w:ascii="Times New Roman" w:eastAsia="Times New Roman" w:hAnsi="Times New Roman" w:cs="Times New Roman"/>
          <w:b/>
          <w:bCs/>
          <w:kern w:val="0"/>
          <w:sz w:val="36"/>
          <w:szCs w:val="36"/>
          <w14:ligatures w14:val="none"/>
        </w:rPr>
        <w:t>LAYER 2: Downstream Gets Differentiated (P3 empirical paragraph)</w:t>
      </w:r>
    </w:p>
    <w:p w14:paraId="24F40C47"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DOWNSTREAM</w:t>
      </w:r>
    </w:p>
    <w:p w14:paraId="4187BC69"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OUTCOMES</w:t>
      </w:r>
    </w:p>
    <w:p w14:paraId="0F53DFF7"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 Policy/substantive (legislation, spending, etc.)</w:t>
      </w:r>
    </w:p>
    <w:p w14:paraId="1FC3B5B6"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 Responsiveness (service, constituent communication)</w:t>
      </w:r>
    </w:p>
    <w:p w14:paraId="321EDCB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w:t>
      </w:r>
    </w:p>
    <w:p w14:paraId="6505100C"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PROCESS</w:t>
      </w:r>
    </w:p>
    <w:p w14:paraId="0E457A79"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Agenda-setting (which issues get attention)</w:t>
      </w:r>
    </w:p>
    <w:p w14:paraId="1A782CD5"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Deliberation quality</w:t>
      </w:r>
    </w:p>
    <w:p w14:paraId="0F5C95B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Institutional culture (whose concerns are treated as relevant)</w:t>
      </w:r>
    </w:p>
    <w:p w14:paraId="6DE73E27"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w:t>
      </w:r>
    </w:p>
    <w:p w14:paraId="5B48475E"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emerging category not yet named:]</w:t>
      </w:r>
    </w:p>
    <w:p w14:paraId="7EE6BBE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"symbolic recognition" / "relational ties" / "perceptions of legitimacy"</w:t>
      </w:r>
    </w:p>
    <w:p w14:paraId="74C2CC07"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These don't fit cleanly in process OR outcomes</w:t>
      </w:r>
    </w:p>
    <w:p w14:paraId="701A1D34" w14:textId="77777777" w:rsidR="000418C1" w:rsidRPr="000418C1"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418C1">
        <w:rPr>
          <w:rFonts w:ascii="Times New Roman" w:eastAsia="Times New Roman" w:hAnsi="Times New Roman" w:cs="Times New Roman"/>
          <w:b/>
          <w:bCs/>
          <w:kern w:val="0"/>
          <w:sz w:val="36"/>
          <w:szCs w:val="36"/>
          <w14:ligatures w14:val="none"/>
        </w:rPr>
        <w:t>LAYER 3: Mansbridge Introduces a Third Category (P4)</w:t>
      </w:r>
    </w:p>
    <w:p w14:paraId="34DF4D0D"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Mansbridge's 4 contexts map onto the framework BUT push it:</w:t>
      </w:r>
    </w:p>
    <w:p w14:paraId="759BBA9F"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725349DD"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DOWNSTREAM - PROCESS (enhanced deliberation)</w:t>
      </w:r>
    </w:p>
    <w:p w14:paraId="004596E7"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Communicative distrust    → vertical communication / responsiveness</w:t>
      </w:r>
    </w:p>
    <w:p w14:paraId="08BAD9E3"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Uncrystallized interests  → horizontal deliberation among legislators</w:t>
      </w:r>
    </w:p>
    <w:p w14:paraId="03459543"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F7BEB3F"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DOESN'T FIT NEATLY INTO UPSTREAM OR DOWNSTREAM:</w:t>
      </w:r>
    </w:p>
    <w:p w14:paraId="6FFC9825"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"Ability to rule"         → social meaning, psychology of dominant groups</w:t>
      </w:r>
    </w:p>
    <w:p w14:paraId="4865BF99"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De facto legitimacy       → feelings of inclusion, perceived voice</w:t>
      </w:r>
    </w:p>
    <w:p w14:paraId="027429AD"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6F8433"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These are SYMBOLIC — they concern meaning, recognition, and perceived</w:t>
      </w:r>
    </w:p>
    <w:p w14:paraId="7A2F74C3"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standing rather than policy outputs or procedural quality. They are</w:t>
      </w:r>
    </w:p>
    <w:p w14:paraId="099F64B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goods "in their own right, beyond substantive representation."</w:t>
      </w:r>
    </w:p>
    <w:p w14:paraId="42E6738D"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1DEBCA3B"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Clayton adds: upstream absence as ITSELF an indicator (not just a cause)</w:t>
      </w:r>
    </w:p>
    <w:p w14:paraId="79BA036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blurs the upstream/downstream line: who is present IS a finding,</w:t>
      </w:r>
    </w:p>
    <w:p w14:paraId="7020D184"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not just a precondition</w:t>
      </w:r>
    </w:p>
    <w:p w14:paraId="3612AC04"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55DE10F"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REVISED FRAMEWORK after Mansbridge + Clayton:</w:t>
      </w:r>
    </w:p>
    <w:p w14:paraId="7D8FBA7D"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0DF2368A"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REPRESENTATION</w:t>
      </w:r>
    </w:p>
    <w:p w14:paraId="2022F99E"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UPSTREAM → who is present (and absence as indicator)</w:t>
      </w:r>
    </w:p>
    <w:p w14:paraId="78CEDFB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DOWNSTREAM</w:t>
      </w:r>
    </w:p>
    <w:p w14:paraId="3368531B"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OUTCOMES (policy, responsiveness)</w:t>
      </w:r>
    </w:p>
    <w:p w14:paraId="4449098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PROCESS (agenda, deliberation, communication)</w:t>
      </w:r>
    </w:p>
    <w:p w14:paraId="40FE5369"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SYMBOLIC (social meaning, legitimacy, recognition)</w:t>
      </w:r>
    </w:p>
    <w:p w14:paraId="77D2A9CD" w14:textId="77777777" w:rsidR="000418C1" w:rsidRPr="000418C1"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418C1">
        <w:rPr>
          <w:rFonts w:ascii="Times New Roman" w:eastAsia="Times New Roman" w:hAnsi="Times New Roman" w:cs="Times New Roman"/>
          <w:b/>
          <w:bCs/>
          <w:kern w:val="0"/>
          <w:sz w:val="36"/>
          <w:szCs w:val="36"/>
          <w14:ligatures w14:val="none"/>
        </w:rPr>
        <w:t>LAYER 4: Pottle Introduces the Epistemic Dimension (P4 continued)</w:t>
      </w:r>
    </w:p>
    <w:p w14:paraId="67C90253"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Pottle doesn't add a fourth box — he DEEPENS all three downstream categories</w:t>
      </w:r>
    </w:p>
    <w:p w14:paraId="256B16BA"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by revealing a shared underlying mechanism: epistemic authority.</w:t>
      </w:r>
    </w:p>
    <w:p w14:paraId="1853989E"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A129DF8"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DOWNSTREAM - PROCESS</w:t>
      </w:r>
    </w:p>
    <w:p w14:paraId="17431241"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Communicative distrust is not just historical residue</w:t>
      </w:r>
    </w:p>
    <w:p w14:paraId="03201551"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 It is structurally reproduced via TESTIMONIAL INJUSTICE</w:t>
      </w:r>
    </w:p>
    <w:p w14:paraId="00DE85C4"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(groups constructed as uncredible → testimony filtered/discounted)</w:t>
      </w:r>
    </w:p>
    <w:p w14:paraId="73BE72AA"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w:t>
      </w:r>
    </w:p>
    <w:p w14:paraId="6C41D903"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Uncrystallized interests are not naturally "not yet articulated"</w:t>
      </w:r>
    </w:p>
    <w:p w14:paraId="352F3F74"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They are structurally suppressed via HERMENEUTIC INJUSTICE</w:t>
      </w:r>
    </w:p>
    <w:p w14:paraId="70A2064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(knowledge excluded from mainstream political vocabulary)</w:t>
      </w:r>
    </w:p>
    <w:p w14:paraId="12D6BF89"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37EAF07"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DOWNSTREAM - SYMBOLIC</w:t>
      </w:r>
    </w:p>
    <w:p w14:paraId="3E0D8B97"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"Able to rule" becomes also "able to KNOW"</w:t>
      </w:r>
    </w:p>
    <w:p w14:paraId="28B0F6D9"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 Epistemic standing as a form of recognized citizenship</w:t>
      </w:r>
    </w:p>
    <w:p w14:paraId="27FAB841"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w:t>
      </w:r>
    </w:p>
    <w:p w14:paraId="587B4BC9"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Legitimacy requires not just presence but EPISTEMIC AUTHORITY</w:t>
      </w:r>
    </w:p>
    <w:p w14:paraId="0D17446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"Presence without epistemic authority is a hollow form of inclusion"</w:t>
      </w:r>
    </w:p>
    <w:p w14:paraId="50A6CEFF"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2A5FE85A"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DOWNSTREAM - OUTCOMES</w:t>
      </w:r>
    </w:p>
    <w:p w14:paraId="3C6184C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Even policy "wins" can be epistemically hollow</w:t>
      </w:r>
    </w:p>
    <w:p w14:paraId="042EEBEF"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"Hollow signaling": reform in vocabularies of advantaged audiences</w:t>
      </w:r>
    </w:p>
    <w:p w14:paraId="171DE10E"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(efficiency, cost savings) rather than centering impacted knowledge</w:t>
      </w:r>
    </w:p>
    <w:p w14:paraId="704F9686"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84E749D"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4DC6E19"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THE EPISTEMIC DIMENSION IS NOT A SEPARATE BOX.</w:t>
      </w:r>
    </w:p>
    <w:p w14:paraId="07787E5E"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IT IS THE MECHANISM THAT CONNECTS AND DEEPENS ALL THREE:</w:t>
      </w:r>
    </w:p>
    <w:p w14:paraId="349481FD"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04B9656"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w:t>
      </w:r>
    </w:p>
    <w:p w14:paraId="2ED32966"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EPISTEMIC AUTHORITY                 │</w:t>
      </w:r>
    </w:p>
    <w:p w14:paraId="75E804D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(whose knowledge counts, who is credible,     │</w:t>
      </w:r>
    </w:p>
    <w:p w14:paraId="610DD32A"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whose vocabulary is politically intelligible) │</w:t>
      </w:r>
    </w:p>
    <w:p w14:paraId="6A6ADB3B"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w:t>
      </w:r>
    </w:p>
    <w:p w14:paraId="206952A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lastRenderedPageBreak/>
        <w:t>│  Shapes PROCESS: who is heard in deliberation    │</w:t>
      </w:r>
    </w:p>
    <w:p w14:paraId="0393CF6C"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Shapes SYMBOLIC: who is seen as able to know    │</w:t>
      </w:r>
    </w:p>
    <w:p w14:paraId="5889090C"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Shapes OUTCOMES: whose frames define "reform"   │</w:t>
      </w:r>
    </w:p>
    <w:p w14:paraId="1C2CEEA6"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w:t>
      </w:r>
    </w:p>
    <w:p w14:paraId="02CC0F41"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Mechanisms:                                     │</w:t>
      </w:r>
    </w:p>
    <w:p w14:paraId="6971E5E3"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Testimonial injustice (credibility denied)    │</w:t>
      </w:r>
    </w:p>
    <w:p w14:paraId="518D14ED"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Hermeneutic injustice (vocabulary excluded)   │</w:t>
      </w:r>
    </w:p>
    <w:p w14:paraId="2C68A25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Resonance imperative (electoral incentive     │</w:t>
      </w:r>
    </w:p>
    <w:p w14:paraId="4527A536"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to anchor in advantaged constituencies)     │</w:t>
      </w:r>
    </w:p>
    <w:p w14:paraId="1CF9F3C4"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w:t>
      </w:r>
    </w:p>
    <w:p w14:paraId="3C09764D" w14:textId="77777777" w:rsidR="000418C1" w:rsidRPr="000418C1"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418C1">
        <w:rPr>
          <w:rFonts w:ascii="Times New Roman" w:eastAsia="Times New Roman" w:hAnsi="Times New Roman" w:cs="Times New Roman"/>
          <w:b/>
          <w:bCs/>
          <w:kern w:val="0"/>
          <w:sz w:val="36"/>
          <w:szCs w:val="36"/>
          <w14:ligatures w14:val="none"/>
        </w:rPr>
        <w:t>LAYER 5: Applied to Carceral Citizens (P5-P7)</w:t>
      </w:r>
    </w:p>
    <w:p w14:paraId="520C487B"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CARCERAL CITIZENS FACE COMPOUNDING EXCLUSION ON EVERY DIMENSION:</w:t>
      </w:r>
    </w:p>
    <w:p w14:paraId="3C456EBA"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EB59974"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UPSTREAM (who is present)</w:t>
      </w:r>
    </w:p>
    <w:p w14:paraId="27CCE6B6"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De jure disenfranchisement (4M excluded)</w:t>
      </w:r>
    </w:p>
    <w:p w14:paraId="7ABB9959"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De facto barriers (CA veto, 500K unconstitutionally excluded)</w:t>
      </w:r>
    </w:p>
    <w:p w14:paraId="09F6E53E"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Institutional restrictions (speech, association, communication)</w:t>
      </w:r>
    </w:p>
    <w:p w14:paraId="5FC54361"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Negative policy feedback → withdrawal, "custodial citizenship"</w:t>
      </w:r>
    </w:p>
    <w:p w14:paraId="2DB6C17F"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Community spillovers → weakened networks, collective efficacy</w:t>
      </w:r>
    </w:p>
    <w:p w14:paraId="5729F62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Racialized concentration → overlaps with existing racial/class</w:t>
      </w:r>
    </w:p>
    <w:p w14:paraId="7FD45DC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underrepresentation in legislatures</w:t>
      </w:r>
    </w:p>
    <w:p w14:paraId="111D8211"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Absence is ITSELF an indicator (Clayton): accumulated institutional</w:t>
      </w:r>
    </w:p>
    <w:p w14:paraId="34138EA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barriers, not individual failure</w:t>
      </w:r>
    </w:p>
    <w:p w14:paraId="6D53A92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D8C2D6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DOWNSTREAM - OUTCOMES</w:t>
      </w:r>
    </w:p>
    <w:p w14:paraId="45B5CCB6"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Absent from channels legislators use to perceive constituencies</w:t>
      </w:r>
    </w:p>
    <w:p w14:paraId="6A7B403A"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(voting, advocacy, constituent contact, interest groups)</w:t>
      </w:r>
    </w:p>
    <w:p w14:paraId="155BD04F"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Governed most by state, represented least</w:t>
      </w:r>
    </w:p>
    <w:p w14:paraId="7E53150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5459AAF1"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DOWNSTREAM - PROCESS (Mansbridge applied)</w:t>
      </w:r>
    </w:p>
    <w:p w14:paraId="0EFFC8D4"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Communicative distrust: custodial citizenship IS distrust</w:t>
      </w:r>
    </w:p>
    <w:p w14:paraId="05C8285D"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 contact teaches engagement invites punishment</w:t>
      </w:r>
    </w:p>
    <w:p w14:paraId="6AC125DD"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"Uncrystallized" interests: actually hermeneutically suppressed</w:t>
      </w:r>
    </w:p>
    <w:p w14:paraId="0ED68454"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 communities HAVE political knowledge ("state from below")</w:t>
      </w:r>
    </w:p>
    <w:p w14:paraId="569F335A"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 not granted standing in elite discourse</w:t>
      </w:r>
    </w:p>
    <w:p w14:paraId="3481DD5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Agenda exclusion: resonance imperative → no incentive to</w:t>
      </w:r>
    </w:p>
    <w:p w14:paraId="751402D4"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adopt carceral communities' vocabularies</w:t>
      </w:r>
    </w:p>
    <w:p w14:paraId="1BBD64C5"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4BCFA6AB"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DOWNSTREAM - SYMBOLIC (Mansbridge applied)</w:t>
      </w:r>
    </w:p>
    <w:p w14:paraId="7839C46F"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"Ability to rule": social constructions as unrepentant/dangerous</w:t>
      </w:r>
    </w:p>
    <w:p w14:paraId="5B31E01E"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 unfit for citizenship, let alone governance</w:t>
      </w:r>
    </w:p>
    <w:p w14:paraId="236FBA3D"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Legitimacy deficit: polity excluding those most governed by</w:t>
      </w:r>
    </w:p>
    <w:p w14:paraId="104879C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its most coercive function</w:t>
      </w:r>
    </w:p>
    <w:p w14:paraId="47736815"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p>
    <w:p w14:paraId="316CC359"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EPISTEMIC (Pottle applied — the deepest layer)</w:t>
      </w:r>
    </w:p>
    <w:p w14:paraId="348EFF61"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Hermeneutic: knowledge suppressed, not absent</w:t>
      </w:r>
    </w:p>
    <w:p w14:paraId="6CE8021B"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 legislators avoid naming incarcerated as constituents</w:t>
      </w:r>
    </w:p>
    <w:p w14:paraId="1BA5A5CB"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 reform framed via advantaged vocabularies (hollow signaling)</w:t>
      </w:r>
    </w:p>
    <w:p w14:paraId="3CD62A7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Testimonial: constructed as uncredible narrators</w:t>
      </w:r>
    </w:p>
    <w:p w14:paraId="7F273F1C"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 same constructions that deny deservingness deny credibility</w:t>
      </w:r>
    </w:p>
    <w:p w14:paraId="1FAD245D"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 testimony filtered through "dangerous/deviant/dishonest"</w:t>
      </w:r>
    </w:p>
    <w:p w14:paraId="5058BBC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EVEN DESCRIPTIVE REPRESENTATION MAY NOT SUFFICE</w:t>
      </w:r>
    </w:p>
    <w:p w14:paraId="7727CF40"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deracialization pressure on legislators of color</w:t>
      </w:r>
    </w:p>
    <w:p w14:paraId="4D46B8EB"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lastRenderedPageBreak/>
        <w:t xml:space="preserve">      → electoral incentives to distance from stigmatized communities</w:t>
      </w:r>
    </w:p>
    <w:p w14:paraId="2D30F427"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 descriptive congruence ≠ discursive recognition</w:t>
      </w:r>
    </w:p>
    <w:p w14:paraId="4A133B68" w14:textId="77777777" w:rsidR="000418C1" w:rsidRPr="000418C1"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418C1">
        <w:rPr>
          <w:rFonts w:ascii="Times New Roman" w:eastAsia="Times New Roman" w:hAnsi="Times New Roman" w:cs="Times New Roman"/>
          <w:b/>
          <w:bCs/>
          <w:kern w:val="0"/>
          <w:sz w:val="36"/>
          <w:szCs w:val="36"/>
          <w14:ligatures w14:val="none"/>
        </w:rPr>
        <w:t>SUMMARY: The Evolution Across Sections</w:t>
      </w:r>
    </w:p>
    <w:p w14:paraId="5EDAEA4F"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P1-P2:  upstream / downstream (basic)</w:t>
      </w:r>
    </w:p>
    <w:p w14:paraId="0F5BB743"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w:t>
      </w:r>
    </w:p>
    <w:p w14:paraId="4C9241A8"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P3:     upstream / downstream → outcomes + process (+ hints of symbolic)</w:t>
      </w:r>
    </w:p>
    <w:p w14:paraId="21EDAC57"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w:t>
      </w:r>
    </w:p>
    <w:p w14:paraId="35F9451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P4:     upstream / outcomes + process + SYMBOLIC (Mansbridge)</w:t>
      </w:r>
    </w:p>
    <w:p w14:paraId="36DB979C"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then EPISTEMIC as deepening mechanism (Pottle)</w:t>
      </w:r>
    </w:p>
    <w:p w14:paraId="21540DDF"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w:t>
      </w:r>
    </w:p>
    <w:p w14:paraId="30A4E174"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P5-P6:  Carceral citizens introduced as case</w:t>
      </w:r>
    </w:p>
    <w:p w14:paraId="4069F6E2"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(material conditions, demographics, collateral consequences)</w:t>
      </w:r>
    </w:p>
    <w:p w14:paraId="3C310A7A"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w:t>
      </w:r>
    </w:p>
    <w:p w14:paraId="406BC403"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P7:     Carceral citizens mapped onto full framework:</w:t>
      </w:r>
    </w:p>
    <w:p w14:paraId="014B6AD4"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upstream exclusion → process/symbolic (Mansbridge) → epistemic (Pottle)</w:t>
      </w:r>
    </w:p>
    <w:p w14:paraId="454E0249" w14:textId="77777777" w:rsidR="000418C1" w:rsidRPr="000418C1" w:rsidRDefault="000418C1" w:rsidP="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kern w:val="0"/>
          <w:sz w:val="20"/>
          <w:szCs w:val="20"/>
          <w14:ligatures w14:val="none"/>
        </w:rPr>
      </w:pPr>
      <w:r w:rsidRPr="000418C1">
        <w:rPr>
          <w:rFonts w:ascii="Courier New" w:eastAsia="Times New Roman" w:hAnsi="Courier New" w:cs="Courier New"/>
          <w:kern w:val="0"/>
          <w:sz w:val="20"/>
          <w:szCs w:val="20"/>
          <w14:ligatures w14:val="none"/>
        </w:rPr>
        <w:t xml:space="preserve">        Building toward: even descriptive representation insufficient alone</w:t>
      </w:r>
    </w:p>
    <w:p w14:paraId="5CBA77FF" w14:textId="77777777" w:rsidR="000418C1" w:rsidRPr="000418C1" w:rsidRDefault="000418C1" w:rsidP="000418C1">
      <w:pPr>
        <w:spacing w:before="100" w:beforeAutospacing="1" w:after="100" w:afterAutospacing="1" w:line="240" w:lineRule="auto"/>
        <w:outlineLvl w:val="1"/>
        <w:rPr>
          <w:rFonts w:ascii="Times New Roman" w:eastAsia="Times New Roman" w:hAnsi="Times New Roman" w:cs="Times New Roman"/>
          <w:b/>
          <w:bCs/>
          <w:kern w:val="0"/>
          <w:sz w:val="36"/>
          <w:szCs w:val="36"/>
          <w14:ligatures w14:val="none"/>
        </w:rPr>
      </w:pPr>
      <w:r w:rsidRPr="000418C1">
        <w:rPr>
          <w:rFonts w:ascii="Times New Roman" w:eastAsia="Times New Roman" w:hAnsi="Times New Roman" w:cs="Times New Roman"/>
          <w:b/>
          <w:bCs/>
          <w:kern w:val="0"/>
          <w:sz w:val="36"/>
          <w:szCs w:val="36"/>
          <w14:ligatures w14:val="none"/>
        </w:rPr>
        <w:t>TENSION/QUESTION FOR YOU:</w:t>
      </w:r>
    </w:p>
    <w:p w14:paraId="789A4FE5" w14:textId="77777777" w:rsidR="000418C1" w:rsidRPr="000418C1" w:rsidRDefault="000418C1" w:rsidP="000418C1">
      <w:pPr>
        <w:spacing w:before="100" w:beforeAutospacing="1" w:after="100" w:afterAutospacing="1" w:line="240" w:lineRule="auto"/>
        <w:rPr>
          <w:rFonts w:ascii="Times New Roman" w:eastAsia="Times New Roman" w:hAnsi="Times New Roman" w:cs="Times New Roman"/>
          <w:kern w:val="0"/>
          <w14:ligatures w14:val="none"/>
        </w:rPr>
      </w:pPr>
      <w:r w:rsidRPr="000418C1">
        <w:rPr>
          <w:rFonts w:ascii="Times New Roman" w:eastAsia="Times New Roman" w:hAnsi="Times New Roman" w:cs="Times New Roman"/>
          <w:kern w:val="0"/>
          <w14:ligatures w14:val="none"/>
        </w:rPr>
        <w:t>The draft currently treats "symbolic" somewhat unevenly. In P3, you gesture at it ("symbolic recognition," "relational ties") but don't name it as a category. Mansbridge's 3rd and 4th contexts ARE symbolic but you describe them as "upstream causes of representational congruence" in P4, which I think miscategorizes them — they're downstream effects of presence/absence on social meaning and legitimacy, not causes of who enters office.</w:t>
      </w:r>
    </w:p>
    <w:p w14:paraId="52F7F15C" w14:textId="77777777" w:rsidR="000418C1" w:rsidRPr="000418C1" w:rsidRDefault="000418C1" w:rsidP="000418C1">
      <w:pPr>
        <w:spacing w:before="100" w:beforeAutospacing="1" w:after="100" w:afterAutospacing="1" w:line="240" w:lineRule="auto"/>
        <w:rPr>
          <w:rFonts w:ascii="Times New Roman" w:eastAsia="Times New Roman" w:hAnsi="Times New Roman" w:cs="Times New Roman"/>
          <w:kern w:val="0"/>
          <w14:ligatures w14:val="none"/>
        </w:rPr>
      </w:pPr>
      <w:r w:rsidRPr="000418C1">
        <w:rPr>
          <w:rFonts w:ascii="Times New Roman" w:eastAsia="Times New Roman" w:hAnsi="Times New Roman" w:cs="Times New Roman"/>
          <w:kern w:val="0"/>
          <w14:ligatures w14:val="none"/>
        </w:rPr>
        <w:t>Suggestion: In P3 (the empirical paragraph), explicitly name the three downstream categories (outcomes, process, symbolic) and note that the literature has increasingly moved from the first to the second and third. Then when Mansbridge arrives, the reader already has the vocabulary to place her four contexts. Her first two → process. Her third and fourth → symbolic. Pottle → epistemic as the mechanism underlying all three.</w:t>
      </w:r>
    </w:p>
    <w:p w14:paraId="0CF3494A" w14:textId="77777777" w:rsidR="000418C1" w:rsidRPr="000418C1" w:rsidRDefault="000418C1" w:rsidP="000418C1">
      <w:pPr>
        <w:spacing w:before="100" w:beforeAutospacing="1" w:after="100" w:afterAutospacing="1" w:line="240" w:lineRule="auto"/>
        <w:rPr>
          <w:rFonts w:ascii="Times New Roman" w:eastAsia="Times New Roman" w:hAnsi="Times New Roman" w:cs="Times New Roman"/>
          <w:kern w:val="0"/>
          <w14:ligatures w14:val="none"/>
        </w:rPr>
      </w:pPr>
      <w:r w:rsidRPr="000418C1">
        <w:rPr>
          <w:rFonts w:ascii="Times New Roman" w:eastAsia="Times New Roman" w:hAnsi="Times New Roman" w:cs="Times New Roman"/>
          <w:kern w:val="0"/>
          <w14:ligatures w14:val="none"/>
        </w:rPr>
        <w:t>This would also help you in P7 when you apply the framework to carceral citizens — you could move through the categories systematically rather than the current structure where the Mansbridge mapping and the Pottle material feel somewhat sequential rather than integrated.</w:t>
      </w:r>
    </w:p>
    <w:p w14:paraId="20156311" w14:textId="77777777" w:rsidR="0036459C" w:rsidRDefault="0036459C"/>
    <w:p w14:paraId="0F0A66E1" w14:textId="77777777" w:rsidR="0036459C" w:rsidRDefault="0036459C"/>
    <w:sectPr w:rsidR="003645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ptos Display">
    <w:panose1 w:val="020B0004020202020204"/>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A3D7CD8"/>
    <w:multiLevelType w:val="multilevel"/>
    <w:tmpl w:val="6F521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5503A3"/>
    <w:multiLevelType w:val="hybridMultilevel"/>
    <w:tmpl w:val="835A80BE"/>
    <w:lvl w:ilvl="0" w:tplc="07EA022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BFA32AD"/>
    <w:multiLevelType w:val="multilevel"/>
    <w:tmpl w:val="C42E9F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CE30C98"/>
    <w:multiLevelType w:val="multilevel"/>
    <w:tmpl w:val="CA0223A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A557C6"/>
    <w:multiLevelType w:val="multilevel"/>
    <w:tmpl w:val="12AA8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64505AE"/>
    <w:multiLevelType w:val="multilevel"/>
    <w:tmpl w:val="2BB2B9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925688A"/>
    <w:multiLevelType w:val="multilevel"/>
    <w:tmpl w:val="AB78A52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8B27AC6"/>
    <w:multiLevelType w:val="hybridMultilevel"/>
    <w:tmpl w:val="B6E04390"/>
    <w:lvl w:ilvl="0" w:tplc="07EA022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7016933"/>
    <w:multiLevelType w:val="multilevel"/>
    <w:tmpl w:val="28F812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71441F9"/>
    <w:multiLevelType w:val="multilevel"/>
    <w:tmpl w:val="5E7AD4E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39D43CDE"/>
    <w:multiLevelType w:val="multilevel"/>
    <w:tmpl w:val="B5EEE0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37B7A66"/>
    <w:multiLevelType w:val="multilevel"/>
    <w:tmpl w:val="CDB898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3A1273A"/>
    <w:multiLevelType w:val="multilevel"/>
    <w:tmpl w:val="4C7EF6B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5B27AD4"/>
    <w:multiLevelType w:val="hybridMultilevel"/>
    <w:tmpl w:val="A7922F36"/>
    <w:lvl w:ilvl="0" w:tplc="07EA0224">
      <w:numFmt w:val="bullet"/>
      <w:lvlText w:val="-"/>
      <w:lvlJc w:val="left"/>
      <w:pPr>
        <w:ind w:left="720" w:hanging="360"/>
      </w:pPr>
      <w:rPr>
        <w:rFonts w:ascii="Times New Roman" w:eastAsia="Times New Roman" w:hAnsi="Times New Roman" w:cs="Times New Roman"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8AE00C2"/>
    <w:multiLevelType w:val="multilevel"/>
    <w:tmpl w:val="7452FF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C6A4CBC"/>
    <w:multiLevelType w:val="multilevel"/>
    <w:tmpl w:val="F5124D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54DD5780"/>
    <w:multiLevelType w:val="multilevel"/>
    <w:tmpl w:val="3736A2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4F87C98"/>
    <w:multiLevelType w:val="multilevel"/>
    <w:tmpl w:val="2BAA61E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5AE00CC1"/>
    <w:multiLevelType w:val="multilevel"/>
    <w:tmpl w:val="0360D1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F97791C"/>
    <w:multiLevelType w:val="multilevel"/>
    <w:tmpl w:val="FAD69F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1122AAA"/>
    <w:multiLevelType w:val="multilevel"/>
    <w:tmpl w:val="0CD6C6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46006CD"/>
    <w:multiLevelType w:val="multilevel"/>
    <w:tmpl w:val="4A1A45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9AB0D98"/>
    <w:multiLevelType w:val="multilevel"/>
    <w:tmpl w:val="5FCED62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727B3507"/>
    <w:multiLevelType w:val="multilevel"/>
    <w:tmpl w:val="13D05A2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4" w15:restartNumberingAfterBreak="0">
    <w:nsid w:val="7B141169"/>
    <w:multiLevelType w:val="multilevel"/>
    <w:tmpl w:val="27E286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B1C2B4A"/>
    <w:multiLevelType w:val="multilevel"/>
    <w:tmpl w:val="D4E26A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7D590F43"/>
    <w:multiLevelType w:val="multilevel"/>
    <w:tmpl w:val="66F645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04408488">
    <w:abstractNumId w:val="9"/>
  </w:num>
  <w:num w:numId="2" w16cid:durableId="523981064">
    <w:abstractNumId w:val="17"/>
  </w:num>
  <w:num w:numId="3" w16cid:durableId="2022317537">
    <w:abstractNumId w:val="18"/>
  </w:num>
  <w:num w:numId="4" w16cid:durableId="1890418425">
    <w:abstractNumId w:val="23"/>
  </w:num>
  <w:num w:numId="5" w16cid:durableId="1846091240">
    <w:abstractNumId w:val="13"/>
  </w:num>
  <w:num w:numId="6" w16cid:durableId="98187304">
    <w:abstractNumId w:val="7"/>
  </w:num>
  <w:num w:numId="7" w16cid:durableId="983588584">
    <w:abstractNumId w:val="4"/>
  </w:num>
  <w:num w:numId="8" w16cid:durableId="1348479618">
    <w:abstractNumId w:val="1"/>
  </w:num>
  <w:num w:numId="9" w16cid:durableId="426317778">
    <w:abstractNumId w:val="11"/>
  </w:num>
  <w:num w:numId="10" w16cid:durableId="1341276906">
    <w:abstractNumId w:val="12"/>
  </w:num>
  <w:num w:numId="11" w16cid:durableId="227956935">
    <w:abstractNumId w:val="14"/>
  </w:num>
  <w:num w:numId="12" w16cid:durableId="916205029">
    <w:abstractNumId w:val="6"/>
  </w:num>
  <w:num w:numId="13" w16cid:durableId="2119595660">
    <w:abstractNumId w:val="22"/>
  </w:num>
  <w:num w:numId="14" w16cid:durableId="1723744485">
    <w:abstractNumId w:val="10"/>
  </w:num>
  <w:num w:numId="15" w16cid:durableId="397438146">
    <w:abstractNumId w:val="16"/>
  </w:num>
  <w:num w:numId="16" w16cid:durableId="342822466">
    <w:abstractNumId w:val="3"/>
  </w:num>
  <w:num w:numId="17" w16cid:durableId="343289992">
    <w:abstractNumId w:val="24"/>
  </w:num>
  <w:num w:numId="18" w16cid:durableId="1541278907">
    <w:abstractNumId w:val="5"/>
  </w:num>
  <w:num w:numId="19" w16cid:durableId="1040588180">
    <w:abstractNumId w:val="19"/>
  </w:num>
  <w:num w:numId="20" w16cid:durableId="213855946">
    <w:abstractNumId w:val="15"/>
  </w:num>
  <w:num w:numId="21" w16cid:durableId="1268733665">
    <w:abstractNumId w:val="8"/>
  </w:num>
  <w:num w:numId="22" w16cid:durableId="115561537">
    <w:abstractNumId w:val="21"/>
  </w:num>
  <w:num w:numId="23" w16cid:durableId="1924800096">
    <w:abstractNumId w:val="0"/>
  </w:num>
  <w:num w:numId="24" w16cid:durableId="1855606568">
    <w:abstractNumId w:val="26"/>
  </w:num>
  <w:num w:numId="25" w16cid:durableId="864829823">
    <w:abstractNumId w:val="25"/>
  </w:num>
  <w:num w:numId="26" w16cid:durableId="707990922">
    <w:abstractNumId w:val="20"/>
  </w:num>
  <w:num w:numId="27" w16cid:durableId="53241963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5"/>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8023A"/>
    <w:rsid w:val="000418C1"/>
    <w:rsid w:val="00042A1E"/>
    <w:rsid w:val="000557C3"/>
    <w:rsid w:val="000E6DD0"/>
    <w:rsid w:val="00111FF6"/>
    <w:rsid w:val="00125550"/>
    <w:rsid w:val="0017581E"/>
    <w:rsid w:val="00207231"/>
    <w:rsid w:val="00233390"/>
    <w:rsid w:val="0030716D"/>
    <w:rsid w:val="003072FF"/>
    <w:rsid w:val="0036459C"/>
    <w:rsid w:val="003B71B7"/>
    <w:rsid w:val="005156F8"/>
    <w:rsid w:val="00543FB5"/>
    <w:rsid w:val="00581F38"/>
    <w:rsid w:val="005F2538"/>
    <w:rsid w:val="00662EFC"/>
    <w:rsid w:val="00711452"/>
    <w:rsid w:val="007246DB"/>
    <w:rsid w:val="0078023A"/>
    <w:rsid w:val="00803A77"/>
    <w:rsid w:val="009663A3"/>
    <w:rsid w:val="00A30F02"/>
    <w:rsid w:val="00A90870"/>
    <w:rsid w:val="00A93DCF"/>
    <w:rsid w:val="00B35275"/>
    <w:rsid w:val="00B54257"/>
    <w:rsid w:val="00B9567D"/>
    <w:rsid w:val="00BA0102"/>
    <w:rsid w:val="00BD386E"/>
    <w:rsid w:val="00BF1776"/>
    <w:rsid w:val="00C4102C"/>
    <w:rsid w:val="00C43D8D"/>
    <w:rsid w:val="00CA0E55"/>
    <w:rsid w:val="00CC4033"/>
    <w:rsid w:val="00CE7C71"/>
    <w:rsid w:val="00D25FD2"/>
    <w:rsid w:val="00D723E2"/>
    <w:rsid w:val="00DE5781"/>
    <w:rsid w:val="00E25706"/>
    <w:rsid w:val="00F608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CEB3F35"/>
  <w15:chartTrackingRefBased/>
  <w15:docId w15:val="{F202D6B8-12EE-F84A-97F9-DDB3C6FA3F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8023A"/>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8023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78023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8023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8023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8023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8023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8023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8023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8023A"/>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8023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78023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8023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8023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8023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8023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8023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8023A"/>
    <w:rPr>
      <w:rFonts w:eastAsiaTheme="majorEastAsia" w:cstheme="majorBidi"/>
      <w:color w:val="272727" w:themeColor="text1" w:themeTint="D8"/>
    </w:rPr>
  </w:style>
  <w:style w:type="paragraph" w:styleId="Title">
    <w:name w:val="Title"/>
    <w:basedOn w:val="Normal"/>
    <w:next w:val="Normal"/>
    <w:link w:val="TitleChar"/>
    <w:uiPriority w:val="10"/>
    <w:qFormat/>
    <w:rsid w:val="0078023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8023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8023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8023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8023A"/>
    <w:pPr>
      <w:spacing w:before="160"/>
      <w:jc w:val="center"/>
    </w:pPr>
    <w:rPr>
      <w:i/>
      <w:iCs/>
      <w:color w:val="404040" w:themeColor="text1" w:themeTint="BF"/>
    </w:rPr>
  </w:style>
  <w:style w:type="character" w:customStyle="1" w:styleId="QuoteChar">
    <w:name w:val="Quote Char"/>
    <w:basedOn w:val="DefaultParagraphFont"/>
    <w:link w:val="Quote"/>
    <w:uiPriority w:val="29"/>
    <w:rsid w:val="0078023A"/>
    <w:rPr>
      <w:i/>
      <w:iCs/>
      <w:color w:val="404040" w:themeColor="text1" w:themeTint="BF"/>
    </w:rPr>
  </w:style>
  <w:style w:type="paragraph" w:styleId="ListParagraph">
    <w:name w:val="List Paragraph"/>
    <w:basedOn w:val="Normal"/>
    <w:uiPriority w:val="34"/>
    <w:qFormat/>
    <w:rsid w:val="0078023A"/>
    <w:pPr>
      <w:ind w:left="720"/>
      <w:contextualSpacing/>
    </w:pPr>
  </w:style>
  <w:style w:type="character" w:styleId="IntenseEmphasis">
    <w:name w:val="Intense Emphasis"/>
    <w:basedOn w:val="DefaultParagraphFont"/>
    <w:uiPriority w:val="21"/>
    <w:qFormat/>
    <w:rsid w:val="0078023A"/>
    <w:rPr>
      <w:i/>
      <w:iCs/>
      <w:color w:val="0F4761" w:themeColor="accent1" w:themeShade="BF"/>
    </w:rPr>
  </w:style>
  <w:style w:type="paragraph" w:styleId="IntenseQuote">
    <w:name w:val="Intense Quote"/>
    <w:basedOn w:val="Normal"/>
    <w:next w:val="Normal"/>
    <w:link w:val="IntenseQuoteChar"/>
    <w:uiPriority w:val="30"/>
    <w:qFormat/>
    <w:rsid w:val="0078023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8023A"/>
    <w:rPr>
      <w:i/>
      <w:iCs/>
      <w:color w:val="0F4761" w:themeColor="accent1" w:themeShade="BF"/>
    </w:rPr>
  </w:style>
  <w:style w:type="character" w:styleId="IntenseReference">
    <w:name w:val="Intense Reference"/>
    <w:basedOn w:val="DefaultParagraphFont"/>
    <w:uiPriority w:val="32"/>
    <w:qFormat/>
    <w:rsid w:val="0078023A"/>
    <w:rPr>
      <w:b/>
      <w:bCs/>
      <w:smallCaps/>
      <w:color w:val="0F4761" w:themeColor="accent1" w:themeShade="BF"/>
      <w:spacing w:val="5"/>
    </w:rPr>
  </w:style>
  <w:style w:type="character" w:styleId="Emphasis">
    <w:name w:val="Emphasis"/>
    <w:basedOn w:val="DefaultParagraphFont"/>
    <w:uiPriority w:val="20"/>
    <w:qFormat/>
    <w:rsid w:val="0078023A"/>
    <w:rPr>
      <w:i/>
      <w:iCs/>
    </w:rPr>
  </w:style>
  <w:style w:type="paragraph" w:styleId="NormalWeb">
    <w:name w:val="Normal (Web)"/>
    <w:basedOn w:val="Normal"/>
    <w:uiPriority w:val="99"/>
    <w:unhideWhenUsed/>
    <w:rsid w:val="0078023A"/>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Strong">
    <w:name w:val="Strong"/>
    <w:basedOn w:val="DefaultParagraphFont"/>
    <w:uiPriority w:val="22"/>
    <w:qFormat/>
    <w:rsid w:val="0078023A"/>
    <w:rPr>
      <w:b/>
      <w:bCs/>
    </w:rPr>
  </w:style>
  <w:style w:type="paragraph" w:styleId="HTMLPreformatted">
    <w:name w:val="HTML Preformatted"/>
    <w:basedOn w:val="Normal"/>
    <w:link w:val="HTMLPreformattedChar"/>
    <w:uiPriority w:val="99"/>
    <w:semiHidden/>
    <w:unhideWhenUsed/>
    <w:rsid w:val="000418C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14:ligatures w14:val="none"/>
    </w:rPr>
  </w:style>
  <w:style w:type="character" w:customStyle="1" w:styleId="HTMLPreformattedChar">
    <w:name w:val="HTML Preformatted Char"/>
    <w:basedOn w:val="DefaultParagraphFont"/>
    <w:link w:val="HTMLPreformatted"/>
    <w:uiPriority w:val="99"/>
    <w:semiHidden/>
    <w:rsid w:val="000418C1"/>
    <w:rPr>
      <w:rFonts w:ascii="Courier New" w:eastAsia="Times New Roman" w:hAnsi="Courier New" w:cs="Courier New"/>
      <w:kern w:val="0"/>
      <w:sz w:val="20"/>
      <w:szCs w:val="20"/>
      <w14:ligatures w14:val="none"/>
    </w:rPr>
  </w:style>
  <w:style w:type="character" w:styleId="HTMLCode">
    <w:name w:val="HTML Code"/>
    <w:basedOn w:val="DefaultParagraphFont"/>
    <w:uiPriority w:val="99"/>
    <w:semiHidden/>
    <w:unhideWhenUsed/>
    <w:rsid w:val="000418C1"/>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169</TotalTime>
  <Pages>18</Pages>
  <Words>5307</Words>
  <Characters>32164</Characters>
  <Application>Microsoft Office Word</Application>
  <DocSecurity>0</DocSecurity>
  <Lines>502</Lines>
  <Paragraphs>106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37365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Kristina Mensik</dc:creator>
  <cp:keywords/>
  <dc:description/>
  <cp:lastModifiedBy>Kristina Mensik</cp:lastModifiedBy>
  <cp:revision>14</cp:revision>
  <dcterms:created xsi:type="dcterms:W3CDTF">2026-02-09T16:25:00Z</dcterms:created>
  <dcterms:modified xsi:type="dcterms:W3CDTF">2026-02-11T15:15:00Z</dcterms:modified>
</cp:coreProperties>
</file>