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B19A" w14:textId="47BCD905" w:rsidR="00DC16B2" w:rsidRPr="00953873" w:rsidRDefault="006507A5" w:rsidP="007F674C">
      <w:pPr>
        <w:jc w:val="center"/>
        <w:rPr>
          <w:rFonts w:ascii="Times New Roman" w:hAnsi="Times New Roman"/>
          <w:b/>
          <w:bCs/>
          <w:sz w:val="24"/>
        </w:rPr>
      </w:pPr>
      <w:commentRangeStart w:id="0"/>
      <w:r>
        <w:rPr>
          <w:rFonts w:ascii="Times New Roman" w:hAnsi="Times New Roman"/>
          <w:b/>
          <w:bCs/>
          <w:sz w:val="24"/>
        </w:rPr>
        <w:t>Incarcerated Representation Lit Review</w:t>
      </w:r>
      <w:commentRangeEnd w:id="0"/>
      <w:r w:rsidR="00447A3D">
        <w:rPr>
          <w:rStyle w:val="CommentReference"/>
        </w:rPr>
        <w:commentReference w:id="0"/>
      </w:r>
    </w:p>
    <w:p w14:paraId="2CD92C47" w14:textId="77777777" w:rsidR="007F674C" w:rsidRPr="00953873" w:rsidRDefault="007F674C" w:rsidP="007F674C">
      <w:pPr>
        <w:rPr>
          <w:rFonts w:ascii="Times New Roman" w:hAnsi="Times New Roman"/>
          <w:sz w:val="24"/>
        </w:rPr>
      </w:pPr>
    </w:p>
    <w:p w14:paraId="640CAC20" w14:textId="2B86FA5B" w:rsidR="006507A5" w:rsidRDefault="007F674C" w:rsidP="00252BEC">
      <w:pPr>
        <w:spacing w:line="360" w:lineRule="auto"/>
        <w:rPr>
          <w:rFonts w:ascii="Times New Roman" w:hAnsi="Times New Roman"/>
          <w:sz w:val="24"/>
        </w:rPr>
      </w:pPr>
      <w:r w:rsidRPr="00953873">
        <w:rPr>
          <w:rFonts w:ascii="Times New Roman" w:hAnsi="Times New Roman"/>
          <w:sz w:val="24"/>
        </w:rPr>
        <w:t>In</w:t>
      </w:r>
      <w:r w:rsidR="006507A5">
        <w:rPr>
          <w:rFonts w:ascii="Times New Roman" w:hAnsi="Times New Roman"/>
          <w:sz w:val="24"/>
        </w:rPr>
        <w:t xml:space="preserve"> early</w:t>
      </w:r>
      <w:r w:rsidR="00ED3E23" w:rsidRPr="00953873">
        <w:rPr>
          <w:rFonts w:ascii="Times New Roman" w:hAnsi="Times New Roman"/>
          <w:sz w:val="24"/>
        </w:rPr>
        <w:t xml:space="preserve"> </w:t>
      </w:r>
      <w:r w:rsidRPr="00953873">
        <w:rPr>
          <w:rFonts w:ascii="Times New Roman" w:hAnsi="Times New Roman"/>
          <w:sz w:val="24"/>
        </w:rPr>
        <w:t>201</w:t>
      </w:r>
      <w:r w:rsidR="006507A5">
        <w:rPr>
          <w:rFonts w:ascii="Times New Roman" w:hAnsi="Times New Roman"/>
          <w:sz w:val="24"/>
        </w:rPr>
        <w:t>9</w:t>
      </w:r>
      <w:r w:rsidR="00ED3E23" w:rsidRPr="00953873">
        <w:rPr>
          <w:rFonts w:ascii="Times New Roman" w:hAnsi="Times New Roman"/>
          <w:sz w:val="24"/>
        </w:rPr>
        <w:t>,</w:t>
      </w:r>
      <w:r w:rsidR="008F1AFF" w:rsidRPr="00953873">
        <w:rPr>
          <w:rFonts w:ascii="Times New Roman" w:hAnsi="Times New Roman"/>
          <w:sz w:val="24"/>
        </w:rPr>
        <w:t xml:space="preserve"> the Senate chairman of Massachusetts’ Joint Committee on Election Laws told me that he would “never” support </w:t>
      </w:r>
      <w:r w:rsidR="00ED3E23" w:rsidRPr="00953873">
        <w:rPr>
          <w:rFonts w:ascii="Times New Roman" w:hAnsi="Times New Roman"/>
          <w:sz w:val="24"/>
        </w:rPr>
        <w:t>a bill</w:t>
      </w:r>
      <w:r w:rsidR="008F1AFF" w:rsidRPr="00953873">
        <w:rPr>
          <w:rFonts w:ascii="Times New Roman" w:hAnsi="Times New Roman"/>
          <w:sz w:val="24"/>
        </w:rPr>
        <w:t xml:space="preserve"> to returning the right to vote to incarcerated people in the Commonwealth</w:t>
      </w:r>
      <w:r w:rsidR="00A554CA">
        <w:rPr>
          <w:rFonts w:ascii="Times New Roman" w:hAnsi="Times New Roman"/>
          <w:sz w:val="24"/>
        </w:rPr>
        <w:t>.</w:t>
      </w:r>
      <w:r w:rsidR="00252BEC">
        <w:rPr>
          <w:rFonts w:ascii="Times New Roman" w:hAnsi="Times New Roman"/>
          <w:sz w:val="24"/>
        </w:rPr>
        <w:t xml:space="preserve"> </w:t>
      </w:r>
      <w:r w:rsidR="006507A5">
        <w:rPr>
          <w:rFonts w:ascii="Times New Roman" w:hAnsi="Times New Roman"/>
          <w:sz w:val="24"/>
        </w:rPr>
        <w:t>“</w:t>
      </w:r>
      <w:r w:rsidR="00FF4284">
        <w:rPr>
          <w:rFonts w:ascii="Times New Roman" w:hAnsi="Times New Roman"/>
          <w:sz w:val="24"/>
        </w:rPr>
        <w:t>M</w:t>
      </w:r>
      <w:r w:rsidR="006507A5">
        <w:rPr>
          <w:rFonts w:ascii="Times New Roman" w:hAnsi="Times New Roman"/>
          <w:sz w:val="24"/>
        </w:rPr>
        <w:t xml:space="preserve">y constituents,” </w:t>
      </w:r>
      <w:r w:rsidR="00FF4284">
        <w:rPr>
          <w:rFonts w:ascii="Times New Roman" w:hAnsi="Times New Roman"/>
          <w:sz w:val="24"/>
        </w:rPr>
        <w:t>Senator Finegold</w:t>
      </w:r>
      <w:r w:rsidR="006507A5">
        <w:rPr>
          <w:rFonts w:ascii="Times New Roman" w:hAnsi="Times New Roman"/>
          <w:sz w:val="24"/>
        </w:rPr>
        <w:t xml:space="preserve"> asserted,</w:t>
      </w:r>
      <w:r w:rsidR="008F1AFF" w:rsidRPr="00953873">
        <w:rPr>
          <w:rFonts w:ascii="Times New Roman" w:hAnsi="Times New Roman"/>
          <w:sz w:val="24"/>
        </w:rPr>
        <w:t xml:space="preserve"> </w:t>
      </w:r>
      <w:r w:rsidR="006507A5">
        <w:rPr>
          <w:rFonts w:ascii="Times New Roman" w:hAnsi="Times New Roman"/>
          <w:sz w:val="24"/>
        </w:rPr>
        <w:t>“</w:t>
      </w:r>
      <w:r w:rsidR="008F1AFF" w:rsidRPr="00953873">
        <w:rPr>
          <w:rFonts w:ascii="Times New Roman" w:hAnsi="Times New Roman"/>
          <w:sz w:val="24"/>
        </w:rPr>
        <w:t xml:space="preserve">would never go for it.” </w:t>
      </w:r>
      <w:r w:rsidR="00FF4284">
        <w:rPr>
          <w:rFonts w:ascii="Times New Roman" w:hAnsi="Times New Roman"/>
          <w:sz w:val="24"/>
        </w:rPr>
        <w:t xml:space="preserve">This justification struck me, as his </w:t>
      </w:r>
      <w:r w:rsidR="00252BEC">
        <w:rPr>
          <w:rFonts w:ascii="Times New Roman" w:hAnsi="Times New Roman"/>
          <w:sz w:val="24"/>
        </w:rPr>
        <w:t>district at the time was starkly bifurcated along racial and socioeconomic lines</w:t>
      </w:r>
      <w:r w:rsidR="00A45E1B">
        <w:rPr>
          <w:rFonts w:ascii="Times New Roman" w:hAnsi="Times New Roman"/>
          <w:sz w:val="24"/>
        </w:rPr>
        <w:t xml:space="preserve">, and by communities </w:t>
      </w:r>
      <w:r w:rsidR="000C315E">
        <w:rPr>
          <w:rFonts w:ascii="Times New Roman" w:hAnsi="Times New Roman"/>
          <w:sz w:val="24"/>
        </w:rPr>
        <w:t>that are</w:t>
      </w:r>
      <w:r w:rsidR="00A45E1B">
        <w:rPr>
          <w:rFonts w:ascii="Times New Roman" w:hAnsi="Times New Roman"/>
          <w:sz w:val="24"/>
        </w:rPr>
        <w:t xml:space="preserve"> vas</w:t>
      </w:r>
      <w:r w:rsidR="009E7C0A">
        <w:rPr>
          <w:rFonts w:ascii="Times New Roman" w:hAnsi="Times New Roman"/>
          <w:sz w:val="24"/>
        </w:rPr>
        <w:t>tly differently impacted by incarceration</w:t>
      </w:r>
      <w:r w:rsidR="00FF4284">
        <w:rPr>
          <w:rFonts w:ascii="Times New Roman" w:hAnsi="Times New Roman"/>
          <w:sz w:val="24"/>
        </w:rPr>
        <w:t>.</w:t>
      </w:r>
      <w:r w:rsidR="00252BEC">
        <w:rPr>
          <w:rStyle w:val="FootnoteReference"/>
          <w:rFonts w:ascii="Times New Roman" w:hAnsi="Times New Roman"/>
          <w:sz w:val="24"/>
        </w:rPr>
        <w:footnoteReference w:id="1"/>
      </w:r>
      <w:r w:rsidR="00A45E1B">
        <w:rPr>
          <w:rFonts w:ascii="Times New Roman" w:hAnsi="Times New Roman"/>
          <w:sz w:val="24"/>
        </w:rPr>
        <w:t xml:space="preserve"> </w:t>
      </w:r>
      <w:r w:rsidR="008F1AFF" w:rsidRPr="00953873">
        <w:rPr>
          <w:rFonts w:ascii="Times New Roman" w:hAnsi="Times New Roman"/>
          <w:sz w:val="24"/>
        </w:rPr>
        <w:t>The chair</w:t>
      </w:r>
      <w:r w:rsidR="00BB1364" w:rsidRPr="00953873">
        <w:rPr>
          <w:rFonts w:ascii="Times New Roman" w:hAnsi="Times New Roman"/>
          <w:sz w:val="24"/>
        </w:rPr>
        <w:t>, a white Democrat,</w:t>
      </w:r>
      <w:r w:rsidR="008F1AFF" w:rsidRPr="00953873">
        <w:rPr>
          <w:rFonts w:ascii="Times New Roman" w:hAnsi="Times New Roman"/>
          <w:sz w:val="24"/>
        </w:rPr>
        <w:t xml:space="preserve"> and his committee </w:t>
      </w:r>
      <w:r w:rsidR="00BB1364" w:rsidRPr="00953873">
        <w:rPr>
          <w:rFonts w:ascii="Times New Roman" w:hAnsi="Times New Roman"/>
          <w:sz w:val="24"/>
        </w:rPr>
        <w:t xml:space="preserve">– all white at the time -- </w:t>
      </w:r>
      <w:r w:rsidR="008F1AFF" w:rsidRPr="00953873">
        <w:rPr>
          <w:rFonts w:ascii="Times New Roman" w:hAnsi="Times New Roman"/>
          <w:sz w:val="24"/>
        </w:rPr>
        <w:t xml:space="preserve">proceeded to </w:t>
      </w:r>
      <w:r w:rsidR="00ED3E23" w:rsidRPr="00953873">
        <w:rPr>
          <w:rFonts w:ascii="Times New Roman" w:hAnsi="Times New Roman"/>
          <w:sz w:val="24"/>
        </w:rPr>
        <w:t>kill</w:t>
      </w:r>
      <w:r w:rsidR="008F1AFF" w:rsidRPr="00953873">
        <w:rPr>
          <w:rFonts w:ascii="Times New Roman" w:hAnsi="Times New Roman"/>
          <w:sz w:val="24"/>
        </w:rPr>
        <w:t xml:space="preserve"> the legislation</w:t>
      </w:r>
      <w:r w:rsidR="00252BEC">
        <w:rPr>
          <w:rFonts w:ascii="Times New Roman" w:hAnsi="Times New Roman"/>
          <w:sz w:val="24"/>
        </w:rPr>
        <w:t>. T</w:t>
      </w:r>
      <w:r w:rsidR="00A554CA">
        <w:rPr>
          <w:rFonts w:ascii="Times New Roman" w:hAnsi="Times New Roman"/>
          <w:sz w:val="24"/>
        </w:rPr>
        <w:t xml:space="preserve">he next session they killed it </w:t>
      </w:r>
      <w:r w:rsidR="00FF4284">
        <w:rPr>
          <w:rFonts w:ascii="Times New Roman" w:hAnsi="Times New Roman"/>
          <w:sz w:val="24"/>
        </w:rPr>
        <w:t xml:space="preserve">again, this time </w:t>
      </w:r>
      <w:r w:rsidR="008F1AFF" w:rsidRPr="00953873">
        <w:rPr>
          <w:rFonts w:ascii="Times New Roman" w:hAnsi="Times New Roman"/>
          <w:sz w:val="24"/>
        </w:rPr>
        <w:t xml:space="preserve">without </w:t>
      </w:r>
      <w:r w:rsidR="00A554CA">
        <w:rPr>
          <w:rFonts w:ascii="Times New Roman" w:hAnsi="Times New Roman"/>
          <w:sz w:val="24"/>
        </w:rPr>
        <w:t xml:space="preserve">ever </w:t>
      </w:r>
      <w:r w:rsidR="008F1AFF" w:rsidRPr="00953873">
        <w:rPr>
          <w:rFonts w:ascii="Times New Roman" w:hAnsi="Times New Roman"/>
          <w:sz w:val="24"/>
        </w:rPr>
        <w:t xml:space="preserve">holding a </w:t>
      </w:r>
      <w:r w:rsidR="00A554CA">
        <w:rPr>
          <w:rFonts w:ascii="Times New Roman" w:hAnsi="Times New Roman"/>
          <w:sz w:val="24"/>
        </w:rPr>
        <w:t xml:space="preserve">public </w:t>
      </w:r>
      <w:r w:rsidR="008F1AFF" w:rsidRPr="00953873">
        <w:rPr>
          <w:rFonts w:ascii="Times New Roman" w:hAnsi="Times New Roman"/>
          <w:sz w:val="24"/>
        </w:rPr>
        <w:t xml:space="preserve">hearing </w:t>
      </w:r>
      <w:r w:rsidR="000C315E">
        <w:rPr>
          <w:rFonts w:ascii="Times New Roman" w:hAnsi="Times New Roman"/>
          <w:sz w:val="24"/>
        </w:rPr>
        <w:t xml:space="preserve">– </w:t>
      </w:r>
      <w:r w:rsidR="00BB1364" w:rsidRPr="00953873">
        <w:rPr>
          <w:rFonts w:ascii="Times New Roman" w:hAnsi="Times New Roman"/>
          <w:sz w:val="24"/>
        </w:rPr>
        <w:t>as required by the state constitution</w:t>
      </w:r>
      <w:r w:rsidR="008F1AFF" w:rsidRPr="00953873">
        <w:rPr>
          <w:rFonts w:ascii="Times New Roman" w:hAnsi="Times New Roman"/>
          <w:sz w:val="24"/>
        </w:rPr>
        <w:t xml:space="preserve">. </w:t>
      </w:r>
    </w:p>
    <w:p w14:paraId="03FEDB36" w14:textId="77777777" w:rsidR="00252BEC" w:rsidRDefault="00252BEC" w:rsidP="00252BEC">
      <w:pPr>
        <w:spacing w:line="360" w:lineRule="auto"/>
        <w:rPr>
          <w:rFonts w:ascii="Times New Roman" w:hAnsi="Times New Roman"/>
          <w:sz w:val="24"/>
        </w:rPr>
      </w:pPr>
    </w:p>
    <w:p w14:paraId="442F1A9D" w14:textId="2DD9D639" w:rsidR="00C4750A" w:rsidRDefault="00045160" w:rsidP="00252BEC">
      <w:pPr>
        <w:spacing w:line="360" w:lineRule="auto"/>
        <w:rPr>
          <w:rFonts w:ascii="Times New Roman" w:hAnsi="Times New Roman"/>
          <w:sz w:val="24"/>
        </w:rPr>
      </w:pPr>
      <w:r>
        <w:rPr>
          <w:rFonts w:ascii="Times New Roman" w:hAnsi="Times New Roman"/>
          <w:sz w:val="24"/>
        </w:rPr>
        <w:t>B</w:t>
      </w:r>
      <w:r w:rsidR="00C4750A">
        <w:rPr>
          <w:rFonts w:ascii="Times New Roman" w:hAnsi="Times New Roman"/>
          <w:sz w:val="24"/>
        </w:rPr>
        <w:t>ut b</w:t>
      </w:r>
      <w:r>
        <w:rPr>
          <w:rFonts w:ascii="Times New Roman" w:hAnsi="Times New Roman"/>
          <w:sz w:val="24"/>
        </w:rPr>
        <w:t>y the summer of 2022</w:t>
      </w:r>
      <w:r w:rsidR="006537D8">
        <w:rPr>
          <w:rFonts w:ascii="Times New Roman" w:hAnsi="Times New Roman"/>
          <w:sz w:val="24"/>
        </w:rPr>
        <w:t>,</w:t>
      </w:r>
      <w:r w:rsidR="00252BEC">
        <w:rPr>
          <w:rFonts w:ascii="Times New Roman" w:hAnsi="Times New Roman"/>
          <w:sz w:val="24"/>
        </w:rPr>
        <w:t xml:space="preserve"> </w:t>
      </w:r>
      <w:r w:rsidR="00D82C7E">
        <w:rPr>
          <w:rFonts w:ascii="Times New Roman" w:hAnsi="Times New Roman"/>
          <w:sz w:val="24"/>
        </w:rPr>
        <w:t xml:space="preserve">incarcerated voting </w:t>
      </w:r>
      <w:r>
        <w:rPr>
          <w:rFonts w:ascii="Times New Roman" w:hAnsi="Times New Roman"/>
          <w:sz w:val="24"/>
        </w:rPr>
        <w:t xml:space="preserve">legislation </w:t>
      </w:r>
      <w:r w:rsidR="006537D8">
        <w:rPr>
          <w:rFonts w:ascii="Times New Roman" w:hAnsi="Times New Roman"/>
          <w:sz w:val="24"/>
        </w:rPr>
        <w:t>was signed into law</w:t>
      </w:r>
      <w:r w:rsidR="00252BEC">
        <w:rPr>
          <w:rFonts w:ascii="Times New Roman" w:hAnsi="Times New Roman"/>
          <w:sz w:val="24"/>
        </w:rPr>
        <w:t>.</w:t>
      </w:r>
      <w:r w:rsidR="00D82C7E">
        <w:rPr>
          <w:rFonts w:ascii="Times New Roman" w:hAnsi="Times New Roman"/>
          <w:sz w:val="24"/>
        </w:rPr>
        <w:t xml:space="preserve"> This bill</w:t>
      </w:r>
      <w:r w:rsidR="009E7C0A">
        <w:rPr>
          <w:rFonts w:ascii="Times New Roman" w:hAnsi="Times New Roman"/>
          <w:sz w:val="24"/>
        </w:rPr>
        <w:t>, championed by a newly elected Black, Ca</w:t>
      </w:r>
      <w:r w:rsidR="00414446">
        <w:rPr>
          <w:rFonts w:ascii="Times New Roman" w:hAnsi="Times New Roman"/>
          <w:sz w:val="24"/>
        </w:rPr>
        <w:t>b</w:t>
      </w:r>
      <w:r w:rsidR="009E7C0A">
        <w:rPr>
          <w:rFonts w:ascii="Times New Roman" w:hAnsi="Times New Roman"/>
          <w:sz w:val="24"/>
        </w:rPr>
        <w:t>o Verdean community organizer</w:t>
      </w:r>
      <w:r w:rsidR="00414446">
        <w:rPr>
          <w:rFonts w:ascii="Times New Roman" w:hAnsi="Times New Roman"/>
          <w:sz w:val="24"/>
        </w:rPr>
        <w:t xml:space="preserve"> impacted by incarceration named Liz Miranda, </w:t>
      </w:r>
      <w:r w:rsidR="00D82C7E">
        <w:rPr>
          <w:rFonts w:ascii="Times New Roman" w:hAnsi="Times New Roman"/>
          <w:sz w:val="24"/>
        </w:rPr>
        <w:t>sought to secure voting access for those already eligible, and registration for returning citizens. And b</w:t>
      </w:r>
      <w:r>
        <w:rPr>
          <w:rFonts w:ascii="Times New Roman" w:hAnsi="Times New Roman"/>
          <w:sz w:val="24"/>
        </w:rPr>
        <w:t xml:space="preserve">y the next spring, </w:t>
      </w:r>
      <w:r w:rsidR="00252BEC" w:rsidRPr="00953873">
        <w:rPr>
          <w:rFonts w:ascii="Times New Roman" w:hAnsi="Times New Roman"/>
          <w:sz w:val="24"/>
        </w:rPr>
        <w:t xml:space="preserve">Massachusetts </w:t>
      </w:r>
      <w:r w:rsidR="00252BEC">
        <w:rPr>
          <w:rFonts w:ascii="Times New Roman" w:hAnsi="Times New Roman"/>
          <w:sz w:val="24"/>
        </w:rPr>
        <w:t xml:space="preserve">became </w:t>
      </w:r>
      <w:r w:rsidR="00252BEC" w:rsidRPr="00953873">
        <w:rPr>
          <w:rFonts w:ascii="Times New Roman" w:hAnsi="Times New Roman"/>
          <w:sz w:val="24"/>
        </w:rPr>
        <w:t xml:space="preserve">the first state in the US to advance full prison voting </w:t>
      </w:r>
      <w:r w:rsidR="00252BEC">
        <w:rPr>
          <w:rFonts w:ascii="Times New Roman" w:hAnsi="Times New Roman"/>
          <w:sz w:val="24"/>
        </w:rPr>
        <w:t xml:space="preserve">out of committee, when the </w:t>
      </w:r>
      <w:r>
        <w:rPr>
          <w:rFonts w:ascii="Times New Roman" w:hAnsi="Times New Roman"/>
          <w:sz w:val="24"/>
        </w:rPr>
        <w:t xml:space="preserve">Joint Committee on Election Laws </w:t>
      </w:r>
      <w:r w:rsidR="00C4750A">
        <w:rPr>
          <w:rFonts w:ascii="Times New Roman" w:hAnsi="Times New Roman"/>
          <w:sz w:val="24"/>
        </w:rPr>
        <w:t>voted</w:t>
      </w:r>
      <w:r>
        <w:rPr>
          <w:rFonts w:ascii="Times New Roman" w:hAnsi="Times New Roman"/>
          <w:sz w:val="24"/>
        </w:rPr>
        <w:t xml:space="preserve"> </w:t>
      </w:r>
      <w:r w:rsidR="00252BEC">
        <w:rPr>
          <w:rFonts w:ascii="Times New Roman" w:hAnsi="Times New Roman"/>
          <w:sz w:val="24"/>
        </w:rPr>
        <w:t>favorably on t</w:t>
      </w:r>
      <w:r>
        <w:rPr>
          <w:rFonts w:ascii="Times New Roman" w:hAnsi="Times New Roman"/>
          <w:sz w:val="24"/>
        </w:rPr>
        <w:t>he very felony re-enfranchisement legislation that Senator Finegold</w:t>
      </w:r>
      <w:r w:rsidR="00252BEC">
        <w:rPr>
          <w:rFonts w:ascii="Times New Roman" w:hAnsi="Times New Roman"/>
          <w:sz w:val="24"/>
        </w:rPr>
        <w:t xml:space="preserve"> </w:t>
      </w:r>
      <w:r w:rsidR="00D82C7E">
        <w:rPr>
          <w:rFonts w:ascii="Times New Roman" w:hAnsi="Times New Roman"/>
          <w:sz w:val="24"/>
        </w:rPr>
        <w:t xml:space="preserve">so vehemently </w:t>
      </w:r>
      <w:r w:rsidR="00252BEC">
        <w:rPr>
          <w:rFonts w:ascii="Times New Roman" w:hAnsi="Times New Roman"/>
          <w:sz w:val="24"/>
        </w:rPr>
        <w:t>opposed</w:t>
      </w:r>
      <w:r w:rsidR="000C315E">
        <w:rPr>
          <w:rFonts w:ascii="Times New Roman" w:hAnsi="Times New Roman"/>
          <w:sz w:val="24"/>
        </w:rPr>
        <w:t>.</w:t>
      </w:r>
      <w:r w:rsidR="000C315E">
        <w:rPr>
          <w:rStyle w:val="FootnoteReference"/>
          <w:rFonts w:ascii="Times New Roman" w:hAnsi="Times New Roman"/>
          <w:sz w:val="24"/>
        </w:rPr>
        <w:footnoteReference w:id="2"/>
      </w:r>
      <w:r w:rsidR="00252BEC">
        <w:rPr>
          <w:rFonts w:ascii="Times New Roman" w:hAnsi="Times New Roman"/>
          <w:sz w:val="24"/>
        </w:rPr>
        <w:t xml:space="preserve"> </w:t>
      </w:r>
    </w:p>
    <w:p w14:paraId="636DE67C" w14:textId="77777777" w:rsidR="009E7C0A" w:rsidRDefault="009E7C0A" w:rsidP="00252BEC">
      <w:pPr>
        <w:spacing w:line="360" w:lineRule="auto"/>
        <w:rPr>
          <w:rFonts w:ascii="Times New Roman" w:hAnsi="Times New Roman"/>
          <w:sz w:val="24"/>
        </w:rPr>
      </w:pPr>
    </w:p>
    <w:p w14:paraId="21F62C38" w14:textId="77AB39C0" w:rsidR="00414446" w:rsidRDefault="00D82C7E" w:rsidP="00252BEC">
      <w:pPr>
        <w:spacing w:line="360" w:lineRule="auto"/>
        <w:rPr>
          <w:rFonts w:ascii="Times New Roman" w:hAnsi="Times New Roman"/>
          <w:sz w:val="24"/>
        </w:rPr>
      </w:pPr>
      <w:r>
        <w:rPr>
          <w:rFonts w:ascii="Times New Roman" w:hAnsi="Times New Roman"/>
          <w:sz w:val="24"/>
        </w:rPr>
        <w:t>Myriad</w:t>
      </w:r>
      <w:r w:rsidR="002B2365">
        <w:rPr>
          <w:rFonts w:ascii="Times New Roman" w:hAnsi="Times New Roman"/>
          <w:sz w:val="24"/>
        </w:rPr>
        <w:t xml:space="preserve"> </w:t>
      </w:r>
      <w:r w:rsidR="00C4750A">
        <w:rPr>
          <w:rFonts w:ascii="Times New Roman" w:hAnsi="Times New Roman"/>
          <w:sz w:val="24"/>
        </w:rPr>
        <w:t>theories might explain how this change happene</w:t>
      </w:r>
      <w:r w:rsidR="00A45E1B">
        <w:rPr>
          <w:rFonts w:ascii="Times New Roman" w:hAnsi="Times New Roman"/>
          <w:sz w:val="24"/>
        </w:rPr>
        <w:t>d</w:t>
      </w:r>
      <w:r w:rsidR="00C4750A">
        <w:rPr>
          <w:rFonts w:ascii="Times New Roman" w:hAnsi="Times New Roman"/>
          <w:sz w:val="24"/>
        </w:rPr>
        <w:t xml:space="preserve">. The murder of George Floyd and </w:t>
      </w:r>
      <w:r>
        <w:rPr>
          <w:rFonts w:ascii="Times New Roman" w:hAnsi="Times New Roman"/>
          <w:sz w:val="24"/>
        </w:rPr>
        <w:t>the</w:t>
      </w:r>
      <w:r w:rsidR="002B2365">
        <w:rPr>
          <w:rFonts w:ascii="Times New Roman" w:hAnsi="Times New Roman"/>
          <w:sz w:val="24"/>
        </w:rPr>
        <w:t xml:space="preserve"> </w:t>
      </w:r>
      <w:r w:rsidR="00C4750A">
        <w:rPr>
          <w:rFonts w:ascii="Times New Roman" w:hAnsi="Times New Roman"/>
          <w:sz w:val="24"/>
        </w:rPr>
        <w:t xml:space="preserve">subsequent movement for racial justice created new pressure and incentives on legislators in a generally progressive state to prioritize racial equity. Policy process </w:t>
      </w:r>
      <w:r w:rsidR="006537D8">
        <w:rPr>
          <w:rFonts w:ascii="Times New Roman" w:hAnsi="Times New Roman"/>
          <w:sz w:val="24"/>
        </w:rPr>
        <w:t>theorists</w:t>
      </w:r>
      <w:r w:rsidR="00C4750A">
        <w:rPr>
          <w:rFonts w:ascii="Times New Roman" w:hAnsi="Times New Roman"/>
          <w:sz w:val="24"/>
        </w:rPr>
        <w:t xml:space="preserve"> might argue this created a window of </w:t>
      </w:r>
      <w:proofErr w:type="gramStart"/>
      <w:r w:rsidR="00C4750A">
        <w:rPr>
          <w:rFonts w:ascii="Times New Roman" w:hAnsi="Times New Roman"/>
          <w:sz w:val="24"/>
        </w:rPr>
        <w:t xml:space="preserve">opportunity, </w:t>
      </w:r>
      <w:r>
        <w:rPr>
          <w:rFonts w:ascii="Times New Roman" w:hAnsi="Times New Roman"/>
          <w:sz w:val="24"/>
        </w:rPr>
        <w:t>or</w:t>
      </w:r>
      <w:proofErr w:type="gramEnd"/>
      <w:r>
        <w:rPr>
          <w:rFonts w:ascii="Times New Roman" w:hAnsi="Times New Roman"/>
          <w:sz w:val="24"/>
        </w:rPr>
        <w:t xml:space="preserve"> </w:t>
      </w:r>
      <w:r w:rsidR="00C4750A">
        <w:rPr>
          <w:rFonts w:ascii="Times New Roman" w:hAnsi="Times New Roman"/>
          <w:sz w:val="24"/>
        </w:rPr>
        <w:t xml:space="preserve">ask whether ‘peer’ or neighboring states passed similar </w:t>
      </w:r>
      <w:r w:rsidR="00C4750A">
        <w:rPr>
          <w:rFonts w:ascii="Times New Roman" w:hAnsi="Times New Roman"/>
          <w:sz w:val="24"/>
        </w:rPr>
        <w:lastRenderedPageBreak/>
        <w:t>legislation</w:t>
      </w:r>
      <w:r>
        <w:rPr>
          <w:rFonts w:ascii="Times New Roman" w:hAnsi="Times New Roman"/>
          <w:sz w:val="24"/>
        </w:rPr>
        <w:t>, (Kingdon 2003, Greenhill et al 2009)</w:t>
      </w:r>
      <w:r w:rsidR="00C4750A">
        <w:rPr>
          <w:rFonts w:ascii="Times New Roman" w:hAnsi="Times New Roman"/>
          <w:sz w:val="24"/>
        </w:rPr>
        <w:t>.</w:t>
      </w:r>
      <w:r w:rsidR="00CD5847">
        <w:rPr>
          <w:rFonts w:ascii="Times New Roman" w:hAnsi="Times New Roman"/>
          <w:sz w:val="24"/>
        </w:rPr>
        <w:t>”</w:t>
      </w:r>
      <w:r w:rsidR="00C4750A">
        <w:rPr>
          <w:rFonts w:ascii="Times New Roman" w:hAnsi="Times New Roman"/>
          <w:sz w:val="24"/>
        </w:rPr>
        <w:t xml:space="preserve"> </w:t>
      </w:r>
      <w:r w:rsidR="00C51DA4" w:rsidRPr="00C51DA4">
        <w:rPr>
          <w:rFonts w:ascii="Times New Roman" w:hAnsi="Times New Roman"/>
          <w:sz w:val="24"/>
        </w:rPr>
        <w:t xml:space="preserve">In this paper, I explore a range of alternative explanations to those set out by theories relating to policy processes. </w:t>
      </w:r>
      <w:proofErr w:type="gramStart"/>
      <w:r w:rsidR="00C51DA4" w:rsidRPr="00C51DA4">
        <w:rPr>
          <w:rFonts w:ascii="Times New Roman" w:hAnsi="Times New Roman"/>
          <w:sz w:val="24"/>
        </w:rPr>
        <w:t>In order to</w:t>
      </w:r>
      <w:proofErr w:type="gramEnd"/>
      <w:r w:rsidR="00C51DA4" w:rsidRPr="00C51DA4">
        <w:rPr>
          <w:rFonts w:ascii="Times New Roman" w:hAnsi="Times New Roman"/>
          <w:sz w:val="24"/>
        </w:rPr>
        <w:t xml:space="preserve"> do so, I pose a set of questions</w:t>
      </w:r>
      <w:r w:rsidR="00C51DA4">
        <w:rPr>
          <w:rFonts w:ascii="Times New Roman" w:hAnsi="Times New Roman"/>
          <w:sz w:val="24"/>
        </w:rPr>
        <w:t xml:space="preserve"> concerning the representation of incarcerated peoples.</w:t>
      </w:r>
    </w:p>
    <w:p w14:paraId="156FA747" w14:textId="77777777" w:rsidR="00414446" w:rsidRDefault="00414446" w:rsidP="00252BEC">
      <w:pPr>
        <w:spacing w:line="360" w:lineRule="auto"/>
        <w:rPr>
          <w:rFonts w:ascii="Times New Roman" w:hAnsi="Times New Roman"/>
          <w:sz w:val="24"/>
        </w:rPr>
      </w:pPr>
    </w:p>
    <w:p w14:paraId="16BC5B56" w14:textId="3F98A9E6" w:rsidR="00A80D26" w:rsidRPr="00032ED9" w:rsidRDefault="00414446" w:rsidP="00252BEC">
      <w:pPr>
        <w:spacing w:line="360" w:lineRule="auto"/>
        <w:rPr>
          <w:rFonts w:ascii="Times New Roman" w:hAnsi="Times New Roman"/>
          <w:b/>
          <w:bCs/>
          <w:sz w:val="24"/>
        </w:rPr>
      </w:pPr>
      <w:r>
        <w:rPr>
          <w:rFonts w:ascii="Times New Roman" w:hAnsi="Times New Roman"/>
          <w:sz w:val="24"/>
        </w:rPr>
        <w:t xml:space="preserve">First, I ask how legislators conceptualize their constituency – </w:t>
      </w:r>
      <w:r w:rsidR="00104537">
        <w:rPr>
          <w:rFonts w:ascii="Times New Roman" w:hAnsi="Times New Roman"/>
          <w:sz w:val="24"/>
        </w:rPr>
        <w:t>do incarcerated people in or from a legislators’ district appear in those conceptualizations? If so, how?</w:t>
      </w:r>
      <w:r w:rsidR="00AC20B4">
        <w:rPr>
          <w:rFonts w:ascii="Times New Roman" w:hAnsi="Times New Roman"/>
          <w:sz w:val="24"/>
        </w:rPr>
        <w:t xml:space="preserve"> A growing literature shows how the </w:t>
      </w:r>
      <w:r w:rsidR="00104537">
        <w:rPr>
          <w:rFonts w:ascii="Times New Roman" w:hAnsi="Times New Roman"/>
          <w:sz w:val="24"/>
        </w:rPr>
        <w:t>“</w:t>
      </w:r>
      <w:r w:rsidR="00AC20B4">
        <w:rPr>
          <w:rFonts w:ascii="Times New Roman" w:hAnsi="Times New Roman"/>
          <w:sz w:val="24"/>
        </w:rPr>
        <w:t>punitive turn</w:t>
      </w:r>
      <w:r w:rsidR="00104537">
        <w:rPr>
          <w:rFonts w:ascii="Times New Roman" w:hAnsi="Times New Roman"/>
          <w:sz w:val="24"/>
        </w:rPr>
        <w:t>” (</w:t>
      </w:r>
      <w:r w:rsidR="00A92767">
        <w:rPr>
          <w:rFonts w:ascii="Times New Roman" w:hAnsi="Times New Roman"/>
          <w:sz w:val="24"/>
        </w:rPr>
        <w:t xml:space="preserve">see </w:t>
      </w:r>
      <w:proofErr w:type="spellStart"/>
      <w:r w:rsidR="00104537">
        <w:rPr>
          <w:rFonts w:ascii="Times New Roman" w:hAnsi="Times New Roman"/>
          <w:sz w:val="24"/>
        </w:rPr>
        <w:t>Waquant</w:t>
      </w:r>
      <w:proofErr w:type="spellEnd"/>
      <w:r w:rsidR="00104537">
        <w:rPr>
          <w:rFonts w:ascii="Times New Roman" w:hAnsi="Times New Roman"/>
          <w:sz w:val="24"/>
        </w:rPr>
        <w:t xml:space="preserve"> </w:t>
      </w:r>
      <w:r w:rsidR="00470163">
        <w:rPr>
          <w:rFonts w:ascii="Times New Roman" w:hAnsi="Times New Roman"/>
          <w:sz w:val="24"/>
        </w:rPr>
        <w:t>2009</w:t>
      </w:r>
      <w:r w:rsidR="00104537">
        <w:rPr>
          <w:rFonts w:ascii="Times New Roman" w:hAnsi="Times New Roman"/>
          <w:sz w:val="24"/>
        </w:rPr>
        <w:t>)</w:t>
      </w:r>
      <w:r w:rsidR="00AC20B4">
        <w:rPr>
          <w:rFonts w:ascii="Times New Roman" w:hAnsi="Times New Roman"/>
          <w:sz w:val="24"/>
        </w:rPr>
        <w:t xml:space="preserve"> and mass incarceration targets political power </w:t>
      </w:r>
      <w:r w:rsidR="00AC20B4" w:rsidRPr="00953873">
        <w:rPr>
          <w:rFonts w:ascii="Times New Roman" w:hAnsi="Times New Roman"/>
          <w:sz w:val="24"/>
        </w:rPr>
        <w:t xml:space="preserve">of </w:t>
      </w:r>
      <w:r w:rsidR="00AC20B4">
        <w:rPr>
          <w:rFonts w:ascii="Times New Roman" w:hAnsi="Times New Roman"/>
          <w:sz w:val="24"/>
        </w:rPr>
        <w:t xml:space="preserve">particularly </w:t>
      </w:r>
      <w:r w:rsidR="00AC20B4" w:rsidRPr="00953873">
        <w:rPr>
          <w:rFonts w:ascii="Times New Roman" w:hAnsi="Times New Roman"/>
          <w:sz w:val="24"/>
        </w:rPr>
        <w:t xml:space="preserve">Black, </w:t>
      </w:r>
      <w:r w:rsidR="00AC20B4">
        <w:rPr>
          <w:rFonts w:ascii="Times New Roman" w:hAnsi="Times New Roman"/>
          <w:sz w:val="24"/>
        </w:rPr>
        <w:t>Hispanic</w:t>
      </w:r>
      <w:r w:rsidR="00AC20B4" w:rsidRPr="00953873">
        <w:rPr>
          <w:rFonts w:ascii="Times New Roman" w:hAnsi="Times New Roman"/>
          <w:sz w:val="24"/>
        </w:rPr>
        <w:t>, and low-income communities</w:t>
      </w:r>
      <w:r w:rsidR="00AC20B4">
        <w:rPr>
          <w:rFonts w:ascii="Times New Roman" w:hAnsi="Times New Roman"/>
          <w:sz w:val="24"/>
        </w:rPr>
        <w:t xml:space="preserve"> through disenfranchisement policies and practices, prison gerrymandering, and powerful prison economies</w:t>
      </w:r>
      <w:r w:rsidR="00A80D26">
        <w:rPr>
          <w:rFonts w:ascii="Times New Roman" w:hAnsi="Times New Roman"/>
          <w:sz w:val="24"/>
        </w:rPr>
        <w:t xml:space="preserve"> </w:t>
      </w:r>
      <w:r w:rsidR="00A80D26" w:rsidRPr="437AE678">
        <w:rPr>
          <w:rFonts w:ascii="Times New Roman" w:hAnsi="Times New Roman"/>
          <w:sz w:val="24"/>
        </w:rPr>
        <w:t>(Alexander 2010)</w:t>
      </w:r>
      <w:r w:rsidR="00AC20B4">
        <w:rPr>
          <w:rFonts w:ascii="Times New Roman" w:hAnsi="Times New Roman"/>
          <w:sz w:val="24"/>
        </w:rPr>
        <w:t>. But we know less about the extent to which legislative offices are responsive to incarcerated people</w:t>
      </w:r>
      <w:r w:rsidR="00C51DA4">
        <w:rPr>
          <w:rFonts w:ascii="Times New Roman" w:hAnsi="Times New Roman"/>
          <w:sz w:val="24"/>
        </w:rPr>
        <w:t xml:space="preserve">, </w:t>
      </w:r>
      <w:r w:rsidR="00AC20B4">
        <w:rPr>
          <w:rFonts w:ascii="Times New Roman" w:hAnsi="Times New Roman"/>
          <w:sz w:val="24"/>
        </w:rPr>
        <w:t>conceptualize their interests</w:t>
      </w:r>
      <w:r w:rsidR="00C51DA4">
        <w:rPr>
          <w:rFonts w:ascii="Times New Roman" w:hAnsi="Times New Roman"/>
          <w:sz w:val="24"/>
        </w:rPr>
        <w:t>, or conceive of them</w:t>
      </w:r>
      <w:r w:rsidR="00AC20B4">
        <w:rPr>
          <w:rFonts w:ascii="Times New Roman" w:hAnsi="Times New Roman"/>
          <w:sz w:val="24"/>
        </w:rPr>
        <w:t xml:space="preserve">. </w:t>
      </w:r>
      <w:r w:rsidR="00AC20B4" w:rsidRPr="00032ED9">
        <w:rPr>
          <w:rFonts w:ascii="Times New Roman" w:hAnsi="Times New Roman"/>
          <w:b/>
          <w:bCs/>
          <w:sz w:val="24"/>
        </w:rPr>
        <w:t>To whom do “incarcerated constituencies” exist, what does that mean for people, policy</w:t>
      </w:r>
      <w:r w:rsidR="00E32C80" w:rsidRPr="00032ED9">
        <w:rPr>
          <w:rFonts w:ascii="Times New Roman" w:hAnsi="Times New Roman"/>
          <w:b/>
          <w:bCs/>
          <w:sz w:val="24"/>
        </w:rPr>
        <w:t xml:space="preserve"> – particularly the maintenance of starkly unequal punitive policy and political exclusion</w:t>
      </w:r>
      <w:r w:rsidR="00AC20B4" w:rsidRPr="00032ED9">
        <w:rPr>
          <w:rFonts w:ascii="Times New Roman" w:hAnsi="Times New Roman"/>
          <w:b/>
          <w:bCs/>
          <w:sz w:val="24"/>
        </w:rPr>
        <w:t xml:space="preserve">, and our understanding </w:t>
      </w:r>
      <w:r w:rsidR="00A80D26" w:rsidRPr="00032ED9">
        <w:rPr>
          <w:rFonts w:ascii="Times New Roman" w:hAnsi="Times New Roman"/>
          <w:b/>
          <w:bCs/>
          <w:sz w:val="24"/>
        </w:rPr>
        <w:t>epistemic justice and incarceration?</w:t>
      </w:r>
      <w:r w:rsidR="00C51DA4">
        <w:rPr>
          <w:rFonts w:ascii="Times New Roman" w:hAnsi="Times New Roman"/>
          <w:sz w:val="24"/>
        </w:rPr>
        <w:t xml:space="preserve"> By this I mean the following: in a democracy, </w:t>
      </w:r>
      <w:r w:rsidR="00C51DA4" w:rsidRPr="00032ED9">
        <w:rPr>
          <w:rFonts w:ascii="Times New Roman" w:hAnsi="Times New Roman"/>
          <w:b/>
          <w:bCs/>
          <w:sz w:val="24"/>
        </w:rPr>
        <w:t xml:space="preserve">citizens have an implicit right to be </w:t>
      </w:r>
      <w:r w:rsidR="00C51DA4" w:rsidRPr="00032ED9">
        <w:rPr>
          <w:rFonts w:ascii="Times New Roman" w:hAnsi="Times New Roman"/>
          <w:b/>
          <w:bCs/>
          <w:i/>
          <w:iCs/>
          <w:sz w:val="24"/>
        </w:rPr>
        <w:t>considered</w:t>
      </w:r>
      <w:r w:rsidR="00C51DA4" w:rsidRPr="00032ED9">
        <w:rPr>
          <w:rFonts w:ascii="Times New Roman" w:hAnsi="Times New Roman"/>
          <w:b/>
          <w:bCs/>
          <w:sz w:val="24"/>
        </w:rPr>
        <w:t xml:space="preserve"> by legislators</w:t>
      </w:r>
      <w:r w:rsidR="00C51DA4">
        <w:rPr>
          <w:rFonts w:ascii="Times New Roman" w:hAnsi="Times New Roman"/>
          <w:sz w:val="24"/>
        </w:rPr>
        <w:t xml:space="preserve"> – beyond material questions of interest representation and constituent service – and I suggest that </w:t>
      </w:r>
      <w:r w:rsidR="00C51DA4" w:rsidRPr="00032ED9">
        <w:rPr>
          <w:rFonts w:ascii="Times New Roman" w:hAnsi="Times New Roman"/>
          <w:b/>
          <w:bCs/>
          <w:sz w:val="24"/>
        </w:rPr>
        <w:t xml:space="preserve">absence of this consideration constitutes an epistemic </w:t>
      </w:r>
      <w:proofErr w:type="gramStart"/>
      <w:r w:rsidR="00C51DA4" w:rsidRPr="00032ED9">
        <w:rPr>
          <w:rFonts w:ascii="Times New Roman" w:hAnsi="Times New Roman"/>
          <w:b/>
          <w:bCs/>
          <w:sz w:val="24"/>
        </w:rPr>
        <w:t>injustice in its own right</w:t>
      </w:r>
      <w:proofErr w:type="gramEnd"/>
      <w:r w:rsidR="00C51DA4" w:rsidRPr="00032ED9">
        <w:rPr>
          <w:rFonts w:ascii="Times New Roman" w:hAnsi="Times New Roman"/>
          <w:b/>
          <w:bCs/>
          <w:sz w:val="24"/>
        </w:rPr>
        <w:t xml:space="preserve">. </w:t>
      </w:r>
    </w:p>
    <w:p w14:paraId="1BD00444" w14:textId="77777777" w:rsidR="00A80D26" w:rsidRDefault="00A80D26" w:rsidP="00252BEC">
      <w:pPr>
        <w:spacing w:line="360" w:lineRule="auto"/>
        <w:rPr>
          <w:rFonts w:ascii="Times New Roman" w:hAnsi="Times New Roman"/>
          <w:sz w:val="24"/>
        </w:rPr>
      </w:pPr>
    </w:p>
    <w:p w14:paraId="46470855" w14:textId="2FFF035F" w:rsidR="00A80D26" w:rsidRPr="003A1545" w:rsidRDefault="00A80D26" w:rsidP="00252BEC">
      <w:pPr>
        <w:spacing w:line="360" w:lineRule="auto"/>
        <w:rPr>
          <w:rFonts w:ascii="Times New Roman" w:hAnsi="Times New Roman"/>
          <w:b/>
          <w:bCs/>
          <w:sz w:val="24"/>
        </w:rPr>
      </w:pPr>
      <w:r>
        <w:rPr>
          <w:rFonts w:ascii="Times New Roman" w:hAnsi="Times New Roman"/>
          <w:sz w:val="24"/>
        </w:rPr>
        <w:t xml:space="preserve">Representative Liz Miranda led with both her racial identity and her personal experience – as the sister of a brother who died in prison, a brother who lost his life to street violence, and someone who’s community extends beyond prison walls. She is part of a group of legislators whose recent elections have brought significant, long-overdue racial representation to the chambers. </w:t>
      </w:r>
      <w:commentRangeStart w:id="1"/>
      <w:r>
        <w:rPr>
          <w:rFonts w:ascii="Times New Roman" w:hAnsi="Times New Roman"/>
          <w:sz w:val="24"/>
        </w:rPr>
        <w:t>Many of these legislators similarly highlight how punishment</w:t>
      </w:r>
      <w:r w:rsidR="00C90037">
        <w:rPr>
          <w:rFonts w:ascii="Times New Roman" w:hAnsi="Times New Roman"/>
          <w:sz w:val="24"/>
        </w:rPr>
        <w:t xml:space="preserve"> impacts</w:t>
      </w:r>
      <w:r>
        <w:rPr>
          <w:rFonts w:ascii="Times New Roman" w:hAnsi="Times New Roman"/>
          <w:sz w:val="24"/>
        </w:rPr>
        <w:t xml:space="preserve"> </w:t>
      </w:r>
      <w:r w:rsidR="00E32C80">
        <w:rPr>
          <w:rFonts w:ascii="Times New Roman" w:hAnsi="Times New Roman"/>
          <w:sz w:val="24"/>
        </w:rPr>
        <w:t xml:space="preserve">their communities and social networks, in ways that I suspect were important for changing institutional norms – </w:t>
      </w:r>
      <w:r w:rsidR="00C90037">
        <w:rPr>
          <w:rFonts w:ascii="Times New Roman" w:hAnsi="Times New Roman"/>
          <w:sz w:val="24"/>
        </w:rPr>
        <w:t>including</w:t>
      </w:r>
      <w:r w:rsidR="00E32C80">
        <w:rPr>
          <w:rFonts w:ascii="Times New Roman" w:hAnsi="Times New Roman"/>
          <w:sz w:val="24"/>
        </w:rPr>
        <w:t xml:space="preserve"> how legislators talk about incarcerated people</w:t>
      </w:r>
      <w:commentRangeEnd w:id="1"/>
      <w:r w:rsidR="00575F7B">
        <w:rPr>
          <w:rStyle w:val="CommentReference"/>
        </w:rPr>
        <w:commentReference w:id="1"/>
      </w:r>
      <w:r w:rsidR="00E32C80">
        <w:rPr>
          <w:rFonts w:ascii="Times New Roman" w:hAnsi="Times New Roman"/>
          <w:sz w:val="24"/>
        </w:rPr>
        <w:t>.</w:t>
      </w:r>
      <w:r w:rsidR="00122863">
        <w:rPr>
          <w:rFonts w:ascii="Times New Roman" w:hAnsi="Times New Roman"/>
          <w:sz w:val="24"/>
        </w:rPr>
        <w:t xml:space="preserve"> The constituents to whom (now) Senator Liz Miranda appears to hold herself to account extends beyond prison walls. </w:t>
      </w:r>
      <w:r w:rsidR="00E32C80">
        <w:rPr>
          <w:rFonts w:ascii="Times New Roman" w:hAnsi="Times New Roman"/>
          <w:sz w:val="24"/>
        </w:rPr>
        <w:t>Thus, s</w:t>
      </w:r>
      <w:r>
        <w:rPr>
          <w:rFonts w:ascii="Times New Roman" w:hAnsi="Times New Roman"/>
          <w:sz w:val="24"/>
        </w:rPr>
        <w:t xml:space="preserve">econd, I ask </w:t>
      </w:r>
      <w:r w:rsidRPr="003A1545">
        <w:rPr>
          <w:rFonts w:ascii="Times New Roman" w:hAnsi="Times New Roman"/>
          <w:b/>
          <w:bCs/>
          <w:sz w:val="24"/>
        </w:rPr>
        <w:t xml:space="preserve">how and why descriptive representation in legislatures may matter for the interests of communities impacted by incarceration. </w:t>
      </w:r>
    </w:p>
    <w:p w14:paraId="05B422C0" w14:textId="5EDA8BD2" w:rsidR="00A80D26" w:rsidRDefault="00A80D26" w:rsidP="00252BEC">
      <w:pPr>
        <w:spacing w:line="360" w:lineRule="auto"/>
        <w:rPr>
          <w:rFonts w:ascii="Times New Roman" w:hAnsi="Times New Roman"/>
          <w:sz w:val="24"/>
        </w:rPr>
      </w:pPr>
      <w:r>
        <w:rPr>
          <w:rFonts w:ascii="Times New Roman" w:hAnsi="Times New Roman"/>
          <w:sz w:val="24"/>
        </w:rPr>
        <w:t xml:space="preserve"> </w:t>
      </w:r>
    </w:p>
    <w:p w14:paraId="0EA3EC8A" w14:textId="40319D4C" w:rsidR="00E00F6D" w:rsidRDefault="00E00F6D" w:rsidP="00252BEC">
      <w:pPr>
        <w:spacing w:line="360" w:lineRule="auto"/>
        <w:rPr>
          <w:rFonts w:ascii="Times New Roman" w:hAnsi="Times New Roman"/>
          <w:sz w:val="24"/>
        </w:rPr>
      </w:pPr>
      <w:r>
        <w:rPr>
          <w:rFonts w:ascii="Times New Roman" w:hAnsi="Times New Roman"/>
          <w:sz w:val="24"/>
        </w:rPr>
        <w:t xml:space="preserve">Ultimately, </w:t>
      </w:r>
      <w:r w:rsidRPr="00777F37">
        <w:rPr>
          <w:rFonts w:ascii="Times New Roman" w:hAnsi="Times New Roman"/>
          <w:b/>
          <w:bCs/>
          <w:sz w:val="24"/>
        </w:rPr>
        <w:t xml:space="preserve">I argue that understanding the maintenance of racialized punishment and political exclusion requires holding questions of descriptive and substantive representation </w:t>
      </w:r>
      <w:r w:rsidRPr="00777F37">
        <w:rPr>
          <w:rFonts w:ascii="Times New Roman" w:hAnsi="Times New Roman"/>
          <w:b/>
          <w:bCs/>
          <w:sz w:val="24"/>
        </w:rPr>
        <w:lastRenderedPageBreak/>
        <w:t>and legislative responsiveness in conversation with one another.</w:t>
      </w:r>
      <w:r>
        <w:rPr>
          <w:rFonts w:ascii="Times New Roman" w:hAnsi="Times New Roman"/>
          <w:sz w:val="24"/>
        </w:rPr>
        <w:t xml:space="preserve"> </w:t>
      </w:r>
      <w:r w:rsidR="00DE1543">
        <w:rPr>
          <w:rFonts w:ascii="Times New Roman" w:hAnsi="Times New Roman"/>
          <w:sz w:val="24"/>
        </w:rPr>
        <w:t xml:space="preserve">In this literature review, I aim to begin to </w:t>
      </w:r>
      <w:r>
        <w:rPr>
          <w:rFonts w:ascii="Times New Roman" w:hAnsi="Times New Roman"/>
          <w:sz w:val="24"/>
        </w:rPr>
        <w:t xml:space="preserve">do </w:t>
      </w:r>
      <w:proofErr w:type="gramStart"/>
      <w:r>
        <w:rPr>
          <w:rFonts w:ascii="Times New Roman" w:hAnsi="Times New Roman"/>
          <w:sz w:val="24"/>
        </w:rPr>
        <w:t>so, and</w:t>
      </w:r>
      <w:proofErr w:type="gramEnd"/>
      <w:r>
        <w:rPr>
          <w:rFonts w:ascii="Times New Roman" w:hAnsi="Times New Roman"/>
          <w:sz w:val="24"/>
        </w:rPr>
        <w:t xml:space="preserve"> argue that this question of “incarcerated constituencies” matters. </w:t>
      </w:r>
      <w:r w:rsidR="00DE1543">
        <w:rPr>
          <w:rFonts w:ascii="Times New Roman" w:hAnsi="Times New Roman"/>
          <w:sz w:val="24"/>
        </w:rPr>
        <w:t xml:space="preserve">It </w:t>
      </w:r>
      <w:r w:rsidR="009A18BF">
        <w:rPr>
          <w:rFonts w:ascii="Times New Roman" w:hAnsi="Times New Roman"/>
          <w:sz w:val="24"/>
        </w:rPr>
        <w:t>proceeds</w:t>
      </w:r>
      <w:r w:rsidR="00DE1543">
        <w:rPr>
          <w:rFonts w:ascii="Times New Roman" w:hAnsi="Times New Roman"/>
          <w:sz w:val="24"/>
        </w:rPr>
        <w:t xml:space="preserve"> as follows:</w:t>
      </w:r>
    </w:p>
    <w:p w14:paraId="78651222" w14:textId="77777777" w:rsidR="00DE1543" w:rsidRDefault="00DE1543" w:rsidP="00DE1543">
      <w:pPr>
        <w:pStyle w:val="ListParagraph"/>
        <w:numPr>
          <w:ilvl w:val="0"/>
          <w:numId w:val="26"/>
        </w:numPr>
        <w:spacing w:line="360" w:lineRule="auto"/>
        <w:rPr>
          <w:rFonts w:ascii="Times New Roman" w:hAnsi="Times New Roman"/>
          <w:sz w:val="24"/>
        </w:rPr>
      </w:pPr>
      <w:r>
        <w:rPr>
          <w:rFonts w:ascii="Times New Roman" w:hAnsi="Times New Roman"/>
          <w:sz w:val="24"/>
        </w:rPr>
        <w:t>In Section 1, I review literature that asks how legislators perceive their district. I include a brief discussion on literature on congruence and responsiveness as measures as perception.</w:t>
      </w:r>
    </w:p>
    <w:p w14:paraId="1365D24B" w14:textId="26F95923" w:rsidR="00DE1543" w:rsidRDefault="00DE1543" w:rsidP="00DE1543">
      <w:pPr>
        <w:pStyle w:val="ListParagraph"/>
        <w:numPr>
          <w:ilvl w:val="0"/>
          <w:numId w:val="26"/>
        </w:numPr>
        <w:spacing w:line="360" w:lineRule="auto"/>
        <w:rPr>
          <w:rFonts w:ascii="Times New Roman" w:hAnsi="Times New Roman"/>
          <w:sz w:val="24"/>
        </w:rPr>
      </w:pPr>
      <w:r>
        <w:rPr>
          <w:rFonts w:ascii="Times New Roman" w:hAnsi="Times New Roman"/>
          <w:sz w:val="24"/>
        </w:rPr>
        <w:t xml:space="preserve">In Section 2, I review literature on the theoretical import of descriptive representation, and barriers to it. </w:t>
      </w:r>
    </w:p>
    <w:p w14:paraId="5A1AE5DA" w14:textId="57A86773" w:rsidR="00EB7F8E" w:rsidRDefault="00DE1543" w:rsidP="00DE1543">
      <w:pPr>
        <w:pStyle w:val="ListParagraph"/>
        <w:numPr>
          <w:ilvl w:val="0"/>
          <w:numId w:val="26"/>
        </w:numPr>
        <w:spacing w:line="360" w:lineRule="auto"/>
        <w:rPr>
          <w:rFonts w:ascii="Times New Roman" w:hAnsi="Times New Roman"/>
          <w:sz w:val="24"/>
        </w:rPr>
      </w:pPr>
      <w:r>
        <w:rPr>
          <w:rFonts w:ascii="Times New Roman" w:hAnsi="Times New Roman"/>
          <w:sz w:val="24"/>
        </w:rPr>
        <w:t xml:space="preserve">In Section 3, </w:t>
      </w:r>
      <w:r w:rsidR="00EB7F8E">
        <w:rPr>
          <w:rFonts w:ascii="Times New Roman" w:hAnsi="Times New Roman"/>
          <w:sz w:val="24"/>
        </w:rPr>
        <w:t>I discuss the status of descriptive and substantive representation.</w:t>
      </w:r>
    </w:p>
    <w:p w14:paraId="4E23FA9A" w14:textId="3442A02B" w:rsidR="00DE1543" w:rsidRPr="00DE1543" w:rsidRDefault="00EB7F8E" w:rsidP="00DE1543">
      <w:pPr>
        <w:pStyle w:val="ListParagraph"/>
        <w:numPr>
          <w:ilvl w:val="0"/>
          <w:numId w:val="26"/>
        </w:numPr>
        <w:spacing w:line="360" w:lineRule="auto"/>
        <w:rPr>
          <w:rFonts w:ascii="Times New Roman" w:hAnsi="Times New Roman"/>
          <w:sz w:val="24"/>
        </w:rPr>
      </w:pPr>
      <w:r>
        <w:rPr>
          <w:rFonts w:ascii="Times New Roman" w:hAnsi="Times New Roman"/>
          <w:sz w:val="24"/>
        </w:rPr>
        <w:t>In Section 4,</w:t>
      </w:r>
      <w:r w:rsidR="00CB176F">
        <w:rPr>
          <w:rFonts w:ascii="Times New Roman" w:hAnsi="Times New Roman"/>
          <w:sz w:val="24"/>
        </w:rPr>
        <w:t xml:space="preserve"> I conclude.</w:t>
      </w:r>
    </w:p>
    <w:p w14:paraId="78956BA4" w14:textId="77777777" w:rsidR="006537D8" w:rsidRDefault="006537D8" w:rsidP="00514ADD">
      <w:pPr>
        <w:spacing w:line="360" w:lineRule="auto"/>
        <w:rPr>
          <w:rFonts w:ascii="Times New Roman" w:hAnsi="Times New Roman"/>
          <w:sz w:val="24"/>
        </w:rPr>
      </w:pPr>
    </w:p>
    <w:p w14:paraId="723F884A" w14:textId="01823DB4" w:rsidR="00514ADD" w:rsidRPr="00DE1543" w:rsidRDefault="0061617E" w:rsidP="00514ADD">
      <w:pPr>
        <w:spacing w:line="360" w:lineRule="auto"/>
        <w:rPr>
          <w:rFonts w:ascii="Times New Roman" w:hAnsi="Times New Roman"/>
          <w:b/>
          <w:bCs/>
          <w:sz w:val="28"/>
          <w:szCs w:val="28"/>
        </w:rPr>
      </w:pPr>
      <w:r w:rsidRPr="00DE1543">
        <w:rPr>
          <w:rFonts w:ascii="Times New Roman" w:hAnsi="Times New Roman"/>
          <w:b/>
          <w:bCs/>
          <w:sz w:val="28"/>
          <w:szCs w:val="28"/>
        </w:rPr>
        <w:t xml:space="preserve">Section 1: </w:t>
      </w:r>
      <w:r w:rsidR="006537D8" w:rsidRPr="00DE1543">
        <w:rPr>
          <w:rFonts w:ascii="Times New Roman" w:hAnsi="Times New Roman"/>
          <w:b/>
          <w:bCs/>
          <w:sz w:val="28"/>
          <w:szCs w:val="28"/>
        </w:rPr>
        <w:t>Legislative Perceptions</w:t>
      </w:r>
    </w:p>
    <w:p w14:paraId="4A3D1766" w14:textId="13122987" w:rsidR="00314490" w:rsidRDefault="00514ADD" w:rsidP="00A61B8A">
      <w:pPr>
        <w:spacing w:line="360" w:lineRule="auto"/>
        <w:rPr>
          <w:rFonts w:ascii="Times New Roman" w:hAnsi="Times New Roman"/>
          <w:sz w:val="24"/>
        </w:rPr>
      </w:pPr>
      <w:r>
        <w:rPr>
          <w:rFonts w:ascii="Times New Roman" w:hAnsi="Times New Roman"/>
          <w:sz w:val="24"/>
        </w:rPr>
        <w:t xml:space="preserve">When Senator Barry Finegold told me in 2019 that his constituents would never “go for” </w:t>
      </w:r>
      <w:r w:rsidR="00122863">
        <w:rPr>
          <w:rFonts w:ascii="Times New Roman" w:hAnsi="Times New Roman"/>
          <w:sz w:val="24"/>
        </w:rPr>
        <w:t>felony re-enfranchisement</w:t>
      </w:r>
      <w:r>
        <w:rPr>
          <w:rFonts w:ascii="Times New Roman" w:hAnsi="Times New Roman"/>
          <w:sz w:val="24"/>
        </w:rPr>
        <w:t>,</w:t>
      </w:r>
      <w:r w:rsidR="00A61B8A">
        <w:rPr>
          <w:rFonts w:ascii="Times New Roman" w:hAnsi="Times New Roman"/>
          <w:sz w:val="24"/>
        </w:rPr>
        <w:t xml:space="preserve"> I thought of the disproportionate footprint of policing and incarceration on the Lawrence, the city in his otherwise overwhelmingly white district that bears the disproportionate footprint of policing and incarceration on Black and Hispanic communities in Massachusetts, and has the district’s only correctional institution. My ensuing question is </w:t>
      </w:r>
      <w:r w:rsidR="00CD5847">
        <w:rPr>
          <w:rFonts w:ascii="Times New Roman" w:hAnsi="Times New Roman"/>
          <w:sz w:val="24"/>
        </w:rPr>
        <w:t xml:space="preserve">a </w:t>
      </w:r>
      <w:r w:rsidR="00696650">
        <w:rPr>
          <w:rFonts w:ascii="Times New Roman" w:hAnsi="Times New Roman"/>
          <w:sz w:val="24"/>
        </w:rPr>
        <w:t xml:space="preserve">fundamental question </w:t>
      </w:r>
      <w:r w:rsidR="00A61B8A">
        <w:rPr>
          <w:rFonts w:ascii="Times New Roman" w:hAnsi="Times New Roman"/>
          <w:sz w:val="24"/>
        </w:rPr>
        <w:t>to</w:t>
      </w:r>
      <w:r w:rsidR="00696650">
        <w:rPr>
          <w:rFonts w:ascii="Times New Roman" w:hAnsi="Times New Roman"/>
          <w:sz w:val="24"/>
        </w:rPr>
        <w:t xml:space="preserve"> democratic representation</w:t>
      </w:r>
      <w:r w:rsidR="00A61B8A">
        <w:rPr>
          <w:rFonts w:ascii="Times New Roman" w:hAnsi="Times New Roman"/>
          <w:sz w:val="24"/>
        </w:rPr>
        <w:t xml:space="preserve">, and </w:t>
      </w:r>
      <w:r w:rsidR="00696650">
        <w:rPr>
          <w:rFonts w:ascii="Times New Roman" w:hAnsi="Times New Roman"/>
          <w:sz w:val="24"/>
        </w:rPr>
        <w:t xml:space="preserve">precedes questions of legislative decision-making and responsiveness: when a legislator thinks of their district, who do they see? </w:t>
      </w:r>
    </w:p>
    <w:p w14:paraId="39D1981C" w14:textId="77777777" w:rsidR="00A015EE" w:rsidRDefault="00A015EE" w:rsidP="00A015EE">
      <w:pPr>
        <w:spacing w:line="360" w:lineRule="auto"/>
        <w:rPr>
          <w:rFonts w:ascii="Times New Roman" w:hAnsi="Times New Roman"/>
          <w:sz w:val="24"/>
        </w:rPr>
      </w:pPr>
    </w:p>
    <w:p w14:paraId="76D271D9" w14:textId="3A3CF1DB" w:rsidR="00A015EE" w:rsidRDefault="00122863" w:rsidP="00A015EE">
      <w:pPr>
        <w:spacing w:line="360" w:lineRule="auto"/>
        <w:rPr>
          <w:rFonts w:ascii="Times New Roman" w:hAnsi="Times New Roman"/>
          <w:sz w:val="24"/>
        </w:rPr>
      </w:pPr>
      <w:r>
        <w:rPr>
          <w:rFonts w:ascii="Times New Roman" w:hAnsi="Times New Roman"/>
          <w:sz w:val="24"/>
        </w:rPr>
        <w:t>Ryan Fenno addressed this question i</w:t>
      </w:r>
      <w:r w:rsidR="00314490">
        <w:rPr>
          <w:rFonts w:ascii="Times New Roman" w:hAnsi="Times New Roman"/>
          <w:sz w:val="24"/>
        </w:rPr>
        <w:t xml:space="preserve">n </w:t>
      </w:r>
      <w:proofErr w:type="gramStart"/>
      <w:r w:rsidR="00314490">
        <w:rPr>
          <w:rFonts w:ascii="Times New Roman" w:hAnsi="Times New Roman"/>
          <w:sz w:val="24"/>
        </w:rPr>
        <w:t xml:space="preserve">1978, </w:t>
      </w:r>
      <w:r>
        <w:rPr>
          <w:rFonts w:ascii="Times New Roman" w:hAnsi="Times New Roman"/>
          <w:sz w:val="24"/>
        </w:rPr>
        <w:t>and</w:t>
      </w:r>
      <w:proofErr w:type="gramEnd"/>
      <w:r w:rsidR="00314490">
        <w:rPr>
          <w:rFonts w:ascii="Times New Roman" w:hAnsi="Times New Roman"/>
          <w:sz w:val="24"/>
        </w:rPr>
        <w:t xml:space="preserve"> dismantled the notion that any given district (in his case, Congressional), can be thought of in singular “constituency” terms. In his foundational ethnography of 18 House members, </w:t>
      </w:r>
      <w:r w:rsidR="00A015EE">
        <w:rPr>
          <w:rFonts w:ascii="Times New Roman" w:hAnsi="Times New Roman"/>
          <w:sz w:val="24"/>
        </w:rPr>
        <w:t xml:space="preserve">he </w:t>
      </w:r>
      <w:r>
        <w:rPr>
          <w:rFonts w:ascii="Times New Roman" w:hAnsi="Times New Roman"/>
          <w:sz w:val="24"/>
        </w:rPr>
        <w:t xml:space="preserve">finds </w:t>
      </w:r>
      <w:r w:rsidR="00A015EE">
        <w:rPr>
          <w:rFonts w:ascii="Times New Roman" w:hAnsi="Times New Roman"/>
          <w:sz w:val="24"/>
        </w:rPr>
        <w:t xml:space="preserve">that </w:t>
      </w:r>
      <w:r w:rsidR="00314490" w:rsidRPr="00953873">
        <w:rPr>
          <w:rFonts w:ascii="Times New Roman" w:hAnsi="Times New Roman"/>
          <w:sz w:val="24"/>
        </w:rPr>
        <w:t xml:space="preserve">representatives </w:t>
      </w:r>
      <w:r w:rsidR="00A015EE">
        <w:rPr>
          <w:rFonts w:ascii="Times New Roman" w:hAnsi="Times New Roman"/>
          <w:sz w:val="24"/>
        </w:rPr>
        <w:t xml:space="preserve">instead </w:t>
      </w:r>
      <w:r w:rsidR="00314490" w:rsidRPr="00953873">
        <w:rPr>
          <w:rFonts w:ascii="Times New Roman" w:hAnsi="Times New Roman"/>
          <w:sz w:val="24"/>
        </w:rPr>
        <w:t>see their districts as constituted by a “nest of concentric circles,” or sub-constituencies differentiated via their perceived likelihood of voting, political support, and party affiliation.</w:t>
      </w:r>
      <w:r w:rsidR="00A015EE" w:rsidRPr="00A015EE">
        <w:rPr>
          <w:rFonts w:ascii="Times New Roman" w:hAnsi="Times New Roman"/>
          <w:sz w:val="24"/>
        </w:rPr>
        <w:t xml:space="preserve"> </w:t>
      </w:r>
      <w:r w:rsidR="00A015EE">
        <w:rPr>
          <w:rFonts w:ascii="Times New Roman" w:hAnsi="Times New Roman"/>
          <w:sz w:val="24"/>
        </w:rPr>
        <w:t>He argues that district perceptions directly translate to prioritization and responsiveness: “the constituency that a representative reacts to is the constituency that he or she sees” (</w:t>
      </w:r>
      <w:proofErr w:type="spellStart"/>
      <w:r w:rsidR="00A015EE">
        <w:rPr>
          <w:rFonts w:ascii="Times New Roman" w:hAnsi="Times New Roman"/>
          <w:sz w:val="24"/>
        </w:rPr>
        <w:t>Fenno</w:t>
      </w:r>
      <w:proofErr w:type="spellEnd"/>
      <w:r w:rsidR="00A015EE">
        <w:rPr>
          <w:rFonts w:ascii="Times New Roman" w:hAnsi="Times New Roman"/>
          <w:sz w:val="24"/>
        </w:rPr>
        <w:t xml:space="preserve"> 1978).</w:t>
      </w:r>
      <w:r>
        <w:rPr>
          <w:rFonts w:ascii="Times New Roman" w:hAnsi="Times New Roman"/>
          <w:sz w:val="24"/>
        </w:rPr>
        <w:t xml:space="preserve"> </w:t>
      </w:r>
      <w:r w:rsidR="00A61B8A">
        <w:rPr>
          <w:rFonts w:ascii="Times New Roman" w:hAnsi="Times New Roman"/>
          <w:sz w:val="24"/>
        </w:rPr>
        <w:t xml:space="preserve">Taken literally, the constituency that Finegold invokes, in other words, may be constituted by the overlap of sub-constituencies with which he interacts with the most, and most ensures his re-election. </w:t>
      </w:r>
    </w:p>
    <w:p w14:paraId="39321348" w14:textId="77777777" w:rsidR="00A015EE" w:rsidRDefault="00A015EE" w:rsidP="00A015EE">
      <w:pPr>
        <w:spacing w:line="360" w:lineRule="auto"/>
        <w:rPr>
          <w:rFonts w:ascii="Times New Roman" w:hAnsi="Times New Roman"/>
          <w:sz w:val="24"/>
        </w:rPr>
      </w:pPr>
    </w:p>
    <w:p w14:paraId="26169BE0" w14:textId="362DB2A4" w:rsidR="00122863" w:rsidRDefault="00A61B8A" w:rsidP="00A015EE">
      <w:pPr>
        <w:spacing w:line="360" w:lineRule="auto"/>
        <w:rPr>
          <w:rFonts w:ascii="Times New Roman" w:hAnsi="Times New Roman"/>
          <w:sz w:val="24"/>
        </w:rPr>
      </w:pPr>
      <w:r>
        <w:rPr>
          <w:rFonts w:ascii="Times New Roman" w:hAnsi="Times New Roman"/>
          <w:sz w:val="24"/>
        </w:rPr>
        <w:lastRenderedPageBreak/>
        <w:t>But to some degree, legislator-district perceptions involve choice, argues</w:t>
      </w:r>
      <w:r w:rsidR="00A87C43">
        <w:rPr>
          <w:rFonts w:ascii="Times New Roman" w:hAnsi="Times New Roman"/>
          <w:sz w:val="24"/>
        </w:rPr>
        <w:t xml:space="preserve"> to Fenno,</w:t>
      </w:r>
      <w:r>
        <w:rPr>
          <w:rFonts w:ascii="Times New Roman" w:hAnsi="Times New Roman"/>
          <w:sz w:val="24"/>
        </w:rPr>
        <w:t xml:space="preserve"> as they are heavily influenced by </w:t>
      </w:r>
      <w:r w:rsidR="006E59B7">
        <w:rPr>
          <w:rFonts w:ascii="Times New Roman" w:hAnsi="Times New Roman"/>
          <w:sz w:val="24"/>
        </w:rPr>
        <w:t xml:space="preserve">information environments and </w:t>
      </w:r>
      <w:r>
        <w:rPr>
          <w:rFonts w:ascii="Times New Roman" w:hAnsi="Times New Roman"/>
          <w:sz w:val="24"/>
        </w:rPr>
        <w:t>the legislator spends time</w:t>
      </w:r>
      <w:r w:rsidR="00D86790">
        <w:rPr>
          <w:rFonts w:ascii="Times New Roman" w:hAnsi="Times New Roman"/>
          <w:sz w:val="24"/>
        </w:rPr>
        <w:t>.</w:t>
      </w:r>
      <w:r>
        <w:rPr>
          <w:rFonts w:ascii="Times New Roman" w:hAnsi="Times New Roman"/>
          <w:sz w:val="24"/>
        </w:rPr>
        <w:t xml:space="preserve"> And they are not static. Fenno argues that</w:t>
      </w:r>
      <w:r w:rsidR="00A87C43">
        <w:rPr>
          <w:rFonts w:ascii="Times New Roman" w:hAnsi="Times New Roman"/>
          <w:sz w:val="24"/>
        </w:rPr>
        <w:t xml:space="preserve"> legislator-district perceptions and responsiveness changes over time largely because these “concentric circles” are understood by legislators in terms of future electability. </w:t>
      </w:r>
      <w:r w:rsidR="00A015EE">
        <w:rPr>
          <w:rFonts w:ascii="Times New Roman" w:hAnsi="Times New Roman"/>
          <w:sz w:val="24"/>
        </w:rPr>
        <w:t xml:space="preserve">He frames </w:t>
      </w:r>
      <w:r w:rsidR="00A87C43">
        <w:rPr>
          <w:rFonts w:ascii="Times New Roman" w:hAnsi="Times New Roman"/>
          <w:sz w:val="24"/>
        </w:rPr>
        <w:t xml:space="preserve">Freshman congresspeople </w:t>
      </w:r>
      <w:r w:rsidR="00A015EE">
        <w:rPr>
          <w:rFonts w:ascii="Times New Roman" w:hAnsi="Times New Roman"/>
          <w:sz w:val="24"/>
        </w:rPr>
        <w:t>as</w:t>
      </w:r>
      <w:r w:rsidR="00A87C43">
        <w:rPr>
          <w:rFonts w:ascii="Times New Roman" w:hAnsi="Times New Roman"/>
          <w:sz w:val="24"/>
        </w:rPr>
        <w:t xml:space="preserve"> “expansionist” </w:t>
      </w:r>
      <w:r w:rsidR="00A015EE">
        <w:rPr>
          <w:rFonts w:ascii="Times New Roman" w:hAnsi="Times New Roman"/>
          <w:sz w:val="24"/>
        </w:rPr>
        <w:t>– meaning that</w:t>
      </w:r>
      <w:r w:rsidR="00A87C43">
        <w:rPr>
          <w:rFonts w:ascii="Times New Roman" w:hAnsi="Times New Roman"/>
          <w:sz w:val="24"/>
        </w:rPr>
        <w:t xml:space="preserve"> have strong incentives early on to engage with constituents, learn their interests, and </w:t>
      </w:r>
      <w:r w:rsidR="00364B63">
        <w:rPr>
          <w:rFonts w:ascii="Times New Roman" w:hAnsi="Times New Roman"/>
          <w:sz w:val="24"/>
        </w:rPr>
        <w:t xml:space="preserve">prioritize perceived constituent policy preferences. </w:t>
      </w:r>
      <w:r w:rsidR="00A87C43">
        <w:rPr>
          <w:rFonts w:ascii="Times New Roman" w:hAnsi="Times New Roman"/>
          <w:sz w:val="24"/>
        </w:rPr>
        <w:t xml:space="preserve"> As they become more senior and amass more information about their district</w:t>
      </w:r>
      <w:r w:rsidR="00122863">
        <w:rPr>
          <w:rFonts w:ascii="Times New Roman" w:hAnsi="Times New Roman"/>
          <w:sz w:val="24"/>
        </w:rPr>
        <w:t>, l</w:t>
      </w:r>
      <w:r w:rsidR="00A87C43" w:rsidRPr="00953873">
        <w:rPr>
          <w:rFonts w:ascii="Times New Roman" w:hAnsi="Times New Roman"/>
          <w:sz w:val="24"/>
        </w:rPr>
        <w:t xml:space="preserve">egislators also become more confident in their electoral footing in ways that alter their policymaking incentives. Senior legislators, he argues, become </w:t>
      </w:r>
      <w:r w:rsidR="00A87C43" w:rsidRPr="00953873">
        <w:rPr>
          <w:rFonts w:ascii="Times New Roman" w:hAnsi="Times New Roman"/>
          <w:i/>
          <w:iCs/>
          <w:sz w:val="24"/>
        </w:rPr>
        <w:t>less</w:t>
      </w:r>
      <w:r w:rsidR="00A87C43" w:rsidRPr="00953873">
        <w:rPr>
          <w:rFonts w:ascii="Times New Roman" w:hAnsi="Times New Roman"/>
          <w:sz w:val="24"/>
        </w:rPr>
        <w:t xml:space="preserve"> responsive to their perceptions of constituents</w:t>
      </w:r>
      <w:r w:rsidR="00087324">
        <w:rPr>
          <w:rFonts w:ascii="Times New Roman" w:hAnsi="Times New Roman"/>
          <w:sz w:val="24"/>
        </w:rPr>
        <w:t>’</w:t>
      </w:r>
      <w:r w:rsidR="00A87C43" w:rsidRPr="00953873">
        <w:rPr>
          <w:rFonts w:ascii="Times New Roman" w:hAnsi="Times New Roman"/>
          <w:sz w:val="24"/>
        </w:rPr>
        <w:t xml:space="preserve"> interests and preferences and shift from something closer to a delegate to a trustee</w:t>
      </w:r>
      <w:r w:rsidR="00A87C43">
        <w:rPr>
          <w:rFonts w:ascii="Times New Roman" w:hAnsi="Times New Roman"/>
          <w:sz w:val="24"/>
        </w:rPr>
        <w:t xml:space="preserve">. </w:t>
      </w:r>
      <w:r w:rsidR="00364B63">
        <w:rPr>
          <w:rFonts w:ascii="Times New Roman" w:hAnsi="Times New Roman"/>
          <w:sz w:val="24"/>
        </w:rPr>
        <w:t xml:space="preserve">But perhaps most importantly, </w:t>
      </w:r>
      <w:proofErr w:type="spellStart"/>
      <w:r w:rsidR="00364B63">
        <w:rPr>
          <w:rFonts w:ascii="Times New Roman" w:hAnsi="Times New Roman"/>
          <w:sz w:val="24"/>
        </w:rPr>
        <w:t>Fenno</w:t>
      </w:r>
      <w:proofErr w:type="spellEnd"/>
      <w:r w:rsidR="00364B63">
        <w:rPr>
          <w:rFonts w:ascii="Times New Roman" w:hAnsi="Times New Roman"/>
          <w:sz w:val="24"/>
        </w:rPr>
        <w:t xml:space="preserve"> stresses that these concentric circles – a legislators’ perception of their district, are largely shaped by contact. “The greater proportion of two-way communication,” he writes “the more likely is there to be both electoral accountability and responsiveness on the part of the representative” (</w:t>
      </w:r>
      <w:proofErr w:type="spellStart"/>
      <w:r w:rsidR="00364B63">
        <w:rPr>
          <w:rFonts w:ascii="Times New Roman" w:hAnsi="Times New Roman"/>
          <w:sz w:val="24"/>
        </w:rPr>
        <w:t>Fenno</w:t>
      </w:r>
      <w:proofErr w:type="spellEnd"/>
      <w:r w:rsidR="00364B63">
        <w:rPr>
          <w:rFonts w:ascii="Times New Roman" w:hAnsi="Times New Roman"/>
          <w:sz w:val="24"/>
        </w:rPr>
        <w:t xml:space="preserve"> 1979). </w:t>
      </w:r>
      <w:r w:rsidR="00F531C5">
        <w:rPr>
          <w:rFonts w:ascii="Times New Roman" w:hAnsi="Times New Roman"/>
          <w:sz w:val="24"/>
        </w:rPr>
        <w:t xml:space="preserve">Barriers to legislative contact faced by incarcerated people, and findings that race and class augment that “two-way” flow suggest clear, consequential barrier to perception of incarcerated people, impacted communities, and their interests. </w:t>
      </w:r>
    </w:p>
    <w:p w14:paraId="19B83C0A" w14:textId="77777777" w:rsidR="00122863" w:rsidRDefault="00122863" w:rsidP="00A015EE">
      <w:pPr>
        <w:spacing w:line="360" w:lineRule="auto"/>
        <w:rPr>
          <w:rFonts w:ascii="Times New Roman" w:hAnsi="Times New Roman"/>
          <w:sz w:val="24"/>
        </w:rPr>
      </w:pPr>
    </w:p>
    <w:p w14:paraId="78DAA2B1" w14:textId="61FF570E" w:rsidR="00FC0898" w:rsidRDefault="00F531C5" w:rsidP="00A015EE">
      <w:pPr>
        <w:spacing w:line="360" w:lineRule="auto"/>
        <w:rPr>
          <w:rFonts w:ascii="Times New Roman" w:hAnsi="Times New Roman"/>
          <w:sz w:val="24"/>
        </w:rPr>
      </w:pPr>
      <w:r>
        <w:rPr>
          <w:rFonts w:ascii="Times New Roman" w:hAnsi="Times New Roman"/>
          <w:sz w:val="24"/>
        </w:rPr>
        <w:t xml:space="preserve">In turn, we encounter a slightly different question. </w:t>
      </w:r>
      <w:r w:rsidR="00DA6A7D">
        <w:rPr>
          <w:rFonts w:ascii="Times New Roman" w:hAnsi="Times New Roman"/>
          <w:sz w:val="24"/>
        </w:rPr>
        <w:t xml:space="preserve">Fenno’s work followed Miller and Stokes (1963) study of Congress, which </w:t>
      </w:r>
      <w:r w:rsidR="00513331">
        <w:rPr>
          <w:rFonts w:ascii="Times New Roman" w:hAnsi="Times New Roman"/>
          <w:sz w:val="24"/>
        </w:rPr>
        <w:t xml:space="preserve">combined </w:t>
      </w:r>
      <w:r w:rsidR="00DA6A7D">
        <w:rPr>
          <w:rFonts w:ascii="Times New Roman" w:hAnsi="Times New Roman"/>
          <w:sz w:val="24"/>
        </w:rPr>
        <w:t xml:space="preserve">helped </w:t>
      </w:r>
      <w:r w:rsidR="00A015EE">
        <w:rPr>
          <w:rFonts w:ascii="Times New Roman" w:hAnsi="Times New Roman"/>
          <w:sz w:val="24"/>
        </w:rPr>
        <w:t>ground</w:t>
      </w:r>
      <w:r w:rsidR="00DA6A7D">
        <w:rPr>
          <w:rFonts w:ascii="Times New Roman" w:hAnsi="Times New Roman"/>
          <w:sz w:val="24"/>
        </w:rPr>
        <w:t xml:space="preserve"> literature</w:t>
      </w:r>
      <w:r w:rsidR="00513331">
        <w:rPr>
          <w:rFonts w:ascii="Times New Roman" w:hAnsi="Times New Roman"/>
          <w:sz w:val="24"/>
        </w:rPr>
        <w:t>s</w:t>
      </w:r>
      <w:r w:rsidR="00DA6A7D">
        <w:rPr>
          <w:rFonts w:ascii="Times New Roman" w:hAnsi="Times New Roman"/>
          <w:sz w:val="24"/>
        </w:rPr>
        <w:t xml:space="preserve"> </w:t>
      </w:r>
      <w:r w:rsidR="006E59B7">
        <w:rPr>
          <w:rFonts w:ascii="Times New Roman" w:hAnsi="Times New Roman"/>
          <w:sz w:val="24"/>
        </w:rPr>
        <w:t>on “congruence”</w:t>
      </w:r>
      <w:r w:rsidR="00513331">
        <w:rPr>
          <w:rFonts w:ascii="Times New Roman" w:hAnsi="Times New Roman"/>
          <w:sz w:val="24"/>
        </w:rPr>
        <w:t xml:space="preserve"> and “responsiveness.” Using a range of methodological approaches -- analysis of legislative speeches (Grimmer and Stewart 2013), survey and field experiments (</w:t>
      </w:r>
      <w:proofErr w:type="spellStart"/>
      <w:r w:rsidR="00513331">
        <w:rPr>
          <w:rFonts w:ascii="Times New Roman" w:hAnsi="Times New Roman"/>
          <w:sz w:val="24"/>
        </w:rPr>
        <w:t>Bafumi</w:t>
      </w:r>
      <w:proofErr w:type="spellEnd"/>
      <w:r w:rsidR="00513331">
        <w:rPr>
          <w:rFonts w:ascii="Times New Roman" w:hAnsi="Times New Roman"/>
          <w:sz w:val="24"/>
        </w:rPr>
        <w:t xml:space="preserve"> and Herron 2010, </w:t>
      </w:r>
      <w:proofErr w:type="spellStart"/>
      <w:r w:rsidR="00513331">
        <w:rPr>
          <w:rFonts w:ascii="Times New Roman" w:hAnsi="Times New Roman"/>
          <w:sz w:val="24"/>
        </w:rPr>
        <w:t>Broockman</w:t>
      </w:r>
      <w:proofErr w:type="spellEnd"/>
      <w:r w:rsidR="00513331">
        <w:rPr>
          <w:rFonts w:ascii="Times New Roman" w:hAnsi="Times New Roman"/>
          <w:sz w:val="24"/>
        </w:rPr>
        <w:t xml:space="preserve"> 2013) </w:t>
      </w:r>
      <w:proofErr w:type="gramStart"/>
      <w:r w:rsidR="00513331">
        <w:rPr>
          <w:rFonts w:ascii="Times New Roman" w:hAnsi="Times New Roman"/>
          <w:sz w:val="24"/>
        </w:rPr>
        <w:t>--  and</w:t>
      </w:r>
      <w:proofErr w:type="gramEnd"/>
      <w:r w:rsidR="00513331">
        <w:rPr>
          <w:rFonts w:ascii="Times New Roman" w:hAnsi="Times New Roman"/>
          <w:sz w:val="24"/>
        </w:rPr>
        <w:t xml:space="preserve"> analysis of roll-call votes </w:t>
      </w:r>
      <w:proofErr w:type="gramStart"/>
      <w:r w:rsidR="00513331">
        <w:rPr>
          <w:rFonts w:ascii="Times New Roman" w:hAnsi="Times New Roman"/>
          <w:sz w:val="24"/>
        </w:rPr>
        <w:t xml:space="preserve">– </w:t>
      </w:r>
      <w:r w:rsidR="00DA6A7D">
        <w:rPr>
          <w:rFonts w:ascii="Times New Roman" w:hAnsi="Times New Roman"/>
          <w:sz w:val="24"/>
        </w:rPr>
        <w:t xml:space="preserve"> </w:t>
      </w:r>
      <w:r w:rsidR="00513331">
        <w:rPr>
          <w:rFonts w:ascii="Times New Roman" w:hAnsi="Times New Roman"/>
          <w:sz w:val="24"/>
        </w:rPr>
        <w:t>these</w:t>
      </w:r>
      <w:proofErr w:type="gramEnd"/>
      <w:r w:rsidR="00513331">
        <w:rPr>
          <w:rFonts w:ascii="Times New Roman" w:hAnsi="Times New Roman"/>
          <w:sz w:val="24"/>
        </w:rPr>
        <w:t xml:space="preserve"> scholars study the extent to which </w:t>
      </w:r>
      <w:proofErr w:type="gramStart"/>
      <w:r w:rsidR="00513331">
        <w:rPr>
          <w:rFonts w:ascii="Times New Roman" w:hAnsi="Times New Roman"/>
          <w:sz w:val="24"/>
        </w:rPr>
        <w:t>legislators’</w:t>
      </w:r>
      <w:proofErr w:type="gramEnd"/>
      <w:r w:rsidR="00513331">
        <w:rPr>
          <w:rFonts w:ascii="Times New Roman" w:hAnsi="Times New Roman"/>
          <w:sz w:val="24"/>
        </w:rPr>
        <w:t xml:space="preserve"> align with and respond to their districts’ interests or preferences. This literature is more extensive than my capacities here, but two findings and a methodological debate are particularly important. </w:t>
      </w:r>
    </w:p>
    <w:p w14:paraId="023E3FA1" w14:textId="77777777" w:rsidR="00FC0898" w:rsidRDefault="00FC0898" w:rsidP="00A015EE">
      <w:pPr>
        <w:spacing w:line="360" w:lineRule="auto"/>
        <w:rPr>
          <w:rFonts w:ascii="Times New Roman" w:hAnsi="Times New Roman"/>
          <w:sz w:val="24"/>
        </w:rPr>
      </w:pPr>
    </w:p>
    <w:p w14:paraId="567952EE" w14:textId="47B31712" w:rsidR="006E59B7" w:rsidRDefault="00513331" w:rsidP="00A015EE">
      <w:pPr>
        <w:spacing w:line="360" w:lineRule="auto"/>
        <w:rPr>
          <w:rFonts w:ascii="Times New Roman" w:hAnsi="Times New Roman"/>
          <w:sz w:val="24"/>
        </w:rPr>
      </w:pPr>
      <w:r>
        <w:rPr>
          <w:rFonts w:ascii="Times New Roman" w:hAnsi="Times New Roman"/>
          <w:sz w:val="24"/>
        </w:rPr>
        <w:t>First</w:t>
      </w:r>
      <w:r w:rsidR="001C12FF">
        <w:rPr>
          <w:rFonts w:ascii="Times New Roman" w:hAnsi="Times New Roman"/>
          <w:sz w:val="24"/>
        </w:rPr>
        <w:t xml:space="preserve">, legislators </w:t>
      </w:r>
      <w:r w:rsidR="00FC0898">
        <w:rPr>
          <w:rFonts w:ascii="Times New Roman" w:hAnsi="Times New Roman"/>
          <w:sz w:val="24"/>
        </w:rPr>
        <w:t xml:space="preserve">appear to </w:t>
      </w:r>
      <w:r w:rsidR="001C12FF">
        <w:rPr>
          <w:rFonts w:ascii="Times New Roman" w:hAnsi="Times New Roman"/>
          <w:sz w:val="24"/>
        </w:rPr>
        <w:t>assume their constituents are more conservative than they actuality are, including on social policy (</w:t>
      </w:r>
      <w:proofErr w:type="spellStart"/>
      <w:r w:rsidR="001C12FF">
        <w:rPr>
          <w:rFonts w:ascii="Times New Roman" w:hAnsi="Times New Roman"/>
          <w:sz w:val="24"/>
        </w:rPr>
        <w:t>Broockman</w:t>
      </w:r>
      <w:proofErr w:type="spellEnd"/>
      <w:r w:rsidR="001C12FF">
        <w:rPr>
          <w:rFonts w:ascii="Times New Roman" w:hAnsi="Times New Roman"/>
          <w:sz w:val="24"/>
        </w:rPr>
        <w:t xml:space="preserve"> and Skovron 2018, Krimmel, Lax and Phillips 2016). While punitiveness and attitudes towards incarcerated voting certainly vary among white Democrats, both are strongly associated with and considered along left-right ideological lines </w:t>
      </w:r>
      <w:r w:rsidR="001C12FF">
        <w:rPr>
          <w:rFonts w:ascii="Times New Roman" w:hAnsi="Times New Roman"/>
          <w:sz w:val="24"/>
        </w:rPr>
        <w:lastRenderedPageBreak/>
        <w:t>(</w:t>
      </w:r>
      <w:proofErr w:type="spellStart"/>
      <w:r w:rsidR="001C12FF">
        <w:rPr>
          <w:rFonts w:ascii="Times New Roman" w:hAnsi="Times New Roman"/>
          <w:sz w:val="24"/>
        </w:rPr>
        <w:t>Chouchy</w:t>
      </w:r>
      <w:proofErr w:type="spellEnd"/>
      <w:r w:rsidR="001C12FF">
        <w:rPr>
          <w:rFonts w:ascii="Times New Roman" w:hAnsi="Times New Roman"/>
          <w:sz w:val="24"/>
        </w:rPr>
        <w:t xml:space="preserve"> 2024).  </w:t>
      </w:r>
      <w:r>
        <w:rPr>
          <w:rFonts w:ascii="Times New Roman" w:hAnsi="Times New Roman"/>
          <w:sz w:val="24"/>
        </w:rPr>
        <w:t>Second,</w:t>
      </w:r>
      <w:r w:rsidR="00D9303C">
        <w:rPr>
          <w:rFonts w:ascii="Times New Roman" w:hAnsi="Times New Roman"/>
          <w:sz w:val="24"/>
        </w:rPr>
        <w:t xml:space="preserve"> institutional arrangements can influence a legislators’ perception of their district’s policy preferences. </w:t>
      </w:r>
      <w:r w:rsidR="006E6132">
        <w:rPr>
          <w:rFonts w:ascii="Times New Roman" w:hAnsi="Times New Roman"/>
          <w:sz w:val="24"/>
        </w:rPr>
        <w:t>Caron (2021</w:t>
      </w:r>
      <w:r w:rsidR="00D9303C">
        <w:rPr>
          <w:rFonts w:ascii="Times New Roman" w:hAnsi="Times New Roman"/>
          <w:sz w:val="24"/>
        </w:rPr>
        <w:t>) finds</w:t>
      </w:r>
      <w:r w:rsidR="00955946">
        <w:rPr>
          <w:rFonts w:ascii="Times New Roman" w:hAnsi="Times New Roman"/>
          <w:sz w:val="24"/>
        </w:rPr>
        <w:t xml:space="preserve"> that mechanisms for direct democracy (</w:t>
      </w:r>
      <w:r w:rsidR="009548BE">
        <w:rPr>
          <w:rFonts w:ascii="Times New Roman" w:hAnsi="Times New Roman"/>
          <w:sz w:val="24"/>
        </w:rPr>
        <w:t xml:space="preserve">like </w:t>
      </w:r>
      <w:r w:rsidR="00955946">
        <w:rPr>
          <w:rFonts w:ascii="Times New Roman" w:hAnsi="Times New Roman"/>
          <w:sz w:val="24"/>
        </w:rPr>
        <w:t>ballot referendum) can reinforce aggregate punitive policy preferences</w:t>
      </w:r>
      <w:r w:rsidR="009548BE">
        <w:rPr>
          <w:rFonts w:ascii="Times New Roman" w:hAnsi="Times New Roman"/>
          <w:sz w:val="24"/>
        </w:rPr>
        <w:t xml:space="preserve">, </w:t>
      </w:r>
      <w:r w:rsidR="00F5430D">
        <w:rPr>
          <w:rFonts w:ascii="Times New Roman" w:hAnsi="Times New Roman"/>
          <w:sz w:val="24"/>
        </w:rPr>
        <w:t>leading legislators to perceive of their district’s punitiveness in terms of the median voter’s</w:t>
      </w:r>
      <w:r w:rsidR="00F33B5B">
        <w:rPr>
          <w:rFonts w:ascii="Times New Roman" w:hAnsi="Times New Roman"/>
          <w:sz w:val="24"/>
        </w:rPr>
        <w:t xml:space="preserve">. </w:t>
      </w:r>
      <w:r w:rsidR="00F5430D">
        <w:rPr>
          <w:rFonts w:ascii="Times New Roman" w:hAnsi="Times New Roman"/>
          <w:sz w:val="24"/>
        </w:rPr>
        <w:t>Methodologically, s</w:t>
      </w:r>
      <w:r w:rsidR="001C12FF">
        <w:rPr>
          <w:rFonts w:ascii="Times New Roman" w:hAnsi="Times New Roman"/>
          <w:sz w:val="24"/>
        </w:rPr>
        <w:t xml:space="preserve">ome literature tests legislator-constituent congruence one issue at a time earlier studies measured </w:t>
      </w:r>
      <w:r w:rsidR="00DA6A7D">
        <w:rPr>
          <w:rFonts w:ascii="Times New Roman" w:hAnsi="Times New Roman"/>
          <w:sz w:val="24"/>
        </w:rPr>
        <w:t xml:space="preserve">overall ideological congruence between legislators and constituents </w:t>
      </w:r>
      <w:r>
        <w:rPr>
          <w:rFonts w:ascii="Times New Roman" w:hAnsi="Times New Roman"/>
          <w:sz w:val="24"/>
        </w:rPr>
        <w:t xml:space="preserve">(Lax and Phillips 2012, </w:t>
      </w:r>
      <w:proofErr w:type="spellStart"/>
      <w:r>
        <w:rPr>
          <w:rFonts w:ascii="Times New Roman" w:hAnsi="Times New Roman"/>
          <w:sz w:val="24"/>
        </w:rPr>
        <w:t>Gilens</w:t>
      </w:r>
      <w:proofErr w:type="spellEnd"/>
      <w:r>
        <w:rPr>
          <w:rFonts w:ascii="Times New Roman" w:hAnsi="Times New Roman"/>
          <w:sz w:val="24"/>
        </w:rPr>
        <w:t xml:space="preserve"> 2012).</w:t>
      </w:r>
      <w:r w:rsidR="00F33B5B">
        <w:rPr>
          <w:rFonts w:ascii="Times New Roman" w:hAnsi="Times New Roman"/>
          <w:sz w:val="24"/>
        </w:rPr>
        <w:t xml:space="preserve"> This approach is critiqued for obfuscating important variance </w:t>
      </w:r>
      <w:r w:rsidR="008F7177">
        <w:rPr>
          <w:rFonts w:ascii="Times New Roman" w:hAnsi="Times New Roman"/>
          <w:sz w:val="24"/>
        </w:rPr>
        <w:t>(</w:t>
      </w:r>
      <w:proofErr w:type="spellStart"/>
      <w:r w:rsidR="008F7177">
        <w:rPr>
          <w:rFonts w:ascii="Times New Roman" w:hAnsi="Times New Roman"/>
          <w:sz w:val="24"/>
        </w:rPr>
        <w:t>Broockman</w:t>
      </w:r>
      <w:proofErr w:type="spellEnd"/>
      <w:r w:rsidR="008F7177">
        <w:rPr>
          <w:rFonts w:ascii="Times New Roman" w:hAnsi="Times New Roman"/>
          <w:sz w:val="24"/>
        </w:rPr>
        <w:t xml:space="preserve"> 2016). </w:t>
      </w:r>
      <w:r w:rsidR="00944823">
        <w:rPr>
          <w:rFonts w:ascii="Times New Roman" w:hAnsi="Times New Roman"/>
          <w:sz w:val="24"/>
        </w:rPr>
        <w:t xml:space="preserve">This debate and literature more broadly </w:t>
      </w:r>
      <w:proofErr w:type="gramStart"/>
      <w:r w:rsidR="00944823">
        <w:rPr>
          <w:rFonts w:ascii="Times New Roman" w:hAnsi="Times New Roman"/>
          <w:sz w:val="24"/>
        </w:rPr>
        <w:t>begins</w:t>
      </w:r>
      <w:proofErr w:type="gramEnd"/>
      <w:r w:rsidR="00944823">
        <w:rPr>
          <w:rFonts w:ascii="Times New Roman" w:hAnsi="Times New Roman"/>
          <w:sz w:val="24"/>
        </w:rPr>
        <w:t xml:space="preserve"> to highlight the competing incentives legislators balance, underscoring the need to understand how they manage competing constituent interests when certain constituencies face systemic barriers to political voice.   </w:t>
      </w:r>
    </w:p>
    <w:p w14:paraId="58490189" w14:textId="77777777" w:rsidR="006E59B7" w:rsidRDefault="006E59B7" w:rsidP="00A015EE">
      <w:pPr>
        <w:spacing w:line="360" w:lineRule="auto"/>
        <w:rPr>
          <w:rFonts w:ascii="Times New Roman" w:hAnsi="Times New Roman"/>
          <w:sz w:val="24"/>
        </w:rPr>
      </w:pPr>
    </w:p>
    <w:p w14:paraId="42F3B1BF" w14:textId="77777777" w:rsidR="00F5430D" w:rsidRDefault="005A1B51" w:rsidP="000E4257">
      <w:pPr>
        <w:spacing w:line="360" w:lineRule="auto"/>
        <w:rPr>
          <w:rFonts w:ascii="Times New Roman" w:hAnsi="Times New Roman"/>
          <w:sz w:val="24"/>
        </w:rPr>
      </w:pPr>
      <w:r>
        <w:rPr>
          <w:rFonts w:ascii="Times New Roman" w:hAnsi="Times New Roman"/>
          <w:sz w:val="24"/>
        </w:rPr>
        <w:t>Christina Miler takes up questions of competing constituent priorities and builds on</w:t>
      </w:r>
      <w:r w:rsidR="00404E0A">
        <w:rPr>
          <w:rFonts w:ascii="Times New Roman" w:hAnsi="Times New Roman"/>
          <w:sz w:val="24"/>
        </w:rPr>
        <w:t xml:space="preserve"> </w:t>
      </w:r>
      <w:proofErr w:type="spellStart"/>
      <w:r w:rsidR="00404E0A">
        <w:rPr>
          <w:rFonts w:ascii="Times New Roman" w:hAnsi="Times New Roman"/>
          <w:sz w:val="24"/>
        </w:rPr>
        <w:t>Fenno’s</w:t>
      </w:r>
      <w:proofErr w:type="spellEnd"/>
      <w:r w:rsidR="00404E0A">
        <w:rPr>
          <w:rFonts w:ascii="Times New Roman" w:hAnsi="Times New Roman"/>
          <w:sz w:val="24"/>
        </w:rPr>
        <w:t xml:space="preserve"> notion of “concentric circles.” I</w:t>
      </w:r>
      <w:r w:rsidR="00404E0A" w:rsidRPr="00953873">
        <w:rPr>
          <w:rFonts w:ascii="Times New Roman" w:hAnsi="Times New Roman"/>
          <w:sz w:val="24"/>
        </w:rPr>
        <w:t>n a mixed-methods</w:t>
      </w:r>
      <w:r w:rsidR="00404E0A">
        <w:rPr>
          <w:rFonts w:ascii="Times New Roman" w:hAnsi="Times New Roman"/>
          <w:sz w:val="24"/>
        </w:rPr>
        <w:t xml:space="preserve"> study, </w:t>
      </w:r>
      <w:r w:rsidR="00A015EE">
        <w:rPr>
          <w:rFonts w:ascii="Times New Roman" w:hAnsi="Times New Roman"/>
          <w:sz w:val="24"/>
        </w:rPr>
        <w:t>Miler</w:t>
      </w:r>
      <w:r w:rsidR="00404E0A" w:rsidRPr="00953873">
        <w:rPr>
          <w:rFonts w:ascii="Times New Roman" w:hAnsi="Times New Roman"/>
          <w:sz w:val="24"/>
        </w:rPr>
        <w:t xml:space="preserve"> interviews congressional staff, </w:t>
      </w:r>
      <w:r w:rsidR="00404E0A">
        <w:rPr>
          <w:rFonts w:ascii="Times New Roman" w:hAnsi="Times New Roman"/>
          <w:sz w:val="24"/>
        </w:rPr>
        <w:t>conducts</w:t>
      </w:r>
      <w:r w:rsidR="00404E0A" w:rsidRPr="00953873">
        <w:rPr>
          <w:rFonts w:ascii="Times New Roman" w:hAnsi="Times New Roman"/>
          <w:sz w:val="24"/>
        </w:rPr>
        <w:t xml:space="preserve"> text analysis of press releases and floor statements, and statistically analyses roll call votes</w:t>
      </w:r>
      <w:r w:rsidR="00404E0A">
        <w:rPr>
          <w:rFonts w:ascii="Times New Roman" w:hAnsi="Times New Roman"/>
          <w:sz w:val="24"/>
        </w:rPr>
        <w:t xml:space="preserve"> to re-evaluate the question of how members of Congress perceive and represent their constituencies (Miler 2010). </w:t>
      </w:r>
      <w:r w:rsidR="00A015EE">
        <w:rPr>
          <w:rFonts w:ascii="Times New Roman" w:hAnsi="Times New Roman"/>
          <w:sz w:val="24"/>
        </w:rPr>
        <w:t xml:space="preserve">She extends Fenno’s </w:t>
      </w:r>
      <w:r w:rsidR="000E4257">
        <w:rPr>
          <w:rFonts w:ascii="Times New Roman" w:hAnsi="Times New Roman"/>
          <w:sz w:val="24"/>
        </w:rPr>
        <w:t xml:space="preserve">“concentric circles” </w:t>
      </w:r>
      <w:r w:rsidR="00A015EE">
        <w:rPr>
          <w:rFonts w:ascii="Times New Roman" w:hAnsi="Times New Roman"/>
          <w:sz w:val="24"/>
        </w:rPr>
        <w:t>framework in three important ways</w:t>
      </w:r>
      <w:r w:rsidR="000E4257">
        <w:rPr>
          <w:rFonts w:ascii="Times New Roman" w:hAnsi="Times New Roman"/>
          <w:sz w:val="24"/>
        </w:rPr>
        <w:t>. First, she shows that congressional staff are a part of congresspeople’s “constituent perception” apparatus</w:t>
      </w:r>
      <w:r w:rsidR="00A015EE">
        <w:rPr>
          <w:rFonts w:ascii="Times New Roman" w:hAnsi="Times New Roman"/>
          <w:sz w:val="24"/>
        </w:rPr>
        <w:t>, often serving as primary interfaces for constituent communication and policy expertise</w:t>
      </w:r>
      <w:r w:rsidR="00B6035F">
        <w:rPr>
          <w:rFonts w:ascii="Times New Roman" w:hAnsi="Times New Roman"/>
          <w:sz w:val="24"/>
        </w:rPr>
        <w:t xml:space="preserve"> in ways that may still implicate constituent preferences in the decision-making of senior legislators who </w:t>
      </w:r>
      <w:proofErr w:type="spellStart"/>
      <w:r w:rsidR="00B6035F">
        <w:rPr>
          <w:rFonts w:ascii="Times New Roman" w:hAnsi="Times New Roman"/>
          <w:sz w:val="24"/>
        </w:rPr>
        <w:t>Fenno</w:t>
      </w:r>
      <w:proofErr w:type="spellEnd"/>
      <w:r w:rsidR="00B6035F">
        <w:rPr>
          <w:rFonts w:ascii="Times New Roman" w:hAnsi="Times New Roman"/>
          <w:sz w:val="24"/>
        </w:rPr>
        <w:t xml:space="preserve"> </w:t>
      </w:r>
      <w:r w:rsidR="009A7702">
        <w:rPr>
          <w:rFonts w:ascii="Times New Roman" w:hAnsi="Times New Roman"/>
          <w:sz w:val="24"/>
        </w:rPr>
        <w:t>sees</w:t>
      </w:r>
      <w:r w:rsidR="00B6035F">
        <w:rPr>
          <w:rFonts w:ascii="Times New Roman" w:hAnsi="Times New Roman"/>
          <w:sz w:val="24"/>
        </w:rPr>
        <w:t xml:space="preserve"> as shifting towards </w:t>
      </w:r>
      <w:r w:rsidR="009A7702">
        <w:rPr>
          <w:rFonts w:ascii="Times New Roman" w:hAnsi="Times New Roman"/>
          <w:sz w:val="24"/>
        </w:rPr>
        <w:t>t</w:t>
      </w:r>
      <w:r w:rsidR="00B6035F">
        <w:rPr>
          <w:rFonts w:ascii="Times New Roman" w:hAnsi="Times New Roman"/>
          <w:sz w:val="24"/>
        </w:rPr>
        <w:t>rustee-style representation</w:t>
      </w:r>
      <w:r w:rsidR="00A015EE">
        <w:rPr>
          <w:rFonts w:ascii="Times New Roman" w:hAnsi="Times New Roman"/>
          <w:sz w:val="24"/>
        </w:rPr>
        <w:t>.</w:t>
      </w:r>
      <w:r w:rsidR="000E4257">
        <w:rPr>
          <w:rFonts w:ascii="Times New Roman" w:hAnsi="Times New Roman"/>
          <w:sz w:val="24"/>
        </w:rPr>
        <w:t xml:space="preserve"> This should hold despite differences between Congress and the states, although I suspect that state legislators may have closer connections to constituency services if only by virtue of smaller districts and their being – more often – in the same building as staff tasked with constituent-facing work.</w:t>
      </w:r>
      <w:r w:rsidR="009F2A86">
        <w:rPr>
          <w:rFonts w:ascii="Times New Roman" w:hAnsi="Times New Roman"/>
          <w:sz w:val="24"/>
        </w:rPr>
        <w:t xml:space="preserve"> </w:t>
      </w:r>
    </w:p>
    <w:p w14:paraId="2B2DD019" w14:textId="77777777" w:rsidR="00F5430D" w:rsidRDefault="00F5430D" w:rsidP="000E4257">
      <w:pPr>
        <w:spacing w:line="360" w:lineRule="auto"/>
        <w:rPr>
          <w:rFonts w:ascii="Times New Roman" w:hAnsi="Times New Roman"/>
          <w:sz w:val="24"/>
        </w:rPr>
      </w:pPr>
    </w:p>
    <w:p w14:paraId="6BDC6EE3" w14:textId="266440D8" w:rsidR="00404E0A" w:rsidRDefault="000E4257" w:rsidP="000E4257">
      <w:pPr>
        <w:spacing w:line="360" w:lineRule="auto"/>
        <w:rPr>
          <w:rFonts w:ascii="Times New Roman" w:hAnsi="Times New Roman"/>
          <w:sz w:val="24"/>
        </w:rPr>
      </w:pPr>
      <w:r>
        <w:rPr>
          <w:rFonts w:ascii="Times New Roman" w:hAnsi="Times New Roman"/>
          <w:sz w:val="24"/>
        </w:rPr>
        <w:t xml:space="preserve">Second, </w:t>
      </w:r>
      <w:r w:rsidR="00B6035F">
        <w:rPr>
          <w:rFonts w:ascii="Times New Roman" w:hAnsi="Times New Roman"/>
          <w:sz w:val="24"/>
        </w:rPr>
        <w:t>Miler</w:t>
      </w:r>
      <w:r>
        <w:rPr>
          <w:rFonts w:ascii="Times New Roman" w:hAnsi="Times New Roman"/>
          <w:sz w:val="24"/>
        </w:rPr>
        <w:t xml:space="preserve"> posits a “dyadic theory of </w:t>
      </w:r>
      <w:proofErr w:type="spellStart"/>
      <w:r>
        <w:rPr>
          <w:rFonts w:ascii="Times New Roman" w:hAnsi="Times New Roman"/>
          <w:sz w:val="24"/>
        </w:rPr>
        <w:t>subconstituency</w:t>
      </w:r>
      <w:proofErr w:type="spellEnd"/>
      <w:r>
        <w:rPr>
          <w:rFonts w:ascii="Times New Roman" w:hAnsi="Times New Roman"/>
          <w:sz w:val="24"/>
        </w:rPr>
        <w:t xml:space="preserve"> representation</w:t>
      </w:r>
      <w:r w:rsidR="00B6035F">
        <w:rPr>
          <w:rFonts w:ascii="Times New Roman" w:hAnsi="Times New Roman"/>
          <w:sz w:val="24"/>
        </w:rPr>
        <w:t>,</w:t>
      </w:r>
      <w:r>
        <w:rPr>
          <w:rFonts w:ascii="Times New Roman" w:hAnsi="Times New Roman"/>
          <w:sz w:val="24"/>
        </w:rPr>
        <w:t>”</w:t>
      </w:r>
      <w:r w:rsidR="00B6035F">
        <w:rPr>
          <w:rFonts w:ascii="Times New Roman" w:hAnsi="Times New Roman"/>
          <w:sz w:val="24"/>
        </w:rPr>
        <w:t xml:space="preserve"> arguing </w:t>
      </w:r>
      <w:r w:rsidR="00B6035F" w:rsidRPr="006606A7">
        <w:rPr>
          <w:rFonts w:ascii="Times New Roman" w:hAnsi="Times New Roman"/>
          <w:sz w:val="24"/>
        </w:rPr>
        <w:t>that legislators understand constituency groups and their interests in dynamic relation to one another, filtered through the lens of specific policy issues</w:t>
      </w:r>
      <w:r>
        <w:rPr>
          <w:rFonts w:ascii="Times New Roman" w:hAnsi="Times New Roman"/>
          <w:sz w:val="24"/>
        </w:rPr>
        <w:t xml:space="preserve">. </w:t>
      </w:r>
      <w:r w:rsidR="00F5430D">
        <w:rPr>
          <w:rFonts w:ascii="Times New Roman" w:hAnsi="Times New Roman"/>
          <w:sz w:val="24"/>
        </w:rPr>
        <w:t xml:space="preserve">Where Finegold may see – for example -- corrections officer unions in relation to incarcerated people when asked about voting access for people in jail, for example, he may primarily see </w:t>
      </w:r>
      <w:proofErr w:type="spellStart"/>
      <w:proofErr w:type="gramStart"/>
      <w:r w:rsidR="00F5430D">
        <w:rPr>
          <w:rFonts w:ascii="Times New Roman" w:hAnsi="Times New Roman"/>
          <w:sz w:val="24"/>
        </w:rPr>
        <w:t>victims</w:t>
      </w:r>
      <w:proofErr w:type="spellEnd"/>
      <w:proofErr w:type="gramEnd"/>
      <w:r w:rsidR="00F5430D">
        <w:rPr>
          <w:rFonts w:ascii="Times New Roman" w:hAnsi="Times New Roman"/>
          <w:sz w:val="24"/>
        </w:rPr>
        <w:t xml:space="preserve"> rights groups and conservative-leaning constituent groups when asked about expanding rights to those serving felony convictions.</w:t>
      </w:r>
    </w:p>
    <w:p w14:paraId="55615EBD" w14:textId="77777777" w:rsidR="00B6035F" w:rsidRDefault="00B6035F" w:rsidP="00B6035F">
      <w:pPr>
        <w:spacing w:line="360" w:lineRule="auto"/>
        <w:rPr>
          <w:rFonts w:ascii="Times New Roman" w:hAnsi="Times New Roman"/>
          <w:sz w:val="24"/>
        </w:rPr>
      </w:pPr>
    </w:p>
    <w:p w14:paraId="399A09C9" w14:textId="7FFEEECF" w:rsidR="00087324" w:rsidRDefault="00B6035F" w:rsidP="00B6035F">
      <w:pPr>
        <w:spacing w:line="360" w:lineRule="auto"/>
        <w:rPr>
          <w:rFonts w:ascii="Times New Roman" w:hAnsi="Times New Roman"/>
          <w:sz w:val="24"/>
        </w:rPr>
      </w:pPr>
      <w:r>
        <w:rPr>
          <w:rFonts w:ascii="Times New Roman" w:hAnsi="Times New Roman"/>
          <w:sz w:val="24"/>
        </w:rPr>
        <w:t>Third, Miler</w:t>
      </w:r>
      <w:r w:rsidR="00087324">
        <w:rPr>
          <w:rFonts w:ascii="Times New Roman" w:hAnsi="Times New Roman"/>
          <w:sz w:val="24"/>
        </w:rPr>
        <w:t xml:space="preserve"> </w:t>
      </w:r>
      <w:r w:rsidR="00EB0BAF">
        <w:rPr>
          <w:rFonts w:ascii="Times New Roman" w:hAnsi="Times New Roman"/>
          <w:sz w:val="24"/>
        </w:rPr>
        <w:t>underscores Fenno’s assertion that contact matters</w:t>
      </w:r>
      <w:r>
        <w:rPr>
          <w:rFonts w:ascii="Times New Roman" w:hAnsi="Times New Roman"/>
          <w:sz w:val="24"/>
        </w:rPr>
        <w:t xml:space="preserve"> in her “information-based theory of legislative perception</w:t>
      </w:r>
      <w:r w:rsidR="00EB0BAF">
        <w:rPr>
          <w:rFonts w:ascii="Times New Roman" w:hAnsi="Times New Roman"/>
          <w:sz w:val="24"/>
        </w:rPr>
        <w:t>.</w:t>
      </w:r>
      <w:r>
        <w:rPr>
          <w:rFonts w:ascii="Times New Roman" w:hAnsi="Times New Roman"/>
          <w:sz w:val="24"/>
        </w:rPr>
        <w:t>”</w:t>
      </w:r>
      <w:r w:rsidR="00EB0BAF">
        <w:rPr>
          <w:rFonts w:ascii="Times New Roman" w:hAnsi="Times New Roman"/>
          <w:sz w:val="24"/>
        </w:rPr>
        <w:t xml:space="preserve"> </w:t>
      </w:r>
      <w:r w:rsidR="00087324">
        <w:rPr>
          <w:rFonts w:ascii="Times New Roman" w:hAnsi="Times New Roman"/>
          <w:sz w:val="24"/>
        </w:rPr>
        <w:t xml:space="preserve">Drawing on </w:t>
      </w:r>
      <w:r w:rsidR="009F2A86">
        <w:rPr>
          <w:rFonts w:ascii="Times New Roman" w:hAnsi="Times New Roman"/>
          <w:sz w:val="24"/>
        </w:rPr>
        <w:t>cognitive</w:t>
      </w:r>
      <w:r w:rsidR="00087324">
        <w:rPr>
          <w:rFonts w:ascii="Times New Roman" w:hAnsi="Times New Roman"/>
          <w:sz w:val="24"/>
        </w:rPr>
        <w:t xml:space="preserve"> psychology, she theorizes how and when legislators and their staff might rely on heuristics in a context where </w:t>
      </w:r>
      <w:r w:rsidR="00DA6A7D">
        <w:rPr>
          <w:rFonts w:ascii="Times New Roman" w:hAnsi="Times New Roman"/>
          <w:sz w:val="24"/>
        </w:rPr>
        <w:t xml:space="preserve">cues from colleagues, committees, party and legislative leadership structures. </w:t>
      </w:r>
      <w:r>
        <w:rPr>
          <w:rFonts w:ascii="Times New Roman" w:hAnsi="Times New Roman"/>
          <w:sz w:val="24"/>
        </w:rPr>
        <w:t>“Legislative staff members are more likely to recall information about constituents that is most easily accessible,” she writes</w:t>
      </w:r>
      <w:r w:rsidR="009F2A86">
        <w:rPr>
          <w:rFonts w:ascii="Times New Roman" w:hAnsi="Times New Roman"/>
          <w:sz w:val="24"/>
        </w:rPr>
        <w:t xml:space="preserve">, and this accessibility is primarily shaped by the frequency with which a constituent group contacts the legislator of makes campaign contributions. </w:t>
      </w:r>
      <w:r w:rsidR="00D86790">
        <w:rPr>
          <w:rFonts w:ascii="Times New Roman" w:hAnsi="Times New Roman"/>
          <w:sz w:val="24"/>
        </w:rPr>
        <w:t xml:space="preserve">Further, </w:t>
      </w:r>
      <w:r w:rsidR="00B34F73">
        <w:rPr>
          <w:rFonts w:ascii="Times New Roman" w:hAnsi="Times New Roman"/>
          <w:sz w:val="24"/>
        </w:rPr>
        <w:t xml:space="preserve">her work demonstrates how informational bias can permeate legislator perceptions. Like Fenno, she notes that information environments may shape legislator perceptions and the role of media in that environment. </w:t>
      </w:r>
      <w:r w:rsidR="00B34F73" w:rsidRPr="00953873">
        <w:rPr>
          <w:rFonts w:ascii="Times New Roman" w:hAnsi="Times New Roman"/>
          <w:sz w:val="24"/>
        </w:rPr>
        <w:t xml:space="preserve">Coupled with evidence that </w:t>
      </w:r>
      <w:r w:rsidR="00417D01">
        <w:rPr>
          <w:rFonts w:ascii="Times New Roman" w:hAnsi="Times New Roman"/>
          <w:sz w:val="24"/>
        </w:rPr>
        <w:t xml:space="preserve">sensational </w:t>
      </w:r>
      <w:r w:rsidR="00B34F73" w:rsidRPr="00953873">
        <w:rPr>
          <w:rFonts w:ascii="Times New Roman" w:hAnsi="Times New Roman"/>
          <w:sz w:val="24"/>
        </w:rPr>
        <w:t>media coverage of crime privileges whites and penalizes Black Americans (Dixon and Linz, 2000a, Bjornstrom, Kaufman, Peterson, and Slater, 2011) and historical and political narratives that have capitalized on criminalizing Blackness and Black Americans (Alexander; Smiley; 2017)</w:t>
      </w:r>
      <w:r w:rsidR="00B34F73">
        <w:rPr>
          <w:rFonts w:ascii="Times New Roman" w:hAnsi="Times New Roman"/>
          <w:sz w:val="24"/>
        </w:rPr>
        <w:t xml:space="preserve">, it </w:t>
      </w:r>
      <w:r w:rsidR="00417D01">
        <w:rPr>
          <w:rFonts w:ascii="Times New Roman" w:hAnsi="Times New Roman"/>
          <w:sz w:val="24"/>
        </w:rPr>
        <w:t xml:space="preserve">follows that access to “counter messaging” is particularly important, and that – as she also argues – a legislator’s background is important for influencing how they interpret and respond to media in policymaking. </w:t>
      </w:r>
    </w:p>
    <w:p w14:paraId="4896CD4F" w14:textId="5C4F3347" w:rsidR="00EB0BAF" w:rsidRPr="00EB0BAF" w:rsidRDefault="00EB0BAF" w:rsidP="00EB0BAF">
      <w:pPr>
        <w:spacing w:line="360" w:lineRule="auto"/>
        <w:ind w:firstLine="720"/>
        <w:rPr>
          <w:rFonts w:ascii="Times New Roman" w:hAnsi="Times New Roman"/>
          <w:sz w:val="24"/>
        </w:rPr>
      </w:pPr>
      <w:r>
        <w:rPr>
          <w:rFonts w:ascii="Times New Roman" w:hAnsi="Times New Roman"/>
          <w:bCs/>
          <w:sz w:val="24"/>
        </w:rPr>
        <w:tab/>
      </w:r>
    </w:p>
    <w:p w14:paraId="51E52312" w14:textId="3003ACCF" w:rsidR="00A65D50" w:rsidRDefault="001D7C0F" w:rsidP="001D7C0F">
      <w:pPr>
        <w:spacing w:line="360" w:lineRule="auto"/>
        <w:rPr>
          <w:rFonts w:ascii="Times New Roman" w:hAnsi="Times New Roman"/>
          <w:sz w:val="24"/>
        </w:rPr>
      </w:pPr>
      <w:r>
        <w:rPr>
          <w:rFonts w:ascii="Times New Roman" w:hAnsi="Times New Roman"/>
          <w:sz w:val="24"/>
        </w:rPr>
        <w:t xml:space="preserve">Last, </w:t>
      </w:r>
      <w:r w:rsidR="00F23F38">
        <w:rPr>
          <w:rFonts w:ascii="Times New Roman" w:hAnsi="Times New Roman"/>
          <w:sz w:val="24"/>
        </w:rPr>
        <w:t>Miler</w:t>
      </w:r>
      <w:r w:rsidR="008D2513">
        <w:rPr>
          <w:rFonts w:ascii="Times New Roman" w:hAnsi="Times New Roman"/>
          <w:sz w:val="24"/>
        </w:rPr>
        <w:t xml:space="preserve"> underscores Fenno</w:t>
      </w:r>
      <w:r w:rsidR="00F23F38">
        <w:rPr>
          <w:rFonts w:ascii="Times New Roman" w:hAnsi="Times New Roman"/>
          <w:sz w:val="24"/>
        </w:rPr>
        <w:t xml:space="preserve">’s foundational point </w:t>
      </w:r>
      <w:r w:rsidR="008D2513">
        <w:rPr>
          <w:rFonts w:ascii="Times New Roman" w:hAnsi="Times New Roman"/>
          <w:sz w:val="24"/>
        </w:rPr>
        <w:t xml:space="preserve">that legislators see their district as </w:t>
      </w:r>
      <w:r w:rsidR="00F23F38">
        <w:rPr>
          <w:rFonts w:ascii="Times New Roman" w:hAnsi="Times New Roman"/>
          <w:sz w:val="24"/>
        </w:rPr>
        <w:t>heterogeneous</w:t>
      </w:r>
      <w:r w:rsidR="008D2513">
        <w:rPr>
          <w:rFonts w:ascii="Times New Roman" w:hAnsi="Times New Roman"/>
          <w:sz w:val="24"/>
        </w:rPr>
        <w:t xml:space="preserve">, </w:t>
      </w:r>
      <w:r w:rsidR="00F23F38">
        <w:rPr>
          <w:rFonts w:ascii="Times New Roman" w:hAnsi="Times New Roman"/>
          <w:sz w:val="24"/>
        </w:rPr>
        <w:t xml:space="preserve">and notes that ensuing lines of scholarship that unpacks districts along three lines: partisanship, voting status, and race. This work argues </w:t>
      </w:r>
      <w:r w:rsidR="008D2513" w:rsidRPr="00953873">
        <w:rPr>
          <w:rFonts w:ascii="Times New Roman" w:hAnsi="Times New Roman"/>
          <w:sz w:val="24"/>
        </w:rPr>
        <w:t>legislators view their districts in terms of party</w:t>
      </w:r>
      <w:r>
        <w:rPr>
          <w:rFonts w:ascii="Times New Roman" w:hAnsi="Times New Roman"/>
          <w:sz w:val="24"/>
        </w:rPr>
        <w:t xml:space="preserve"> </w:t>
      </w:r>
      <w:r w:rsidR="008D2513" w:rsidRPr="00953873">
        <w:rPr>
          <w:rFonts w:ascii="Times New Roman" w:hAnsi="Times New Roman"/>
          <w:sz w:val="24"/>
        </w:rPr>
        <w:t>and are more responsive to the interests of co-partisans</w:t>
      </w:r>
      <w:r w:rsidR="00F23F38">
        <w:rPr>
          <w:rFonts w:ascii="Times New Roman" w:hAnsi="Times New Roman"/>
          <w:sz w:val="24"/>
        </w:rPr>
        <w:t xml:space="preserve">. </w:t>
      </w:r>
      <w:r w:rsidR="00F23F38" w:rsidRPr="00953873">
        <w:rPr>
          <w:rFonts w:ascii="Times New Roman" w:hAnsi="Times New Roman"/>
          <w:sz w:val="24"/>
        </w:rPr>
        <w:t xml:space="preserve">Kingdon, for example, </w:t>
      </w:r>
      <w:r w:rsidRPr="006606A7">
        <w:rPr>
          <w:rFonts w:ascii="Times New Roman" w:hAnsi="Times New Roman"/>
          <w:sz w:val="24"/>
        </w:rPr>
        <w:t>argues that electoral contingency drives legislators to prioritize likely voters</w:t>
      </w:r>
      <w:r>
        <w:rPr>
          <w:rFonts w:ascii="Times New Roman" w:hAnsi="Times New Roman"/>
          <w:sz w:val="24"/>
        </w:rPr>
        <w:t xml:space="preserve"> </w:t>
      </w:r>
      <w:r w:rsidR="00235286">
        <w:rPr>
          <w:rFonts w:ascii="Times New Roman" w:hAnsi="Times New Roman"/>
          <w:sz w:val="24"/>
        </w:rPr>
        <w:t>(1967)</w:t>
      </w:r>
      <w:r w:rsidR="00B4366E">
        <w:rPr>
          <w:rFonts w:ascii="Times New Roman" w:hAnsi="Times New Roman"/>
          <w:sz w:val="24"/>
        </w:rPr>
        <w:t xml:space="preserve">. </w:t>
      </w:r>
      <w:r w:rsidR="00235286" w:rsidRPr="00953873">
        <w:rPr>
          <w:rFonts w:ascii="Times New Roman" w:hAnsi="Times New Roman"/>
          <w:sz w:val="24"/>
        </w:rPr>
        <w:t xml:space="preserve">Miler notes that emphasis on this </w:t>
      </w:r>
      <w:proofErr w:type="gramStart"/>
      <w:r w:rsidR="00235286" w:rsidRPr="00953873">
        <w:rPr>
          <w:rFonts w:ascii="Times New Roman" w:hAnsi="Times New Roman"/>
          <w:sz w:val="24"/>
        </w:rPr>
        <w:t>particular district</w:t>
      </w:r>
      <w:proofErr w:type="gramEnd"/>
      <w:r w:rsidR="00235286" w:rsidRPr="00953873">
        <w:rPr>
          <w:rFonts w:ascii="Times New Roman" w:hAnsi="Times New Roman"/>
          <w:sz w:val="24"/>
        </w:rPr>
        <w:t xml:space="preserve"> dimension could reflect empirical ease and broader disciplinary interest in forecasting electoral outcomes (Miler</w:t>
      </w:r>
      <w:r w:rsidR="00703537">
        <w:rPr>
          <w:rFonts w:ascii="Times New Roman" w:hAnsi="Times New Roman"/>
          <w:sz w:val="24"/>
        </w:rPr>
        <w:t xml:space="preserve"> </w:t>
      </w:r>
      <w:r w:rsidR="00235286" w:rsidRPr="00953873">
        <w:rPr>
          <w:rFonts w:ascii="Times New Roman" w:hAnsi="Times New Roman"/>
          <w:sz w:val="24"/>
        </w:rPr>
        <w:t>20</w:t>
      </w:r>
      <w:r w:rsidR="00235286">
        <w:rPr>
          <w:rFonts w:ascii="Times New Roman" w:hAnsi="Times New Roman"/>
          <w:sz w:val="24"/>
        </w:rPr>
        <w:t>10</w:t>
      </w:r>
      <w:r w:rsidR="00235286" w:rsidRPr="00953873">
        <w:rPr>
          <w:rFonts w:ascii="Times New Roman" w:hAnsi="Times New Roman"/>
          <w:sz w:val="24"/>
        </w:rPr>
        <w:t>)</w:t>
      </w:r>
      <w:r w:rsidR="00235286">
        <w:rPr>
          <w:rFonts w:ascii="Times New Roman" w:hAnsi="Times New Roman"/>
          <w:sz w:val="24"/>
        </w:rPr>
        <w:t>, but the suggestion that legislators would prioritize the interests of politically powerful constituencies is further supported in social construction theory (</w:t>
      </w:r>
      <w:r w:rsidR="00703537">
        <w:rPr>
          <w:rFonts w:ascii="Times New Roman" w:hAnsi="Times New Roman"/>
          <w:sz w:val="24"/>
        </w:rPr>
        <w:t xml:space="preserve">Schneider and </w:t>
      </w:r>
      <w:r w:rsidR="00235286">
        <w:rPr>
          <w:rFonts w:ascii="Times New Roman" w:hAnsi="Times New Roman"/>
          <w:sz w:val="24"/>
        </w:rPr>
        <w:t xml:space="preserve">Ingram </w:t>
      </w:r>
      <w:r>
        <w:rPr>
          <w:rFonts w:ascii="Times New Roman" w:hAnsi="Times New Roman"/>
          <w:sz w:val="24"/>
        </w:rPr>
        <w:t>1993</w:t>
      </w:r>
      <w:r w:rsidR="00235286">
        <w:rPr>
          <w:rFonts w:ascii="Times New Roman" w:hAnsi="Times New Roman"/>
          <w:sz w:val="24"/>
        </w:rPr>
        <w:t>).</w:t>
      </w:r>
    </w:p>
    <w:p w14:paraId="784F3566" w14:textId="77777777" w:rsidR="001D7C0F" w:rsidRDefault="001D7C0F" w:rsidP="001D7C0F">
      <w:pPr>
        <w:spacing w:line="360" w:lineRule="auto"/>
        <w:rPr>
          <w:rFonts w:ascii="Times New Roman" w:hAnsi="Times New Roman"/>
          <w:sz w:val="24"/>
        </w:rPr>
      </w:pPr>
    </w:p>
    <w:p w14:paraId="56C70F43" w14:textId="0746AC77" w:rsidR="001D7C0F" w:rsidRPr="008A583C" w:rsidRDefault="001D7C0F" w:rsidP="001D7C0F">
      <w:pPr>
        <w:spacing w:line="360" w:lineRule="auto"/>
        <w:rPr>
          <w:rFonts w:ascii="Times New Roman" w:hAnsi="Times New Roman"/>
          <w:sz w:val="24"/>
          <w:u w:val="single"/>
        </w:rPr>
      </w:pPr>
      <w:r w:rsidRPr="008A583C">
        <w:rPr>
          <w:rFonts w:ascii="Times New Roman" w:hAnsi="Times New Roman"/>
          <w:sz w:val="24"/>
          <w:u w:val="single"/>
        </w:rPr>
        <w:t xml:space="preserve">Section Conclusion </w:t>
      </w:r>
    </w:p>
    <w:p w14:paraId="6EEF2D91" w14:textId="1794FD83" w:rsidR="001D7C0F" w:rsidRPr="006606A7" w:rsidRDefault="001D7C0F" w:rsidP="001D7C0F">
      <w:pPr>
        <w:spacing w:line="360" w:lineRule="auto"/>
        <w:rPr>
          <w:rFonts w:ascii="Times New Roman" w:hAnsi="Times New Roman"/>
          <w:sz w:val="24"/>
        </w:rPr>
      </w:pPr>
      <w:r w:rsidRPr="006606A7">
        <w:rPr>
          <w:rFonts w:ascii="Times New Roman" w:hAnsi="Times New Roman"/>
          <w:sz w:val="24"/>
        </w:rPr>
        <w:t xml:space="preserve">These theoretical frameworks illuminate a crucial paradox in representation for justice-impacted communities: the very mechanisms that </w:t>
      </w:r>
      <w:proofErr w:type="spellStart"/>
      <w:r w:rsidRPr="006606A7">
        <w:rPr>
          <w:rFonts w:ascii="Times New Roman" w:hAnsi="Times New Roman"/>
          <w:sz w:val="24"/>
        </w:rPr>
        <w:t>Fenno</w:t>
      </w:r>
      <w:proofErr w:type="spellEnd"/>
      <w:r w:rsidRPr="006606A7">
        <w:rPr>
          <w:rFonts w:ascii="Times New Roman" w:hAnsi="Times New Roman"/>
          <w:sz w:val="24"/>
        </w:rPr>
        <w:t xml:space="preserve"> and Miler identify as crucial for representative responsiveness – direct contact, visibility, and electoral influence – are systematically denied to </w:t>
      </w:r>
      <w:r w:rsidRPr="006606A7">
        <w:rPr>
          <w:rFonts w:ascii="Times New Roman" w:hAnsi="Times New Roman"/>
          <w:sz w:val="24"/>
        </w:rPr>
        <w:lastRenderedPageBreak/>
        <w:t xml:space="preserve">incarcerated populations through both formal disenfranchisement and informal barriers to political participation. Senator Finegold's case is illustrative: representing a district split between affluent, predominantly white Andover and </w:t>
      </w:r>
      <w:r w:rsidR="009F206A">
        <w:rPr>
          <w:rFonts w:ascii="Times New Roman" w:hAnsi="Times New Roman"/>
          <w:sz w:val="24"/>
        </w:rPr>
        <w:t>the predominantly Hispanic</w:t>
      </w:r>
      <w:r w:rsidRPr="006606A7">
        <w:rPr>
          <w:rFonts w:ascii="Times New Roman" w:hAnsi="Times New Roman"/>
          <w:sz w:val="24"/>
        </w:rPr>
        <w:t xml:space="preserve"> working-class city of Lawrence, his perception of constituent opposition to incarcerated voting rights </w:t>
      </w:r>
      <w:r w:rsidR="0061617E">
        <w:rPr>
          <w:rFonts w:ascii="Times New Roman" w:hAnsi="Times New Roman"/>
          <w:sz w:val="24"/>
        </w:rPr>
        <w:t>prioritized</w:t>
      </w:r>
      <w:r w:rsidRPr="006606A7">
        <w:rPr>
          <w:rFonts w:ascii="Times New Roman" w:hAnsi="Times New Roman"/>
          <w:sz w:val="24"/>
        </w:rPr>
        <w:t xml:space="preserve"> the interests and contact patterns of his more privileged constituents while rendering invisible those most impacted by carceral policies.</w:t>
      </w:r>
    </w:p>
    <w:p w14:paraId="68B3F5C1" w14:textId="77777777" w:rsidR="001D7C0F" w:rsidRPr="006606A7" w:rsidRDefault="001D7C0F" w:rsidP="001D7C0F">
      <w:pPr>
        <w:spacing w:line="360" w:lineRule="auto"/>
        <w:rPr>
          <w:rFonts w:ascii="Times New Roman" w:hAnsi="Times New Roman"/>
          <w:sz w:val="24"/>
        </w:rPr>
      </w:pPr>
    </w:p>
    <w:p w14:paraId="5AE7E479" w14:textId="77777777" w:rsidR="001D7C0F" w:rsidRPr="006606A7" w:rsidRDefault="001D7C0F" w:rsidP="001D7C0F">
      <w:pPr>
        <w:spacing w:line="360" w:lineRule="auto"/>
        <w:rPr>
          <w:rFonts w:ascii="Times New Roman" w:hAnsi="Times New Roman"/>
          <w:sz w:val="24"/>
        </w:rPr>
      </w:pPr>
      <w:r w:rsidRPr="006606A7">
        <w:rPr>
          <w:rFonts w:ascii="Times New Roman" w:hAnsi="Times New Roman"/>
          <w:sz w:val="24"/>
        </w:rPr>
        <w:t>This systematic invisibility within legislators' perceptual frameworks helps explain why descriptive representation – having legislators who share lived experiences with marginalized communities – might be particularly crucial for criminal justice reform. When traditional channels of constituent communication and influence are blocked or biased, the experiential knowledge and motivation that often accompanies descriptive representation becomes especially important. As the following section will demonstrate, literature on descriptive representation suggests that legislators who share demographic characteristics or lived experiences with marginalized constituencies may be more likely to "see" and prioritize these communities' interests, even in the absence of direct electoral pressure.</w:t>
      </w:r>
    </w:p>
    <w:p w14:paraId="233CCF73" w14:textId="77777777" w:rsidR="001D7C0F" w:rsidRDefault="001D7C0F" w:rsidP="001D7C0F">
      <w:pPr>
        <w:spacing w:line="360" w:lineRule="auto"/>
        <w:rPr>
          <w:rFonts w:ascii="Times New Roman" w:hAnsi="Times New Roman"/>
          <w:sz w:val="24"/>
        </w:rPr>
      </w:pPr>
    </w:p>
    <w:p w14:paraId="558A9988" w14:textId="07A50246" w:rsidR="0061617E" w:rsidRPr="00DE1543" w:rsidRDefault="0061617E">
      <w:pPr>
        <w:rPr>
          <w:rFonts w:ascii="Times New Roman" w:hAnsi="Times New Roman"/>
          <w:b/>
          <w:bCs/>
          <w:sz w:val="28"/>
          <w:szCs w:val="28"/>
        </w:rPr>
      </w:pPr>
      <w:r w:rsidRPr="00DE1543">
        <w:rPr>
          <w:rFonts w:ascii="Times New Roman" w:hAnsi="Times New Roman"/>
          <w:b/>
          <w:bCs/>
          <w:sz w:val="28"/>
          <w:szCs w:val="28"/>
        </w:rPr>
        <w:t xml:space="preserve">Section 2: </w:t>
      </w:r>
      <w:r w:rsidR="00C65500" w:rsidRPr="00DE1543">
        <w:rPr>
          <w:rFonts w:ascii="Times New Roman" w:hAnsi="Times New Roman"/>
          <w:b/>
          <w:bCs/>
          <w:sz w:val="28"/>
          <w:szCs w:val="28"/>
        </w:rPr>
        <w:t>Descriptive and Substantive Representation</w:t>
      </w:r>
    </w:p>
    <w:p w14:paraId="6A6FD025" w14:textId="47AB9DE4" w:rsidR="002B30AD" w:rsidRDefault="00086C4E" w:rsidP="00B34F73">
      <w:pPr>
        <w:spacing w:line="360" w:lineRule="auto"/>
        <w:rPr>
          <w:rFonts w:ascii="Times New Roman" w:hAnsi="Times New Roman"/>
          <w:sz w:val="24"/>
        </w:rPr>
      </w:pPr>
      <w:r>
        <w:rPr>
          <w:rFonts w:ascii="Times New Roman" w:hAnsi="Times New Roman"/>
          <w:sz w:val="24"/>
        </w:rPr>
        <w:t xml:space="preserve">If how a legislator ‘constructs’ their </w:t>
      </w:r>
      <w:r w:rsidR="00D86790">
        <w:rPr>
          <w:rFonts w:ascii="Times New Roman" w:hAnsi="Times New Roman"/>
          <w:sz w:val="24"/>
        </w:rPr>
        <w:t>constituency</w:t>
      </w:r>
      <w:r>
        <w:rPr>
          <w:rFonts w:ascii="Times New Roman" w:hAnsi="Times New Roman"/>
          <w:sz w:val="24"/>
        </w:rPr>
        <w:t xml:space="preserve"> is conditioned by contact and familiarity, </w:t>
      </w:r>
      <w:r w:rsidR="00D86790">
        <w:rPr>
          <w:rFonts w:ascii="Times New Roman" w:hAnsi="Times New Roman"/>
          <w:sz w:val="24"/>
        </w:rPr>
        <w:t xml:space="preserve">it follows that legislators for whom punishment and incarceration are not an abstraction may “construct” incarcerated constituency in meaningfully different ways. </w:t>
      </w:r>
      <w:r w:rsidR="002B30AD">
        <w:rPr>
          <w:rFonts w:ascii="Times New Roman" w:hAnsi="Times New Roman"/>
          <w:sz w:val="24"/>
        </w:rPr>
        <w:t>Given the US carceral system’s disproportionately impacts race-class subjugated communities – especially Black and poor Americans – suggests the racial and socioeconomic backgrounds of legislators may matter for how legislators conceptualize people impacted by incarcerated differently and their interests.</w:t>
      </w:r>
    </w:p>
    <w:p w14:paraId="550769C7" w14:textId="77777777" w:rsidR="002B30AD" w:rsidRDefault="002B30AD" w:rsidP="00B24B5C">
      <w:pPr>
        <w:spacing w:line="360" w:lineRule="auto"/>
        <w:rPr>
          <w:rFonts w:ascii="Times New Roman" w:hAnsi="Times New Roman"/>
          <w:b/>
          <w:bCs/>
          <w:sz w:val="24"/>
        </w:rPr>
      </w:pPr>
    </w:p>
    <w:p w14:paraId="7ADC4D73" w14:textId="42AF2ABD" w:rsidR="00B24B5C" w:rsidRPr="008A583C" w:rsidRDefault="00B24B5C" w:rsidP="00B24B5C">
      <w:pPr>
        <w:spacing w:line="360" w:lineRule="auto"/>
        <w:rPr>
          <w:rFonts w:ascii="Times New Roman" w:hAnsi="Times New Roman"/>
          <w:sz w:val="24"/>
          <w:u w:val="single"/>
        </w:rPr>
      </w:pPr>
      <w:r w:rsidRPr="008A583C">
        <w:rPr>
          <w:rFonts w:ascii="Times New Roman" w:hAnsi="Times New Roman"/>
          <w:sz w:val="24"/>
          <w:u w:val="single"/>
        </w:rPr>
        <w:t>Symbolic Import of Descriptive Representation</w:t>
      </w:r>
    </w:p>
    <w:p w14:paraId="70943833" w14:textId="038544DA" w:rsidR="00B24B5C" w:rsidRDefault="00B24B5C" w:rsidP="00B454A7">
      <w:pPr>
        <w:spacing w:line="360" w:lineRule="auto"/>
        <w:rPr>
          <w:rFonts w:ascii="Times New Roman" w:hAnsi="Times New Roman"/>
          <w:sz w:val="24"/>
        </w:rPr>
      </w:pPr>
      <w:r w:rsidRPr="0097058A">
        <w:rPr>
          <w:rFonts w:ascii="Times New Roman" w:hAnsi="Times New Roman"/>
          <w:sz w:val="24"/>
        </w:rPr>
        <w:t>Descriptive representation has symbolic import.</w:t>
      </w:r>
      <w:r w:rsidRPr="00953873">
        <w:rPr>
          <w:rFonts w:ascii="Times New Roman" w:hAnsi="Times New Roman"/>
          <w:sz w:val="24"/>
        </w:rPr>
        <w:t xml:space="preserve"> In a political system institutionally and historically rooted in political exclusion </w:t>
      </w:r>
      <w:r>
        <w:rPr>
          <w:rFonts w:ascii="Times New Roman" w:hAnsi="Times New Roman"/>
          <w:sz w:val="24"/>
        </w:rPr>
        <w:t>– across race,</w:t>
      </w:r>
      <w:r w:rsidRPr="00953873">
        <w:rPr>
          <w:rFonts w:ascii="Times New Roman" w:hAnsi="Times New Roman"/>
          <w:sz w:val="24"/>
        </w:rPr>
        <w:t xml:space="preserve"> class, </w:t>
      </w:r>
      <w:r>
        <w:rPr>
          <w:rFonts w:ascii="Times New Roman" w:hAnsi="Times New Roman"/>
          <w:sz w:val="24"/>
        </w:rPr>
        <w:t xml:space="preserve">and </w:t>
      </w:r>
      <w:r w:rsidRPr="00953873">
        <w:rPr>
          <w:rFonts w:ascii="Times New Roman" w:hAnsi="Times New Roman"/>
          <w:sz w:val="24"/>
        </w:rPr>
        <w:t>gender</w:t>
      </w:r>
      <w:r>
        <w:rPr>
          <w:rFonts w:ascii="Times New Roman" w:hAnsi="Times New Roman"/>
          <w:sz w:val="24"/>
        </w:rPr>
        <w:t xml:space="preserve"> – r</w:t>
      </w:r>
      <w:r w:rsidRPr="00953873">
        <w:rPr>
          <w:rFonts w:ascii="Times New Roman" w:hAnsi="Times New Roman"/>
          <w:sz w:val="24"/>
        </w:rPr>
        <w:t xml:space="preserve">epresentation across demographic and other groups constructs a new and divergent social meaning of who politics is for and who belongs in politics as active agents rather than subjects (Sapiro 1981). </w:t>
      </w:r>
      <w:r w:rsidR="00D63EDA">
        <w:rPr>
          <w:rFonts w:ascii="Times New Roman" w:hAnsi="Times New Roman"/>
          <w:sz w:val="24"/>
        </w:rPr>
        <w:t>F</w:t>
      </w:r>
      <w:r w:rsidRPr="00953873">
        <w:rPr>
          <w:rFonts w:ascii="Times New Roman" w:hAnsi="Times New Roman"/>
          <w:sz w:val="24"/>
        </w:rPr>
        <w:t xml:space="preserve">or historically excluded groups, </w:t>
      </w:r>
      <w:r w:rsidR="00D63EDA">
        <w:rPr>
          <w:rFonts w:ascii="Times New Roman" w:hAnsi="Times New Roman"/>
          <w:sz w:val="24"/>
        </w:rPr>
        <w:t>this may</w:t>
      </w:r>
      <w:r w:rsidRPr="00953873">
        <w:rPr>
          <w:rFonts w:ascii="Times New Roman" w:hAnsi="Times New Roman"/>
          <w:sz w:val="24"/>
        </w:rPr>
        <w:t xml:space="preserve"> doubly serve as symbols of ‘reparation’ or reform for </w:t>
      </w:r>
      <w:r w:rsidRPr="00953873">
        <w:rPr>
          <w:rFonts w:ascii="Times New Roman" w:hAnsi="Times New Roman"/>
          <w:sz w:val="24"/>
        </w:rPr>
        <w:lastRenderedPageBreak/>
        <w:t>historical injustice. Considering incarcerated populations who survive(d) an institution who’s predominant message re-enforces political exclusion and communicates an othered or subjugated citizenship status, the presence of formerly incarcerated (and in one recent DC case, currently incarcerated) elected officials can send symbolic messages not only about their place in American democracy – and the claims that they can</w:t>
      </w:r>
      <w:r w:rsidR="008A583C">
        <w:rPr>
          <w:rFonts w:ascii="Times New Roman" w:hAnsi="Times New Roman"/>
          <w:sz w:val="24"/>
        </w:rPr>
        <w:t xml:space="preserve"> make of it</w:t>
      </w:r>
      <w:r w:rsidRPr="00953873">
        <w:rPr>
          <w:rFonts w:ascii="Times New Roman" w:hAnsi="Times New Roman"/>
          <w:sz w:val="24"/>
        </w:rPr>
        <w:t xml:space="preserve"> – but also messages around their own status as current and future citizens, separate from measures of re-offense and rehabilitation. </w:t>
      </w:r>
      <w:r>
        <w:rPr>
          <w:rFonts w:ascii="Times New Roman" w:hAnsi="Times New Roman"/>
          <w:sz w:val="24"/>
        </w:rPr>
        <w:t>In other words, descriptive representation for people and communities most affected by incarceration challenges dominant narratives about citizenship, political voice, and social worth.</w:t>
      </w:r>
    </w:p>
    <w:p w14:paraId="6CE9E0A4" w14:textId="77777777" w:rsidR="00B454A7" w:rsidRDefault="00B454A7" w:rsidP="00B454A7">
      <w:pPr>
        <w:spacing w:line="360" w:lineRule="auto"/>
        <w:rPr>
          <w:rFonts w:ascii="Times New Roman" w:hAnsi="Times New Roman"/>
          <w:sz w:val="24"/>
        </w:rPr>
      </w:pPr>
    </w:p>
    <w:p w14:paraId="013CED4C" w14:textId="09F61D1E" w:rsidR="00B24B5C" w:rsidRPr="009D1958" w:rsidRDefault="00B24B5C" w:rsidP="00B454A7">
      <w:pPr>
        <w:spacing w:line="360" w:lineRule="auto"/>
        <w:rPr>
          <w:rFonts w:ascii="Times New Roman" w:hAnsi="Times New Roman"/>
          <w:sz w:val="24"/>
        </w:rPr>
      </w:pPr>
      <w:r>
        <w:rPr>
          <w:rFonts w:ascii="Times New Roman" w:hAnsi="Times New Roman"/>
          <w:sz w:val="24"/>
        </w:rPr>
        <w:t xml:space="preserve">Jane Mansbridge articulates this symbolic </w:t>
      </w:r>
      <w:proofErr w:type="gramStart"/>
      <w:r>
        <w:rPr>
          <w:rFonts w:ascii="Times New Roman" w:hAnsi="Times New Roman"/>
          <w:sz w:val="24"/>
        </w:rPr>
        <w:t>power, and</w:t>
      </w:r>
      <w:proofErr w:type="gramEnd"/>
      <w:r>
        <w:rPr>
          <w:rFonts w:ascii="Times New Roman" w:hAnsi="Times New Roman"/>
          <w:sz w:val="24"/>
        </w:rPr>
        <w:t xml:space="preserve"> argues </w:t>
      </w:r>
      <w:r w:rsidR="00355979">
        <w:rPr>
          <w:rFonts w:ascii="Times New Roman" w:hAnsi="Times New Roman"/>
          <w:sz w:val="24"/>
        </w:rPr>
        <w:t>it</w:t>
      </w:r>
      <w:r w:rsidRPr="00953873">
        <w:rPr>
          <w:rFonts w:ascii="Times New Roman" w:hAnsi="Times New Roman"/>
          <w:sz w:val="24"/>
        </w:rPr>
        <w:t xml:space="preserve"> can generate second-order effects</w:t>
      </w:r>
      <w:r>
        <w:rPr>
          <w:rFonts w:ascii="Times New Roman" w:hAnsi="Times New Roman"/>
          <w:sz w:val="24"/>
        </w:rPr>
        <w:t xml:space="preserve">. Namely, descriptive representation can strengthen perceptions of political inclusion and </w:t>
      </w:r>
      <w:r w:rsidR="00676E62">
        <w:rPr>
          <w:rFonts w:ascii="Times New Roman" w:hAnsi="Times New Roman"/>
          <w:sz w:val="24"/>
        </w:rPr>
        <w:t xml:space="preserve">what Charles Taylor (1992) terms </w:t>
      </w:r>
      <w:r>
        <w:rPr>
          <w:rFonts w:ascii="Times New Roman" w:hAnsi="Times New Roman"/>
          <w:sz w:val="24"/>
        </w:rPr>
        <w:t>“equal dignity”</w:t>
      </w:r>
      <w:r w:rsidRPr="00953873">
        <w:rPr>
          <w:rFonts w:ascii="Times New Roman" w:hAnsi="Times New Roman"/>
          <w:sz w:val="24"/>
        </w:rPr>
        <w:t xml:space="preserve"> </w:t>
      </w:r>
      <w:r w:rsidR="00676E62">
        <w:rPr>
          <w:rFonts w:ascii="Times New Roman" w:hAnsi="Times New Roman"/>
          <w:sz w:val="24"/>
        </w:rPr>
        <w:t xml:space="preserve">under a politics of recognition. While critical in </w:t>
      </w:r>
      <w:proofErr w:type="spellStart"/>
      <w:proofErr w:type="gramStart"/>
      <w:r w:rsidR="00676E62">
        <w:rPr>
          <w:rFonts w:ascii="Times New Roman" w:hAnsi="Times New Roman"/>
          <w:sz w:val="24"/>
        </w:rPr>
        <w:t>it’s</w:t>
      </w:r>
      <w:proofErr w:type="spellEnd"/>
      <w:proofErr w:type="gramEnd"/>
      <w:r w:rsidR="00676E62">
        <w:rPr>
          <w:rFonts w:ascii="Times New Roman" w:hAnsi="Times New Roman"/>
          <w:sz w:val="24"/>
        </w:rPr>
        <w:t xml:space="preserve"> own right </w:t>
      </w:r>
      <w:r w:rsidR="00DE1B4E">
        <w:rPr>
          <w:rFonts w:ascii="Times New Roman" w:hAnsi="Times New Roman"/>
          <w:sz w:val="24"/>
        </w:rPr>
        <w:t>–</w:t>
      </w:r>
      <w:r w:rsidR="00676E62">
        <w:rPr>
          <w:rFonts w:ascii="Times New Roman" w:hAnsi="Times New Roman"/>
          <w:sz w:val="24"/>
        </w:rPr>
        <w:t xml:space="preserve"> </w:t>
      </w:r>
      <w:r w:rsidR="00DE1B4E">
        <w:rPr>
          <w:rFonts w:ascii="Times New Roman" w:hAnsi="Times New Roman"/>
          <w:sz w:val="24"/>
        </w:rPr>
        <w:t>particularly in carceral contexts, t</w:t>
      </w:r>
      <w:r w:rsidR="00676E62">
        <w:rPr>
          <w:rFonts w:ascii="Times New Roman" w:hAnsi="Times New Roman"/>
          <w:sz w:val="24"/>
        </w:rPr>
        <w:t>his,</w:t>
      </w:r>
      <w:r w:rsidRPr="00953873">
        <w:rPr>
          <w:rFonts w:ascii="Times New Roman" w:hAnsi="Times New Roman"/>
          <w:sz w:val="24"/>
        </w:rPr>
        <w:t xml:space="preserve"> in turn </w:t>
      </w:r>
      <w:r w:rsidR="00676E62">
        <w:rPr>
          <w:rFonts w:ascii="Times New Roman" w:hAnsi="Times New Roman"/>
          <w:sz w:val="24"/>
        </w:rPr>
        <w:t>proves</w:t>
      </w:r>
      <w:r w:rsidRPr="00953873">
        <w:rPr>
          <w:rFonts w:ascii="Times New Roman" w:hAnsi="Times New Roman"/>
          <w:sz w:val="24"/>
        </w:rPr>
        <w:t xml:space="preserve"> perceptions of government legitimacy, or “enhance de facto legitimacy by making citizens, and particularly members of historically underrepresented groups, feel as if they themselves were present in the deliberations” (Mansbridge 1999). </w:t>
      </w:r>
    </w:p>
    <w:p w14:paraId="19683E53" w14:textId="77777777" w:rsidR="00B24B5C" w:rsidRDefault="00B24B5C" w:rsidP="00B24B5C">
      <w:pPr>
        <w:spacing w:line="360" w:lineRule="auto"/>
        <w:rPr>
          <w:rFonts w:ascii="Times New Roman" w:hAnsi="Times New Roman"/>
          <w:sz w:val="24"/>
        </w:rPr>
      </w:pPr>
    </w:p>
    <w:p w14:paraId="4F2BB518" w14:textId="66FF58B0" w:rsidR="00B24B5C" w:rsidRPr="00082EB4" w:rsidRDefault="00B24B5C" w:rsidP="00B24B5C">
      <w:pPr>
        <w:spacing w:line="360" w:lineRule="auto"/>
        <w:rPr>
          <w:rFonts w:ascii="Times New Roman" w:hAnsi="Times New Roman"/>
          <w:sz w:val="24"/>
          <w:u w:val="single"/>
        </w:rPr>
      </w:pPr>
      <w:r w:rsidRPr="00082EB4">
        <w:rPr>
          <w:rFonts w:ascii="Times New Roman" w:hAnsi="Times New Roman"/>
          <w:sz w:val="24"/>
          <w:u w:val="single"/>
        </w:rPr>
        <w:t>Theoretical</w:t>
      </w:r>
      <w:r w:rsidR="00880DEA" w:rsidRPr="00082EB4">
        <w:rPr>
          <w:rFonts w:ascii="Times New Roman" w:hAnsi="Times New Roman"/>
          <w:sz w:val="24"/>
          <w:u w:val="single"/>
        </w:rPr>
        <w:t xml:space="preserve"> + Communicative </w:t>
      </w:r>
      <w:r w:rsidRPr="00082EB4">
        <w:rPr>
          <w:rFonts w:ascii="Times New Roman" w:hAnsi="Times New Roman"/>
          <w:sz w:val="24"/>
          <w:u w:val="single"/>
        </w:rPr>
        <w:t>Import of Descriptive Representation</w:t>
      </w:r>
    </w:p>
    <w:p w14:paraId="66254A75" w14:textId="77777777" w:rsidR="0017051E" w:rsidRDefault="00B24B5C" w:rsidP="00880DEA">
      <w:pPr>
        <w:spacing w:line="360" w:lineRule="auto"/>
        <w:rPr>
          <w:rFonts w:ascii="Times New Roman" w:hAnsi="Times New Roman"/>
          <w:sz w:val="24"/>
        </w:rPr>
      </w:pPr>
      <w:r>
        <w:rPr>
          <w:rFonts w:ascii="Times New Roman" w:hAnsi="Times New Roman"/>
          <w:sz w:val="24"/>
        </w:rPr>
        <w:t>Where descriptive representation involves the presence of groups in government, substantive representation concerns the representation of groups’ interests (</w:t>
      </w:r>
      <w:proofErr w:type="spellStart"/>
      <w:r>
        <w:rPr>
          <w:rFonts w:ascii="Times New Roman" w:hAnsi="Times New Roman"/>
          <w:sz w:val="24"/>
        </w:rPr>
        <w:t>Pitkins</w:t>
      </w:r>
      <w:proofErr w:type="spellEnd"/>
      <w:r>
        <w:rPr>
          <w:rFonts w:ascii="Times New Roman" w:hAnsi="Times New Roman"/>
          <w:sz w:val="24"/>
        </w:rPr>
        <w:t xml:space="preserve"> 1967). T</w:t>
      </w:r>
      <w:r w:rsidRPr="009D1958">
        <w:rPr>
          <w:rFonts w:ascii="Times New Roman" w:hAnsi="Times New Roman"/>
          <w:sz w:val="24"/>
        </w:rPr>
        <w:t xml:space="preserve">heorists argue -- and empirical scholars </w:t>
      </w:r>
      <w:r w:rsidR="006D3007" w:rsidRPr="009D1958">
        <w:rPr>
          <w:rFonts w:ascii="Times New Roman" w:hAnsi="Times New Roman"/>
          <w:sz w:val="24"/>
        </w:rPr>
        <w:t>investigat</w:t>
      </w:r>
      <w:r w:rsidR="006D3007">
        <w:rPr>
          <w:rFonts w:ascii="Times New Roman" w:hAnsi="Times New Roman"/>
          <w:sz w:val="24"/>
        </w:rPr>
        <w:t>e</w:t>
      </w:r>
      <w:r w:rsidR="006D3007" w:rsidRPr="009D1958">
        <w:rPr>
          <w:rFonts w:ascii="Times New Roman" w:hAnsi="Times New Roman"/>
          <w:sz w:val="24"/>
        </w:rPr>
        <w:t xml:space="preserve"> </w:t>
      </w:r>
      <w:r w:rsidRPr="009D1958">
        <w:rPr>
          <w:rFonts w:ascii="Times New Roman" w:hAnsi="Times New Roman"/>
          <w:sz w:val="24"/>
        </w:rPr>
        <w:t xml:space="preserve">whether and when – descriptive representation translates to substantive representation. </w:t>
      </w:r>
      <w:r>
        <w:rPr>
          <w:rFonts w:ascii="Times New Roman" w:hAnsi="Times New Roman"/>
          <w:sz w:val="24"/>
        </w:rPr>
        <w:t xml:space="preserve">First, Mansbridge and Pitkin argue that descriptive representation can facilitate better legislative understanding of constituent needs </w:t>
      </w:r>
      <w:r w:rsidRPr="00953873">
        <w:rPr>
          <w:rFonts w:ascii="Times New Roman" w:hAnsi="Times New Roman"/>
          <w:sz w:val="24"/>
        </w:rPr>
        <w:t>(Pitkin 1967, Mansbridge 1999).</w:t>
      </w:r>
      <w:r>
        <w:rPr>
          <w:rFonts w:ascii="Times New Roman" w:hAnsi="Times New Roman"/>
          <w:sz w:val="24"/>
        </w:rPr>
        <w:t xml:space="preserve"> </w:t>
      </w:r>
      <w:r w:rsidRPr="00953873">
        <w:rPr>
          <w:rFonts w:ascii="Times New Roman" w:hAnsi="Times New Roman"/>
          <w:sz w:val="24"/>
        </w:rPr>
        <w:t xml:space="preserve">Mansbridge </w:t>
      </w:r>
      <w:r>
        <w:rPr>
          <w:rFonts w:ascii="Times New Roman" w:hAnsi="Times New Roman"/>
          <w:sz w:val="24"/>
        </w:rPr>
        <w:t>assumes</w:t>
      </w:r>
      <w:r w:rsidRPr="00953873">
        <w:rPr>
          <w:rFonts w:ascii="Times New Roman" w:hAnsi="Times New Roman"/>
          <w:sz w:val="24"/>
        </w:rPr>
        <w:t xml:space="preserve"> t</w:t>
      </w:r>
      <w:r>
        <w:rPr>
          <w:rFonts w:ascii="Times New Roman" w:hAnsi="Times New Roman"/>
          <w:sz w:val="24"/>
        </w:rPr>
        <w:t>his can occur implicitly, or that shared experiences translate to shared understandings and interests. But she also argues representatives and voters who share common experiences and have “</w:t>
      </w:r>
      <w:r w:rsidRPr="00953873">
        <w:rPr>
          <w:rFonts w:ascii="Times New Roman" w:hAnsi="Times New Roman"/>
          <w:sz w:val="24"/>
        </w:rPr>
        <w:t>the outward signs of having lived through those experiences</w:t>
      </w:r>
      <w:r>
        <w:rPr>
          <w:rFonts w:ascii="Times New Roman" w:hAnsi="Times New Roman"/>
          <w:sz w:val="24"/>
        </w:rPr>
        <w:t xml:space="preserve"> . . .</w:t>
      </w:r>
      <w:r w:rsidRPr="00953873">
        <w:rPr>
          <w:rFonts w:ascii="Times New Roman" w:hAnsi="Times New Roman"/>
          <w:sz w:val="24"/>
        </w:rPr>
        <w:t xml:space="preserve"> can often read one another’s signals relatively easily and engage in relatively accurate forms of shorthand communication</w:t>
      </w:r>
      <w:r>
        <w:rPr>
          <w:rFonts w:ascii="Times New Roman" w:hAnsi="Times New Roman"/>
          <w:sz w:val="24"/>
        </w:rPr>
        <w:t>” and “</w:t>
      </w:r>
      <w:r w:rsidRPr="00953873">
        <w:rPr>
          <w:rFonts w:ascii="Times New Roman" w:hAnsi="Times New Roman"/>
          <w:sz w:val="24"/>
        </w:rPr>
        <w:t xml:space="preserve">forge bonds of </w:t>
      </w:r>
      <w:r>
        <w:rPr>
          <w:rFonts w:ascii="Times New Roman" w:hAnsi="Times New Roman"/>
          <w:sz w:val="24"/>
        </w:rPr>
        <w:t>t</w:t>
      </w:r>
      <w:r w:rsidR="00DD54AF">
        <w:rPr>
          <w:rFonts w:ascii="Times New Roman" w:hAnsi="Times New Roman"/>
          <w:sz w:val="24"/>
        </w:rPr>
        <w:t>r</w:t>
      </w:r>
      <w:r w:rsidRPr="00953873">
        <w:rPr>
          <w:rFonts w:ascii="Times New Roman" w:hAnsi="Times New Roman"/>
          <w:sz w:val="24"/>
        </w:rPr>
        <w:t>ust based specifically on the shared experience of subordination” (1999).</w:t>
      </w:r>
      <w:r w:rsidR="00880DEA">
        <w:rPr>
          <w:rFonts w:ascii="Times New Roman" w:hAnsi="Times New Roman"/>
          <w:sz w:val="24"/>
        </w:rPr>
        <w:t xml:space="preserve"> </w:t>
      </w:r>
    </w:p>
    <w:p w14:paraId="6B19B8CC" w14:textId="77777777" w:rsidR="0017051E" w:rsidRDefault="0017051E" w:rsidP="00880DEA">
      <w:pPr>
        <w:spacing w:line="360" w:lineRule="auto"/>
        <w:rPr>
          <w:rFonts w:ascii="Times New Roman" w:hAnsi="Times New Roman"/>
          <w:sz w:val="24"/>
        </w:rPr>
      </w:pPr>
    </w:p>
    <w:p w14:paraId="422CD7AB" w14:textId="185C34B6" w:rsidR="00536C89" w:rsidRDefault="00B24B5C" w:rsidP="00536C89">
      <w:pPr>
        <w:spacing w:line="360" w:lineRule="auto"/>
        <w:rPr>
          <w:rFonts w:ascii="Times New Roman" w:hAnsi="Times New Roman"/>
          <w:sz w:val="24"/>
        </w:rPr>
      </w:pPr>
      <w:r w:rsidRPr="00AA06B0">
        <w:rPr>
          <w:rFonts w:ascii="Times New Roman" w:hAnsi="Times New Roman"/>
          <w:sz w:val="24"/>
        </w:rPr>
        <w:lastRenderedPageBreak/>
        <w:t xml:space="preserve">This </w:t>
      </w:r>
      <w:r>
        <w:rPr>
          <w:rFonts w:ascii="Times New Roman" w:hAnsi="Times New Roman"/>
          <w:sz w:val="24"/>
        </w:rPr>
        <w:t>communication dynamic influences multiple stages of the policy process</w:t>
      </w:r>
      <w:r w:rsidR="00880DEA">
        <w:rPr>
          <w:rFonts w:ascii="Times New Roman" w:hAnsi="Times New Roman"/>
          <w:sz w:val="24"/>
        </w:rPr>
        <w:t xml:space="preserve">. </w:t>
      </w:r>
      <w:r>
        <w:rPr>
          <w:rFonts w:ascii="Times New Roman" w:hAnsi="Times New Roman"/>
          <w:sz w:val="24"/>
        </w:rPr>
        <w:t>Better legislator-constituent communication and legislator’s understanding of constituent needs can influence</w:t>
      </w:r>
      <w:r w:rsidRPr="00953873">
        <w:rPr>
          <w:rFonts w:ascii="Times New Roman" w:hAnsi="Times New Roman"/>
          <w:sz w:val="24"/>
        </w:rPr>
        <w:t xml:space="preserve"> how issues are framed, whether and how they rise on legislative agendas, what policy proposals pass and whether and how they are implemented by administrative and street-level bureaucrats (McClain and Carew 2017)</w:t>
      </w:r>
      <w:r>
        <w:rPr>
          <w:rFonts w:ascii="Times New Roman" w:hAnsi="Times New Roman"/>
          <w:sz w:val="24"/>
        </w:rPr>
        <w:t xml:space="preserve">. </w:t>
      </w:r>
      <w:r w:rsidR="00536C89">
        <w:rPr>
          <w:rFonts w:ascii="Times New Roman" w:hAnsi="Times New Roman"/>
          <w:sz w:val="24"/>
        </w:rPr>
        <w:t xml:space="preserve">This communication with constituents is particularly important as it pertain to policies that will affect them – in turn making a case that people affected by a given problem should be part of the solution: </w:t>
      </w:r>
      <w:r w:rsidR="00536C89" w:rsidRPr="00953873">
        <w:rPr>
          <w:rFonts w:ascii="Times New Roman" w:hAnsi="Times New Roman"/>
          <w:sz w:val="24"/>
        </w:rPr>
        <w:t xml:space="preserve">“The perspectives and interests of left-handers should be represented in deliberation when their perspectives are relevant to a decision (e.g., in decisions regarding the design of surgical instruments) and in aggregation when their interests conflict with those of others. Similarly with redheads, Lithuanians, Italians, Jews, the uneducated, and all other groups” (1999). </w:t>
      </w:r>
    </w:p>
    <w:p w14:paraId="0956CA38" w14:textId="77777777" w:rsidR="00274907" w:rsidRDefault="00274907" w:rsidP="00B454A7">
      <w:pPr>
        <w:spacing w:line="360" w:lineRule="auto"/>
        <w:rPr>
          <w:rFonts w:ascii="Times New Roman" w:hAnsi="Times New Roman"/>
          <w:sz w:val="24"/>
        </w:rPr>
      </w:pPr>
    </w:p>
    <w:p w14:paraId="57A208C9" w14:textId="37FDC565" w:rsidR="00D63EDA" w:rsidRDefault="00536C89" w:rsidP="00536C89">
      <w:pPr>
        <w:spacing w:line="360" w:lineRule="auto"/>
        <w:rPr>
          <w:rFonts w:ascii="Times New Roman" w:hAnsi="Times New Roman"/>
          <w:sz w:val="24"/>
        </w:rPr>
      </w:pPr>
      <w:r>
        <w:rPr>
          <w:rFonts w:ascii="Times New Roman" w:hAnsi="Times New Roman"/>
          <w:sz w:val="24"/>
        </w:rPr>
        <w:t>Liz Miranda illuminated this dynamic by directly involved incarcerated activists in the legislative process. This, I suspect, and th</w:t>
      </w:r>
      <w:r w:rsidR="0017051E">
        <w:rPr>
          <w:rFonts w:ascii="Times New Roman" w:hAnsi="Times New Roman"/>
          <w:sz w:val="24"/>
        </w:rPr>
        <w:t xml:space="preserve">e presence of </w:t>
      </w:r>
      <w:proofErr w:type="gramStart"/>
      <w:r w:rsidR="0017051E">
        <w:rPr>
          <w:rFonts w:ascii="Times New Roman" w:hAnsi="Times New Roman"/>
          <w:sz w:val="24"/>
        </w:rPr>
        <w:t>directly-impacted</w:t>
      </w:r>
      <w:proofErr w:type="gramEnd"/>
      <w:r w:rsidR="0017051E">
        <w:rPr>
          <w:rFonts w:ascii="Times New Roman" w:hAnsi="Times New Roman"/>
          <w:sz w:val="24"/>
        </w:rPr>
        <w:t xml:space="preserve"> legislators, I suspect, helped change the policy landscape in Massachusetts by testifying to the extent to which disenfranchisement is a problem</w:t>
      </w:r>
      <w:r w:rsidR="00274907">
        <w:rPr>
          <w:rFonts w:ascii="Times New Roman" w:hAnsi="Times New Roman"/>
          <w:sz w:val="24"/>
        </w:rPr>
        <w:t xml:space="preserve">, and critical for defining the solution as more than “know your rights” posters in jail as the solution. And here I should stress that Liz Miranda was by no means either the first Black legislator or first legislator to maintain a connection to incarcerated people. But with the 2019 elections, I suspect that the new critical mass of legislators of color changed dynamics within the State House. </w:t>
      </w:r>
    </w:p>
    <w:p w14:paraId="07E343E7" w14:textId="77777777" w:rsidR="00B454A7" w:rsidRDefault="00B454A7" w:rsidP="00B454A7">
      <w:pPr>
        <w:spacing w:line="360" w:lineRule="auto"/>
        <w:rPr>
          <w:rFonts w:ascii="Times New Roman" w:hAnsi="Times New Roman"/>
          <w:sz w:val="24"/>
        </w:rPr>
      </w:pPr>
    </w:p>
    <w:p w14:paraId="423F94E6" w14:textId="110B4230" w:rsidR="00DB4412" w:rsidRDefault="00274907" w:rsidP="00D63EDA">
      <w:pPr>
        <w:spacing w:line="360" w:lineRule="auto"/>
        <w:rPr>
          <w:rFonts w:ascii="Times New Roman" w:hAnsi="Times New Roman"/>
          <w:sz w:val="24"/>
        </w:rPr>
      </w:pPr>
      <w:r>
        <w:rPr>
          <w:rFonts w:ascii="Times New Roman" w:hAnsi="Times New Roman"/>
          <w:sz w:val="24"/>
        </w:rPr>
        <w:t>To this point, Mansbridge asks w</w:t>
      </w:r>
      <w:r w:rsidR="00B24B5C">
        <w:rPr>
          <w:rFonts w:ascii="Times New Roman" w:hAnsi="Times New Roman"/>
          <w:sz w:val="24"/>
        </w:rPr>
        <w:t>hat proportion of representation is adequate</w:t>
      </w:r>
      <w:r>
        <w:rPr>
          <w:rFonts w:ascii="Times New Roman" w:hAnsi="Times New Roman"/>
          <w:sz w:val="24"/>
        </w:rPr>
        <w:t xml:space="preserve"> and highlights that the answer is different </w:t>
      </w:r>
      <w:r w:rsidR="00DD54AF">
        <w:rPr>
          <w:rFonts w:ascii="Times New Roman" w:hAnsi="Times New Roman"/>
          <w:sz w:val="24"/>
        </w:rPr>
        <w:t xml:space="preserve">in </w:t>
      </w:r>
      <w:r w:rsidR="00B24B5C">
        <w:rPr>
          <w:rFonts w:ascii="Times New Roman" w:hAnsi="Times New Roman"/>
          <w:sz w:val="24"/>
        </w:rPr>
        <w:t xml:space="preserve">several contexts where proportional representation is insufficient.  </w:t>
      </w:r>
      <w:r>
        <w:rPr>
          <w:rFonts w:ascii="Times New Roman" w:hAnsi="Times New Roman"/>
          <w:sz w:val="24"/>
        </w:rPr>
        <w:t xml:space="preserve">Proportional representation alone may essentialize racial identities. </w:t>
      </w:r>
      <w:r w:rsidR="00B24B5C">
        <w:rPr>
          <w:rFonts w:ascii="Times New Roman" w:hAnsi="Times New Roman"/>
          <w:sz w:val="24"/>
        </w:rPr>
        <w:t>She moves beyond simple demographic matching to examine structural conditions and power dynamic</w:t>
      </w:r>
      <w:r>
        <w:rPr>
          <w:rFonts w:ascii="Times New Roman" w:hAnsi="Times New Roman"/>
          <w:sz w:val="24"/>
        </w:rPr>
        <w:t>, and argues that f</w:t>
      </w:r>
      <w:r w:rsidR="00B24B5C" w:rsidRPr="00301D66">
        <w:rPr>
          <w:rFonts w:ascii="Times New Roman" w:hAnsi="Times New Roman"/>
          <w:sz w:val="24"/>
        </w:rPr>
        <w:t xml:space="preserve">or marginalized groups, proportional representation alone may be insufficient. </w:t>
      </w:r>
      <w:r>
        <w:rPr>
          <w:rFonts w:ascii="Times New Roman" w:hAnsi="Times New Roman"/>
          <w:sz w:val="24"/>
        </w:rPr>
        <w:t>D</w:t>
      </w:r>
      <w:r w:rsidR="00B24B5C" w:rsidRPr="00301D66">
        <w:rPr>
          <w:rFonts w:ascii="Times New Roman" w:hAnsi="Times New Roman"/>
          <w:sz w:val="24"/>
        </w:rPr>
        <w:t>escriptive representation becomes vital in contexts of historical discrimination and structural barriers to communication between representatives and constituents</w:t>
      </w:r>
      <w:r w:rsidR="004B715A">
        <w:rPr>
          <w:rFonts w:ascii="Times New Roman" w:hAnsi="Times New Roman"/>
          <w:sz w:val="24"/>
        </w:rPr>
        <w:t xml:space="preserve"> – of which we could consider carceral </w:t>
      </w:r>
      <w:r w:rsidR="00DB4412">
        <w:rPr>
          <w:rFonts w:ascii="Times New Roman" w:hAnsi="Times New Roman"/>
          <w:sz w:val="24"/>
        </w:rPr>
        <w:t>political</w:t>
      </w:r>
      <w:r w:rsidR="004B715A">
        <w:rPr>
          <w:rFonts w:ascii="Times New Roman" w:hAnsi="Times New Roman"/>
          <w:sz w:val="24"/>
        </w:rPr>
        <w:t xml:space="preserve"> exclusion a case</w:t>
      </w:r>
      <w:r w:rsidR="00DB4412">
        <w:rPr>
          <w:rFonts w:ascii="Times New Roman" w:hAnsi="Times New Roman"/>
          <w:sz w:val="24"/>
        </w:rPr>
        <w:t xml:space="preserve"> – as,</w:t>
      </w:r>
      <w:r w:rsidR="00B24B5C" w:rsidRPr="00301D66">
        <w:rPr>
          <w:rFonts w:ascii="Times New Roman" w:hAnsi="Times New Roman"/>
          <w:sz w:val="24"/>
        </w:rPr>
        <w:t xml:space="preserve"> </w:t>
      </w:r>
      <w:r w:rsidR="00DB4412" w:rsidRPr="0097058A">
        <w:rPr>
          <w:rFonts w:ascii="Times New Roman" w:hAnsi="Times New Roman"/>
          <w:sz w:val="24"/>
        </w:rPr>
        <w:t>"</w:t>
      </w:r>
      <w:r w:rsidR="00DB4412">
        <w:rPr>
          <w:rFonts w:ascii="Times New Roman" w:hAnsi="Times New Roman"/>
          <w:sz w:val="24"/>
        </w:rPr>
        <w:t>a</w:t>
      </w:r>
      <w:r w:rsidR="00DB4412" w:rsidRPr="0097058A">
        <w:rPr>
          <w:rFonts w:ascii="Times New Roman" w:hAnsi="Times New Roman"/>
          <w:sz w:val="24"/>
        </w:rPr>
        <w:t xml:space="preserve"> history of dominance and subordination typically breeds inattention, even arrogance, on the part of the dominant group and distrust in the part of the subordinate group" (1999, 641).</w:t>
      </w:r>
      <w:r w:rsidR="00DB4412">
        <w:rPr>
          <w:rFonts w:ascii="Times New Roman" w:hAnsi="Times New Roman"/>
          <w:sz w:val="24"/>
        </w:rPr>
        <w:t xml:space="preserve"> Evidence “</w:t>
      </w:r>
      <w:r w:rsidR="00DB4412" w:rsidRPr="00301D66">
        <w:rPr>
          <w:rFonts w:ascii="Times New Roman" w:hAnsi="Times New Roman"/>
          <w:sz w:val="24"/>
        </w:rPr>
        <w:t xml:space="preserve">evidence that dominant groups in society have </w:t>
      </w:r>
      <w:r w:rsidR="00DB4412" w:rsidRPr="00301D66">
        <w:rPr>
          <w:rFonts w:ascii="Times New Roman" w:hAnsi="Times New Roman"/>
          <w:sz w:val="24"/>
        </w:rPr>
        <w:lastRenderedPageBreak/>
        <w:t>intentionally made it difficult or illegal for members of that group to represent themselves</w:t>
      </w:r>
      <w:r w:rsidR="00DB4412">
        <w:rPr>
          <w:rFonts w:ascii="Times New Roman" w:hAnsi="Times New Roman"/>
          <w:sz w:val="24"/>
        </w:rPr>
        <w:t xml:space="preserve">” – practices of systemic racial and political exclusion may call for equity, or descriptive representation beyond proportionality. </w:t>
      </w:r>
    </w:p>
    <w:p w14:paraId="0BD5EFD7" w14:textId="77777777" w:rsidR="00DB4412" w:rsidRDefault="00DB4412" w:rsidP="00B454A7">
      <w:pPr>
        <w:spacing w:line="360" w:lineRule="auto"/>
        <w:rPr>
          <w:rFonts w:ascii="Times New Roman" w:hAnsi="Times New Roman"/>
          <w:sz w:val="24"/>
        </w:rPr>
      </w:pPr>
    </w:p>
    <w:p w14:paraId="65FD82FB" w14:textId="77EB8F23" w:rsidR="00B24B5C" w:rsidRDefault="00536C89" w:rsidP="00B454A7">
      <w:pPr>
        <w:spacing w:line="360" w:lineRule="auto"/>
        <w:rPr>
          <w:rFonts w:ascii="Times New Roman" w:hAnsi="Times New Roman"/>
          <w:sz w:val="24"/>
        </w:rPr>
      </w:pPr>
      <w:r>
        <w:rPr>
          <w:rFonts w:ascii="Times New Roman" w:hAnsi="Times New Roman"/>
          <w:sz w:val="24"/>
        </w:rPr>
        <w:t>Descriptive</w:t>
      </w:r>
      <w:r w:rsidR="00B24B5C" w:rsidRPr="0097058A">
        <w:rPr>
          <w:rFonts w:ascii="Times New Roman" w:hAnsi="Times New Roman"/>
          <w:sz w:val="24"/>
        </w:rPr>
        <w:t xml:space="preserve"> representation is crucial in deliberative processes, such as legislative crafting. In these settings, the "open-ended quality gives communicative and informational advantages to representatives who are existentially close to the issues" (Mansbridge 1999). This becomes especially important when considering policies affecting incarcerated populations, where firsthand experience with the system can provide crucial insights into policy impacts and implementation challenges.</w:t>
      </w:r>
      <w:r w:rsidR="00B24B5C">
        <w:rPr>
          <w:rFonts w:ascii="Times New Roman" w:hAnsi="Times New Roman"/>
          <w:sz w:val="24"/>
        </w:rPr>
        <w:t xml:space="preserve"> I can attest that developing legislation surrounding incarcerated voting with Representative Miranda who is familiar with prison contexts was night and day from negotiating the final details of that policy with staffers of the Joint Ways &amp; Means committee, who did not have familiarity with prison contexts and needed to be persuaded on minutiae that to Rep Miranda, were givens. </w:t>
      </w:r>
    </w:p>
    <w:p w14:paraId="3AD8EA5B" w14:textId="77777777" w:rsidR="00B454A7" w:rsidRDefault="00B454A7" w:rsidP="00B454A7">
      <w:pPr>
        <w:spacing w:line="360" w:lineRule="auto"/>
        <w:rPr>
          <w:rFonts w:ascii="Times New Roman" w:hAnsi="Times New Roman"/>
          <w:sz w:val="24"/>
        </w:rPr>
      </w:pPr>
    </w:p>
    <w:p w14:paraId="38E07903" w14:textId="098054B0" w:rsidR="00B24B5C" w:rsidRDefault="00B24B5C" w:rsidP="00B454A7">
      <w:pPr>
        <w:spacing w:line="360" w:lineRule="auto"/>
        <w:rPr>
          <w:rFonts w:ascii="Times New Roman" w:hAnsi="Times New Roman"/>
          <w:sz w:val="24"/>
        </w:rPr>
      </w:pPr>
      <w:r w:rsidRPr="0097058A">
        <w:rPr>
          <w:rFonts w:ascii="Times New Roman" w:hAnsi="Times New Roman"/>
          <w:sz w:val="24"/>
        </w:rPr>
        <w:t xml:space="preserve">For incarcerated constituencies, these theoretical insights suggest that meaningful representation requires not just the presence of representatives with relevant lived experience, but </w:t>
      </w:r>
      <w:proofErr w:type="gramStart"/>
      <w:r w:rsidRPr="0097058A">
        <w:rPr>
          <w:rFonts w:ascii="Times New Roman" w:hAnsi="Times New Roman"/>
          <w:sz w:val="24"/>
        </w:rPr>
        <w:t>sufficient numbers</w:t>
      </w:r>
      <w:proofErr w:type="gramEnd"/>
      <w:r w:rsidRPr="0097058A">
        <w:rPr>
          <w:rFonts w:ascii="Times New Roman" w:hAnsi="Times New Roman"/>
          <w:sz w:val="24"/>
        </w:rPr>
        <w:t xml:space="preserve"> to achieve critical mass, overcome historical patterns of exclusion, and effectively engage in deliberative processes. </w:t>
      </w:r>
      <w:r>
        <w:rPr>
          <w:rFonts w:ascii="Times New Roman" w:hAnsi="Times New Roman"/>
          <w:sz w:val="24"/>
        </w:rPr>
        <w:t>For the myriad interests of Black communities and marginalized communities most affected by incarceration, proportional representation’ alone may be too low a bar as “</w:t>
      </w:r>
      <w:r w:rsidRPr="00953873">
        <w:rPr>
          <w:rFonts w:ascii="Times New Roman" w:hAnsi="Times New Roman"/>
          <w:sz w:val="24"/>
        </w:rPr>
        <w:t xml:space="preserve">disadvantaged groups often need </w:t>
      </w:r>
      <w:r>
        <w:rPr>
          <w:rFonts w:ascii="Times New Roman" w:hAnsi="Times New Roman"/>
          <w:sz w:val="24"/>
        </w:rPr>
        <w:t xml:space="preserve">[both] </w:t>
      </w:r>
      <w:r w:rsidRPr="00953873">
        <w:rPr>
          <w:rFonts w:ascii="Times New Roman" w:hAnsi="Times New Roman"/>
          <w:sz w:val="24"/>
        </w:rPr>
        <w:t>the full representation that proportionality allows in order to achieve several goals: deliberative synergy, critical mass, dispersion of influence, and a range of views within the group</w:t>
      </w:r>
      <w:r>
        <w:rPr>
          <w:rFonts w:ascii="Times New Roman" w:hAnsi="Times New Roman"/>
          <w:sz w:val="24"/>
        </w:rPr>
        <w:t>,” and also “</w:t>
      </w:r>
      <w:r w:rsidRPr="00953873">
        <w:rPr>
          <w:rFonts w:ascii="Times New Roman" w:hAnsi="Times New Roman"/>
          <w:sz w:val="24"/>
        </w:rPr>
        <w:t>critical mass to convince others – particularly members of dominant groups – that the perspectives or insights they are advancing are widely shared, genuinely felt, and deeply held within their own group. ” (Mansbridge</w:t>
      </w:r>
      <w:r>
        <w:rPr>
          <w:rFonts w:ascii="Times New Roman" w:hAnsi="Times New Roman"/>
          <w:sz w:val="24"/>
        </w:rPr>
        <w:t xml:space="preserve"> </w:t>
      </w:r>
      <w:r w:rsidRPr="00953873">
        <w:rPr>
          <w:rFonts w:ascii="Times New Roman" w:hAnsi="Times New Roman"/>
          <w:sz w:val="24"/>
        </w:rPr>
        <w:t>1999).</w:t>
      </w:r>
      <w:r>
        <w:rPr>
          <w:rFonts w:ascii="Times New Roman" w:hAnsi="Times New Roman"/>
          <w:sz w:val="24"/>
        </w:rPr>
        <w:t xml:space="preserve"> </w:t>
      </w:r>
    </w:p>
    <w:p w14:paraId="168F3186" w14:textId="77777777" w:rsidR="00B24B5C" w:rsidRPr="00AA06B0" w:rsidRDefault="00B24B5C" w:rsidP="00B24B5C">
      <w:pPr>
        <w:spacing w:line="360" w:lineRule="auto"/>
        <w:rPr>
          <w:rFonts w:ascii="Times New Roman" w:hAnsi="Times New Roman"/>
          <w:b/>
          <w:bCs/>
          <w:sz w:val="24"/>
        </w:rPr>
      </w:pPr>
    </w:p>
    <w:p w14:paraId="0E6B9575" w14:textId="77777777" w:rsidR="00B24B5C" w:rsidRPr="00082EB4" w:rsidRDefault="00B24B5C" w:rsidP="00B24B5C">
      <w:pPr>
        <w:spacing w:line="360" w:lineRule="auto"/>
        <w:rPr>
          <w:rFonts w:ascii="Times New Roman" w:hAnsi="Times New Roman"/>
          <w:sz w:val="24"/>
          <w:u w:val="single"/>
        </w:rPr>
      </w:pPr>
      <w:r w:rsidRPr="00082EB4">
        <w:rPr>
          <w:rFonts w:ascii="Times New Roman" w:hAnsi="Times New Roman"/>
          <w:sz w:val="24"/>
          <w:u w:val="single"/>
        </w:rPr>
        <w:t>Theoretical Limitations and Intersectionality</w:t>
      </w:r>
    </w:p>
    <w:p w14:paraId="505170AF" w14:textId="039B510C" w:rsidR="00B24B5C" w:rsidRDefault="00B24B5C" w:rsidP="00B454A7">
      <w:pPr>
        <w:spacing w:line="360" w:lineRule="auto"/>
        <w:rPr>
          <w:rFonts w:ascii="Times New Roman" w:hAnsi="Times New Roman"/>
          <w:sz w:val="24"/>
        </w:rPr>
      </w:pPr>
      <w:r>
        <w:rPr>
          <w:rFonts w:ascii="Times New Roman" w:hAnsi="Times New Roman"/>
          <w:sz w:val="24"/>
        </w:rPr>
        <w:t>However, descriptive representation in theory is not a guaranteed pathway to substantive representation</w:t>
      </w:r>
      <w:r w:rsidR="00297546">
        <w:rPr>
          <w:rFonts w:ascii="Times New Roman" w:hAnsi="Times New Roman"/>
          <w:sz w:val="24"/>
        </w:rPr>
        <w:t>, and its blunt overemphasis risks blanket essentialization. In</w:t>
      </w:r>
      <w:r>
        <w:rPr>
          <w:rFonts w:ascii="Times New Roman" w:hAnsi="Times New Roman"/>
          <w:sz w:val="24"/>
        </w:rPr>
        <w:t xml:space="preserve"> “Sisters in the Statehouse,” Nadia Brown (2014) </w:t>
      </w:r>
      <w:r w:rsidR="00297546">
        <w:rPr>
          <w:rFonts w:ascii="Times New Roman" w:hAnsi="Times New Roman"/>
          <w:sz w:val="24"/>
        </w:rPr>
        <w:t xml:space="preserve">takes up these limits, and argues how </w:t>
      </w:r>
      <w:r>
        <w:rPr>
          <w:rFonts w:ascii="Times New Roman" w:hAnsi="Times New Roman"/>
          <w:sz w:val="24"/>
        </w:rPr>
        <w:t xml:space="preserve">“single-axis </w:t>
      </w:r>
      <w:r>
        <w:rPr>
          <w:rFonts w:ascii="Times New Roman" w:hAnsi="Times New Roman"/>
          <w:sz w:val="24"/>
        </w:rPr>
        <w:lastRenderedPageBreak/>
        <w:t xml:space="preserve">approach[es]” to identity and representation </w:t>
      </w:r>
      <w:r w:rsidR="002E6116">
        <w:rPr>
          <w:rFonts w:ascii="Times New Roman" w:hAnsi="Times New Roman"/>
          <w:sz w:val="24"/>
        </w:rPr>
        <w:t xml:space="preserve">to – quoting </w:t>
      </w:r>
      <w:r>
        <w:rPr>
          <w:rFonts w:ascii="Times New Roman" w:hAnsi="Times New Roman"/>
          <w:sz w:val="24"/>
        </w:rPr>
        <w:t>Kimberly Crenshaw</w:t>
      </w:r>
      <w:r w:rsidR="002E6116">
        <w:rPr>
          <w:rFonts w:ascii="Times New Roman" w:hAnsi="Times New Roman"/>
          <w:sz w:val="24"/>
        </w:rPr>
        <w:t xml:space="preserve"> -- risk</w:t>
      </w:r>
      <w:r>
        <w:rPr>
          <w:rFonts w:ascii="Times New Roman" w:hAnsi="Times New Roman"/>
          <w:sz w:val="24"/>
        </w:rPr>
        <w:t xml:space="preserve"> relegat</w:t>
      </w:r>
      <w:r w:rsidR="00297546">
        <w:rPr>
          <w:rFonts w:ascii="Times New Roman" w:hAnsi="Times New Roman"/>
          <w:sz w:val="24"/>
        </w:rPr>
        <w:t>ing</w:t>
      </w:r>
      <w:r>
        <w:rPr>
          <w:rFonts w:ascii="Times New Roman" w:hAnsi="Times New Roman"/>
          <w:sz w:val="24"/>
        </w:rPr>
        <w:t xml:space="preserve"> “identity of women of color to a location that resists telling.” </w:t>
      </w:r>
      <w:r w:rsidR="00AC0425">
        <w:rPr>
          <w:rFonts w:ascii="Times New Roman" w:hAnsi="Times New Roman"/>
          <w:sz w:val="24"/>
        </w:rPr>
        <w:t>Group</w:t>
      </w:r>
      <w:r>
        <w:rPr>
          <w:rFonts w:ascii="Times New Roman" w:hAnsi="Times New Roman"/>
          <w:sz w:val="24"/>
        </w:rPr>
        <w:t xml:space="preserve"> identity</w:t>
      </w:r>
      <w:r w:rsidR="00AC0425">
        <w:rPr>
          <w:rFonts w:ascii="Times New Roman" w:hAnsi="Times New Roman"/>
          <w:sz w:val="24"/>
        </w:rPr>
        <w:t>, she argues,</w:t>
      </w:r>
      <w:r>
        <w:rPr>
          <w:rFonts w:ascii="Times New Roman" w:hAnsi="Times New Roman"/>
          <w:sz w:val="24"/>
        </w:rPr>
        <w:t xml:space="preserve"> </w:t>
      </w:r>
      <w:r w:rsidR="00AC0425">
        <w:rPr>
          <w:rFonts w:ascii="Times New Roman" w:hAnsi="Times New Roman"/>
          <w:sz w:val="24"/>
        </w:rPr>
        <w:t>doesn’t always translate</w:t>
      </w:r>
      <w:r>
        <w:rPr>
          <w:rFonts w:ascii="Times New Roman" w:hAnsi="Times New Roman"/>
          <w:sz w:val="24"/>
        </w:rPr>
        <w:t xml:space="preserve"> to shared group experiences and interests, </w:t>
      </w:r>
      <w:r w:rsidR="00AC0425">
        <w:rPr>
          <w:rFonts w:ascii="Times New Roman" w:hAnsi="Times New Roman"/>
          <w:sz w:val="24"/>
        </w:rPr>
        <w:t xml:space="preserve">and these </w:t>
      </w:r>
      <w:r>
        <w:rPr>
          <w:rFonts w:ascii="Times New Roman" w:hAnsi="Times New Roman"/>
          <w:sz w:val="24"/>
        </w:rPr>
        <w:t>assumptions of group cohesion</w:t>
      </w:r>
      <w:r w:rsidR="00AC0425">
        <w:rPr>
          <w:rFonts w:ascii="Times New Roman" w:hAnsi="Times New Roman"/>
          <w:sz w:val="24"/>
        </w:rPr>
        <w:t xml:space="preserve"> that help explain</w:t>
      </w:r>
      <w:r>
        <w:rPr>
          <w:rFonts w:ascii="Times New Roman" w:hAnsi="Times New Roman"/>
          <w:sz w:val="24"/>
        </w:rPr>
        <w:t xml:space="preserve"> Michael Dawson’s theory of linked fate</w:t>
      </w:r>
      <w:r w:rsidR="00AC0425">
        <w:rPr>
          <w:rFonts w:ascii="Times New Roman" w:hAnsi="Times New Roman"/>
          <w:sz w:val="24"/>
        </w:rPr>
        <w:t xml:space="preserve"> fall short of explaining Black legislative behavior</w:t>
      </w:r>
      <w:r>
        <w:rPr>
          <w:rFonts w:ascii="Times New Roman" w:hAnsi="Times New Roman"/>
          <w:sz w:val="24"/>
        </w:rPr>
        <w:t xml:space="preserve">. Instead, she </w:t>
      </w:r>
      <w:r w:rsidR="00746F36">
        <w:rPr>
          <w:rFonts w:ascii="Times New Roman" w:hAnsi="Times New Roman"/>
          <w:sz w:val="24"/>
        </w:rPr>
        <w:t>takes a poststructuralis</w:t>
      </w:r>
      <w:r w:rsidR="00082EB4">
        <w:rPr>
          <w:rFonts w:ascii="Times New Roman" w:hAnsi="Times New Roman"/>
          <w:sz w:val="24"/>
        </w:rPr>
        <w:t>t</w:t>
      </w:r>
      <w:r w:rsidR="00746F36">
        <w:rPr>
          <w:rFonts w:ascii="Times New Roman" w:hAnsi="Times New Roman"/>
          <w:sz w:val="24"/>
        </w:rPr>
        <w:t xml:space="preserve"> approach to group membership, </w:t>
      </w:r>
      <w:r>
        <w:rPr>
          <w:rFonts w:ascii="Times New Roman" w:hAnsi="Times New Roman"/>
          <w:sz w:val="24"/>
        </w:rPr>
        <w:t>argu</w:t>
      </w:r>
      <w:r w:rsidR="00746F36">
        <w:rPr>
          <w:rFonts w:ascii="Times New Roman" w:hAnsi="Times New Roman"/>
          <w:sz w:val="24"/>
        </w:rPr>
        <w:t>ing</w:t>
      </w:r>
      <w:r>
        <w:rPr>
          <w:rFonts w:ascii="Times New Roman" w:hAnsi="Times New Roman"/>
          <w:sz w:val="24"/>
        </w:rPr>
        <w:t xml:space="preserve"> that </w:t>
      </w:r>
      <w:r w:rsidR="00746F36">
        <w:rPr>
          <w:rFonts w:ascii="Times New Roman" w:hAnsi="Times New Roman"/>
          <w:sz w:val="24"/>
        </w:rPr>
        <w:t>it</w:t>
      </w:r>
      <w:r>
        <w:rPr>
          <w:rFonts w:ascii="Times New Roman" w:hAnsi="Times New Roman"/>
          <w:sz w:val="24"/>
        </w:rPr>
        <w:t xml:space="preserve"> is a dynamic process of social identification where legislators constantly negotiate multiple, intersecting identities. To illustrate the limitations of linked fate in the context of representation –suppositions that group members will “give ground on their individual interests to meet larger needs of the group” -- and claims that “belonging to a marginalized group” will mean “a representative will necessarily have the same substantive interests,” she highlights Dovi’s (2002) example of some Black legislators’ reticence to support HIV/AIDS legislation</w:t>
      </w:r>
      <w:r w:rsidR="00746F36">
        <w:rPr>
          <w:rFonts w:ascii="Times New Roman" w:hAnsi="Times New Roman"/>
          <w:sz w:val="24"/>
        </w:rPr>
        <w:t xml:space="preserve">, despite the epidemics impact on Black men in the US. This example is particularly apt for our context, as it suggests that stigmatized issues and populations may disincentivize legislators who might otherwise draw on their identity in support of policy – possibly affecting issues related to incarceration. </w:t>
      </w:r>
    </w:p>
    <w:p w14:paraId="707C033B" w14:textId="77777777" w:rsidR="003617C5" w:rsidRDefault="003617C5" w:rsidP="00B454A7">
      <w:pPr>
        <w:spacing w:line="360" w:lineRule="auto"/>
        <w:rPr>
          <w:rFonts w:ascii="Times New Roman" w:hAnsi="Times New Roman"/>
          <w:sz w:val="24"/>
        </w:rPr>
      </w:pPr>
    </w:p>
    <w:p w14:paraId="2E3ABC29" w14:textId="5ECFEDB5" w:rsidR="00F02212" w:rsidRDefault="003617C5" w:rsidP="00B454A7">
      <w:pPr>
        <w:spacing w:line="360" w:lineRule="auto"/>
        <w:rPr>
          <w:rFonts w:ascii="Times New Roman" w:hAnsi="Times New Roman"/>
          <w:sz w:val="24"/>
        </w:rPr>
      </w:pPr>
      <w:r>
        <w:rPr>
          <w:rFonts w:ascii="Times New Roman" w:hAnsi="Times New Roman"/>
          <w:sz w:val="24"/>
        </w:rPr>
        <w:t>Black women in the state house, Brown argues</w:t>
      </w:r>
      <w:r w:rsidR="00082EB4">
        <w:rPr>
          <w:rFonts w:ascii="Times New Roman" w:hAnsi="Times New Roman"/>
          <w:sz w:val="24"/>
        </w:rPr>
        <w:t>,</w:t>
      </w:r>
      <w:r>
        <w:rPr>
          <w:rFonts w:ascii="Times New Roman" w:hAnsi="Times New Roman"/>
          <w:sz w:val="24"/>
        </w:rPr>
        <w:t xml:space="preserve"> navigate identity differently than men of color or white women to arrive at policy positions – which may be different than </w:t>
      </w:r>
      <w:proofErr w:type="spellStart"/>
      <w:r>
        <w:rPr>
          <w:rFonts w:ascii="Times New Roman" w:hAnsi="Times New Roman"/>
          <w:sz w:val="24"/>
        </w:rPr>
        <w:t xml:space="preserve">each </w:t>
      </w:r>
      <w:proofErr w:type="gramStart"/>
      <w:r>
        <w:rPr>
          <w:rFonts w:ascii="Times New Roman" w:hAnsi="Times New Roman"/>
          <w:sz w:val="24"/>
        </w:rPr>
        <w:t>others’</w:t>
      </w:r>
      <w:proofErr w:type="spellEnd"/>
      <w:proofErr w:type="gramEnd"/>
      <w:r>
        <w:rPr>
          <w:rFonts w:ascii="Times New Roman" w:hAnsi="Times New Roman"/>
          <w:sz w:val="24"/>
        </w:rPr>
        <w:t xml:space="preserve">. Her theory of “representational identity” combines Mansbridge, linked fate, and Black Feminist through to argue that Black women legislators experience marginalization on multiple axes. Identity is not static, and Black women legislators take up different facets of their identity in different contexts </w:t>
      </w:r>
      <w:r w:rsidR="00F02212">
        <w:rPr>
          <w:rFonts w:ascii="Times New Roman" w:hAnsi="Times New Roman"/>
          <w:sz w:val="24"/>
        </w:rPr>
        <w:t>and</w:t>
      </w:r>
      <w:r>
        <w:rPr>
          <w:rFonts w:ascii="Times New Roman" w:hAnsi="Times New Roman"/>
          <w:sz w:val="24"/>
        </w:rPr>
        <w:t xml:space="preserve"> generally </w:t>
      </w:r>
      <w:r w:rsidR="00F02212">
        <w:rPr>
          <w:rFonts w:ascii="Times New Roman" w:hAnsi="Times New Roman"/>
          <w:sz w:val="24"/>
        </w:rPr>
        <w:t xml:space="preserve">empathize with marginalization experienced by groups other than their own – including LGBTQ issues. </w:t>
      </w:r>
    </w:p>
    <w:p w14:paraId="2E53EF7D" w14:textId="77777777" w:rsidR="00F02212" w:rsidRDefault="00F02212" w:rsidP="00B454A7">
      <w:pPr>
        <w:spacing w:line="360" w:lineRule="auto"/>
        <w:rPr>
          <w:rFonts w:ascii="Times New Roman" w:hAnsi="Times New Roman"/>
          <w:sz w:val="24"/>
        </w:rPr>
      </w:pPr>
    </w:p>
    <w:p w14:paraId="4D7F6A5B" w14:textId="55F701CB" w:rsidR="003617C5" w:rsidRDefault="00F02212" w:rsidP="00B454A7">
      <w:pPr>
        <w:spacing w:line="360" w:lineRule="auto"/>
        <w:rPr>
          <w:rFonts w:ascii="Times New Roman" w:hAnsi="Times New Roman"/>
          <w:sz w:val="24"/>
        </w:rPr>
      </w:pPr>
      <w:r>
        <w:rPr>
          <w:rFonts w:ascii="Times New Roman" w:hAnsi="Times New Roman"/>
          <w:sz w:val="24"/>
        </w:rPr>
        <w:t xml:space="preserve">All of this, however, presupposes that descriptive representation is proportionally or appropriately achieved. </w:t>
      </w:r>
    </w:p>
    <w:p w14:paraId="47A019C5" w14:textId="77777777" w:rsidR="00B24B5C" w:rsidRPr="00227CD0" w:rsidRDefault="00B24B5C" w:rsidP="00B24B5C">
      <w:pPr>
        <w:rPr>
          <w:rFonts w:ascii="Times New Roman" w:hAnsi="Times New Roman"/>
          <w:sz w:val="24"/>
        </w:rPr>
      </w:pPr>
    </w:p>
    <w:p w14:paraId="64097561" w14:textId="77777777" w:rsidR="00B24B5C" w:rsidRPr="0082521E" w:rsidRDefault="00B24B5C" w:rsidP="00B24B5C">
      <w:pPr>
        <w:rPr>
          <w:rFonts w:ascii="Times New Roman" w:hAnsi="Times New Roman"/>
          <w:sz w:val="24"/>
          <w:u w:val="single"/>
        </w:rPr>
      </w:pPr>
      <w:r w:rsidRPr="0082521E">
        <w:rPr>
          <w:rFonts w:ascii="Times New Roman" w:hAnsi="Times New Roman"/>
          <w:sz w:val="24"/>
          <w:u w:val="single"/>
        </w:rPr>
        <w:t>How is Descriptive Representation Achieved or Stymied?</w:t>
      </w:r>
    </w:p>
    <w:p w14:paraId="59E8E9C5" w14:textId="77777777" w:rsidR="00B24B5C" w:rsidRDefault="00B24B5C" w:rsidP="00B24B5C">
      <w:pPr>
        <w:spacing w:line="360" w:lineRule="auto"/>
        <w:rPr>
          <w:rFonts w:ascii="Times New Roman" w:hAnsi="Times New Roman"/>
          <w:sz w:val="24"/>
        </w:rPr>
      </w:pPr>
      <w:r w:rsidRPr="001E2B33">
        <w:rPr>
          <w:rFonts w:ascii="Times New Roman" w:hAnsi="Times New Roman"/>
          <w:sz w:val="24"/>
        </w:rPr>
        <w:t xml:space="preserve">While theories of descriptive representation illuminate its importance for democratic legitimacy and substantive outcomes, achieving meaningful descriptive representation faces numerous structural and institutional barriers. </w:t>
      </w:r>
      <w:r>
        <w:rPr>
          <w:rFonts w:ascii="Times New Roman" w:hAnsi="Times New Roman"/>
          <w:sz w:val="24"/>
        </w:rPr>
        <w:t xml:space="preserve">An extensive literature examines myriad factors such as </w:t>
      </w:r>
      <w:r w:rsidRPr="00953873">
        <w:rPr>
          <w:rFonts w:ascii="Times New Roman" w:hAnsi="Times New Roman"/>
          <w:sz w:val="24"/>
        </w:rPr>
        <w:t>population demographic factors and identities, makeups of legislative bodies</w:t>
      </w:r>
      <w:r>
        <w:rPr>
          <w:rFonts w:ascii="Times New Roman" w:hAnsi="Times New Roman"/>
          <w:sz w:val="24"/>
        </w:rPr>
        <w:t xml:space="preserve">, and electoral and </w:t>
      </w:r>
      <w:r>
        <w:rPr>
          <w:rFonts w:ascii="Times New Roman" w:hAnsi="Times New Roman"/>
          <w:sz w:val="24"/>
        </w:rPr>
        <w:lastRenderedPageBreak/>
        <w:t>apportionment policies</w:t>
      </w:r>
      <w:r w:rsidRPr="001E2B33">
        <w:rPr>
          <w:rFonts w:ascii="Times New Roman" w:hAnsi="Times New Roman"/>
          <w:sz w:val="24"/>
        </w:rPr>
        <w:t xml:space="preserve"> </w:t>
      </w:r>
      <w:r>
        <w:rPr>
          <w:rFonts w:ascii="Times New Roman" w:hAnsi="Times New Roman"/>
          <w:sz w:val="24"/>
        </w:rPr>
        <w:t xml:space="preserve">– many of which are </w:t>
      </w:r>
      <w:r w:rsidRPr="001E2B33">
        <w:rPr>
          <w:rFonts w:ascii="Times New Roman" w:hAnsi="Times New Roman"/>
          <w:sz w:val="24"/>
        </w:rPr>
        <w:t>particularly salient for communities impacted by incarceration, where multiple forms of exclusion intersect.</w:t>
      </w:r>
    </w:p>
    <w:p w14:paraId="575D1B1C" w14:textId="77777777" w:rsidR="00B24B5C" w:rsidRDefault="00B24B5C" w:rsidP="00B24B5C">
      <w:pPr>
        <w:spacing w:line="360" w:lineRule="auto"/>
        <w:rPr>
          <w:rFonts w:ascii="Times New Roman" w:hAnsi="Times New Roman"/>
          <w:b/>
          <w:bCs/>
          <w:sz w:val="24"/>
        </w:rPr>
      </w:pPr>
    </w:p>
    <w:p w14:paraId="29E5D445" w14:textId="77777777" w:rsidR="00B24B5C" w:rsidRPr="009E069B" w:rsidRDefault="00B24B5C" w:rsidP="00B24B5C">
      <w:pPr>
        <w:spacing w:line="360" w:lineRule="auto"/>
        <w:rPr>
          <w:rFonts w:ascii="Times New Roman" w:hAnsi="Times New Roman"/>
          <w:sz w:val="24"/>
          <w:u w:val="single"/>
        </w:rPr>
      </w:pPr>
      <w:r w:rsidRPr="009E069B">
        <w:rPr>
          <w:rFonts w:ascii="Times New Roman" w:hAnsi="Times New Roman"/>
          <w:sz w:val="24"/>
          <w:u w:val="single"/>
        </w:rPr>
        <w:t>Demographics and District Composition</w:t>
      </w:r>
    </w:p>
    <w:p w14:paraId="710D1F66" w14:textId="7881F291" w:rsidR="00B24B5C" w:rsidRDefault="00B24B5C" w:rsidP="00B24B5C">
      <w:pPr>
        <w:spacing w:line="360" w:lineRule="auto"/>
        <w:rPr>
          <w:rFonts w:ascii="Times New Roman" w:hAnsi="Times New Roman"/>
          <w:sz w:val="24"/>
        </w:rPr>
      </w:pPr>
      <w:r>
        <w:rPr>
          <w:rFonts w:ascii="Times New Roman" w:hAnsi="Times New Roman"/>
          <w:sz w:val="24"/>
        </w:rPr>
        <w:t>Early scholarship on Black descriptive representation positive relatively straightforward, linear relationships between population demographics and congruence in legislative bodies. M</w:t>
      </w:r>
      <w:r w:rsidRPr="00953873">
        <w:rPr>
          <w:rFonts w:ascii="Times New Roman" w:hAnsi="Times New Roman"/>
          <w:sz w:val="24"/>
        </w:rPr>
        <w:t xml:space="preserve">any </w:t>
      </w:r>
      <w:r>
        <w:rPr>
          <w:rFonts w:ascii="Times New Roman" w:hAnsi="Times New Roman"/>
          <w:sz w:val="24"/>
        </w:rPr>
        <w:t>scholars find</w:t>
      </w:r>
      <w:r w:rsidRPr="00953873">
        <w:rPr>
          <w:rFonts w:ascii="Times New Roman" w:hAnsi="Times New Roman"/>
          <w:sz w:val="24"/>
        </w:rPr>
        <w:t xml:space="preserve"> a linear relationship: the greater the Black population and broader minority population, the greater the Black legislative seat share or likelihood of electing black state legislators (Squire 1992, King-Meadows and Schaller 2006, </w:t>
      </w:r>
      <w:r w:rsidR="00DD6492">
        <w:rPr>
          <w:rFonts w:ascii="Times New Roman" w:hAnsi="Times New Roman"/>
          <w:sz w:val="24"/>
        </w:rPr>
        <w:t>Reingold 2019</w:t>
      </w:r>
      <w:r w:rsidRPr="00953873">
        <w:rPr>
          <w:rFonts w:ascii="Times New Roman" w:hAnsi="Times New Roman"/>
          <w:sz w:val="24"/>
        </w:rPr>
        <w:t>). Others considering state and district demographics find variation by demographic population density – that more concentrated Black populations within districts increase black seat share (</w:t>
      </w:r>
      <w:proofErr w:type="spellStart"/>
      <w:r w:rsidRPr="00953873">
        <w:rPr>
          <w:rFonts w:ascii="Times New Roman" w:hAnsi="Times New Roman"/>
          <w:sz w:val="24"/>
        </w:rPr>
        <w:t>Grofman</w:t>
      </w:r>
      <w:proofErr w:type="spellEnd"/>
      <w:r w:rsidRPr="00953873">
        <w:rPr>
          <w:rFonts w:ascii="Times New Roman" w:hAnsi="Times New Roman"/>
          <w:sz w:val="24"/>
        </w:rPr>
        <w:t xml:space="preserve"> and Handley 1989). </w:t>
      </w:r>
    </w:p>
    <w:p w14:paraId="1F7A7F12" w14:textId="77777777" w:rsidR="00B24B5C" w:rsidRDefault="00B24B5C" w:rsidP="00B24B5C">
      <w:pPr>
        <w:spacing w:line="360" w:lineRule="auto"/>
        <w:rPr>
          <w:rFonts w:ascii="Times New Roman" w:hAnsi="Times New Roman"/>
          <w:sz w:val="24"/>
        </w:rPr>
      </w:pPr>
    </w:p>
    <w:p w14:paraId="3969A87C" w14:textId="2799DA71" w:rsidR="00B24B5C" w:rsidRDefault="00B24B5C" w:rsidP="00B24B5C">
      <w:pPr>
        <w:spacing w:line="360" w:lineRule="auto"/>
        <w:rPr>
          <w:rFonts w:ascii="Times New Roman" w:hAnsi="Times New Roman"/>
          <w:i/>
          <w:iCs/>
          <w:sz w:val="24"/>
        </w:rPr>
      </w:pPr>
      <w:r w:rsidRPr="00953873">
        <w:rPr>
          <w:rFonts w:ascii="Times New Roman" w:hAnsi="Times New Roman"/>
          <w:sz w:val="24"/>
        </w:rPr>
        <w:t xml:space="preserve">More recently, however, Christopher Clark complicated this picture in a study of state legislatures from 1966-2010. Invoking literature and theories of “racial threat,” he finds that this relationship exists only up to a point when descriptive representation is considered in terms of Black representation ratio, “the black seat </w:t>
      </w:r>
      <w:proofErr w:type="gramStart"/>
      <w:r w:rsidRPr="00953873">
        <w:rPr>
          <w:rFonts w:ascii="Times New Roman" w:hAnsi="Times New Roman"/>
          <w:sz w:val="24"/>
        </w:rPr>
        <w:t>share</w:t>
      </w:r>
      <w:proofErr w:type="gramEnd"/>
      <w:r w:rsidRPr="00953873">
        <w:rPr>
          <w:rFonts w:ascii="Times New Roman" w:hAnsi="Times New Roman"/>
          <w:sz w:val="24"/>
        </w:rPr>
        <w:t xml:space="preserve"> relative to the proportion of the state population that is black” (Clark </w:t>
      </w:r>
      <w:r>
        <w:rPr>
          <w:rFonts w:ascii="Times New Roman" w:hAnsi="Times New Roman"/>
          <w:sz w:val="24"/>
        </w:rPr>
        <w:t>2019</w:t>
      </w:r>
      <w:r w:rsidRPr="00953873">
        <w:rPr>
          <w:rFonts w:ascii="Times New Roman" w:hAnsi="Times New Roman"/>
          <w:sz w:val="24"/>
        </w:rPr>
        <w:t xml:space="preserve">).  </w:t>
      </w:r>
      <w:r>
        <w:rPr>
          <w:rFonts w:ascii="Times New Roman" w:hAnsi="Times New Roman"/>
          <w:sz w:val="24"/>
        </w:rPr>
        <w:t>While</w:t>
      </w:r>
      <w:r w:rsidRPr="00953873">
        <w:rPr>
          <w:rFonts w:ascii="Times New Roman" w:hAnsi="Times New Roman"/>
          <w:sz w:val="24"/>
        </w:rPr>
        <w:t xml:space="preserve"> initially</w:t>
      </w:r>
      <w:r>
        <w:rPr>
          <w:rFonts w:ascii="Times New Roman" w:hAnsi="Times New Roman"/>
          <w:sz w:val="24"/>
        </w:rPr>
        <w:t>,</w:t>
      </w:r>
      <w:r w:rsidRPr="00953873">
        <w:rPr>
          <w:rFonts w:ascii="Times New Roman" w:hAnsi="Times New Roman"/>
          <w:sz w:val="24"/>
        </w:rPr>
        <w:t xml:space="preserve"> larger black state populations correlate with a larger proportion of Black legislators, this normatively anticipated relationship </w:t>
      </w:r>
      <w:r>
        <w:rPr>
          <w:rFonts w:ascii="Times New Roman" w:hAnsi="Times New Roman"/>
          <w:sz w:val="24"/>
        </w:rPr>
        <w:t xml:space="preserve">eventually inverts and </w:t>
      </w:r>
      <w:r w:rsidRPr="00953873">
        <w:rPr>
          <w:rFonts w:ascii="Times New Roman" w:hAnsi="Times New Roman"/>
          <w:sz w:val="24"/>
        </w:rPr>
        <w:t xml:space="preserve">“increases in the black state population depress the black representation ratio.” </w:t>
      </w:r>
      <w:r>
        <w:rPr>
          <w:rFonts w:ascii="Times New Roman" w:hAnsi="Times New Roman"/>
          <w:sz w:val="24"/>
        </w:rPr>
        <w:t>This inversion, Clark argues, is evidence for not discounting racial threat hypotheses</w:t>
      </w:r>
      <w:r w:rsidR="00300AE3">
        <w:rPr>
          <w:rFonts w:ascii="Times New Roman" w:hAnsi="Times New Roman"/>
          <w:sz w:val="24"/>
        </w:rPr>
        <w:t>.</w:t>
      </w:r>
      <w:r>
        <w:rPr>
          <w:rFonts w:ascii="Times New Roman" w:hAnsi="Times New Roman"/>
          <w:sz w:val="24"/>
        </w:rPr>
        <w:t xml:space="preserve"> </w:t>
      </w:r>
      <w:r w:rsidR="00300AE3">
        <w:rPr>
          <w:rFonts w:ascii="Times New Roman" w:hAnsi="Times New Roman"/>
          <w:sz w:val="24"/>
        </w:rPr>
        <w:t>It</w:t>
      </w:r>
      <w:r>
        <w:rPr>
          <w:rFonts w:ascii="Times New Roman" w:hAnsi="Times New Roman"/>
          <w:sz w:val="24"/>
        </w:rPr>
        <w:t xml:space="preserve"> shows that “racial/ethnic diversity is a necessary but not sufficient condition for explaining black descriptive representation.” </w:t>
      </w:r>
      <w:r w:rsidRPr="00300AE3">
        <w:rPr>
          <w:rFonts w:ascii="Times New Roman" w:hAnsi="Times New Roman"/>
          <w:i/>
          <w:iCs/>
          <w:sz w:val="24"/>
        </w:rPr>
        <w:t xml:space="preserve">Critically, it suggests that states with large black populations are not willing to draw majority-minority districts beyond what is required by Section 2 of the Voting Rights Amendment (VRA). </w:t>
      </w:r>
    </w:p>
    <w:p w14:paraId="2C271C00" w14:textId="77777777" w:rsidR="00300AE3" w:rsidRDefault="00300AE3" w:rsidP="00B24B5C">
      <w:pPr>
        <w:spacing w:line="360" w:lineRule="auto"/>
        <w:rPr>
          <w:rFonts w:ascii="Times New Roman" w:hAnsi="Times New Roman"/>
          <w:i/>
          <w:iCs/>
          <w:sz w:val="24"/>
        </w:rPr>
      </w:pPr>
    </w:p>
    <w:p w14:paraId="41E6D373" w14:textId="5598D49A" w:rsidR="00300AE3" w:rsidRPr="00300AE3" w:rsidRDefault="00300AE3" w:rsidP="00B24B5C">
      <w:pPr>
        <w:spacing w:line="360" w:lineRule="auto"/>
        <w:rPr>
          <w:rFonts w:ascii="Times New Roman" w:hAnsi="Times New Roman"/>
          <w:sz w:val="24"/>
        </w:rPr>
      </w:pPr>
      <w:r>
        <w:rPr>
          <w:rFonts w:ascii="Times New Roman" w:hAnsi="Times New Roman"/>
          <w:sz w:val="24"/>
        </w:rPr>
        <w:t>That the “appetite” of white dominated legislative institutions to cede power and redress historic inequality is limited to the “portion” required by law undergirds the importance of democratic, equity-</w:t>
      </w:r>
      <w:r w:rsidR="008F147A">
        <w:rPr>
          <w:rFonts w:ascii="Times New Roman" w:hAnsi="Times New Roman"/>
          <w:sz w:val="24"/>
        </w:rPr>
        <w:t xml:space="preserve">centered policy – which I argue incarcerated voting is a piece. It also raises the question: to what extent do further barriers to representation represent pathways to candidacy, voters, parties or other institutional factors? </w:t>
      </w:r>
    </w:p>
    <w:p w14:paraId="257179CF" w14:textId="77777777" w:rsidR="00B24B5C" w:rsidRDefault="00B24B5C" w:rsidP="00B24B5C">
      <w:pPr>
        <w:spacing w:line="360" w:lineRule="auto"/>
        <w:rPr>
          <w:rFonts w:ascii="Times New Roman" w:hAnsi="Times New Roman"/>
          <w:sz w:val="24"/>
        </w:rPr>
      </w:pPr>
    </w:p>
    <w:p w14:paraId="0D5ACF19" w14:textId="74DEE23A" w:rsidR="00B24B5C" w:rsidRPr="009E069B" w:rsidRDefault="00B24B5C" w:rsidP="00B24B5C">
      <w:pPr>
        <w:spacing w:line="360" w:lineRule="auto"/>
        <w:rPr>
          <w:rFonts w:ascii="Times New Roman" w:hAnsi="Times New Roman"/>
          <w:sz w:val="24"/>
          <w:u w:val="single"/>
        </w:rPr>
      </w:pPr>
      <w:r w:rsidRPr="009E069B">
        <w:rPr>
          <w:rFonts w:ascii="Times New Roman" w:hAnsi="Times New Roman"/>
          <w:sz w:val="24"/>
          <w:u w:val="single"/>
        </w:rPr>
        <w:t xml:space="preserve">Supply </w:t>
      </w:r>
      <w:r w:rsidR="009E069B">
        <w:rPr>
          <w:rFonts w:ascii="Times New Roman" w:hAnsi="Times New Roman"/>
          <w:sz w:val="24"/>
          <w:u w:val="single"/>
        </w:rPr>
        <w:t>v.</w:t>
      </w:r>
      <w:r w:rsidRPr="009E069B">
        <w:rPr>
          <w:rFonts w:ascii="Times New Roman" w:hAnsi="Times New Roman"/>
          <w:sz w:val="24"/>
          <w:u w:val="single"/>
        </w:rPr>
        <w:t xml:space="preserve"> Demand Claims</w:t>
      </w:r>
    </w:p>
    <w:p w14:paraId="712C827C" w14:textId="43CB3E7E" w:rsidR="00B24B5C" w:rsidRDefault="00B24B5C" w:rsidP="00B24B5C">
      <w:pPr>
        <w:spacing w:line="360" w:lineRule="auto"/>
        <w:rPr>
          <w:rFonts w:ascii="Times New Roman" w:hAnsi="Times New Roman"/>
          <w:sz w:val="24"/>
        </w:rPr>
      </w:pPr>
      <w:r w:rsidRPr="00953873">
        <w:rPr>
          <w:rFonts w:ascii="Times New Roman" w:hAnsi="Times New Roman"/>
          <w:sz w:val="24"/>
        </w:rPr>
        <w:t>Scholars of numerical representation frame descriptive representation gaps in terms of both supply and demand side factors</w:t>
      </w:r>
      <w:r>
        <w:rPr>
          <w:rFonts w:ascii="Times New Roman" w:hAnsi="Times New Roman"/>
          <w:sz w:val="24"/>
        </w:rPr>
        <w:t>, both</w:t>
      </w:r>
      <w:r w:rsidRPr="00953873">
        <w:rPr>
          <w:rFonts w:ascii="Times New Roman" w:hAnsi="Times New Roman"/>
          <w:sz w:val="24"/>
        </w:rPr>
        <w:t xml:space="preserve"> </w:t>
      </w:r>
      <w:r>
        <w:rPr>
          <w:rFonts w:ascii="Times New Roman" w:hAnsi="Times New Roman"/>
          <w:sz w:val="24"/>
        </w:rPr>
        <w:t>illustrating</w:t>
      </w:r>
      <w:r w:rsidRPr="00953873">
        <w:rPr>
          <w:rFonts w:ascii="Times New Roman" w:hAnsi="Times New Roman"/>
          <w:sz w:val="24"/>
        </w:rPr>
        <w:t xml:space="preserve"> how </w:t>
      </w:r>
      <w:r>
        <w:rPr>
          <w:rFonts w:ascii="Times New Roman" w:hAnsi="Times New Roman"/>
          <w:sz w:val="24"/>
        </w:rPr>
        <w:t>structural racism</w:t>
      </w:r>
      <w:r w:rsidRPr="00953873">
        <w:rPr>
          <w:rFonts w:ascii="Times New Roman" w:hAnsi="Times New Roman"/>
          <w:sz w:val="24"/>
        </w:rPr>
        <w:t xml:space="preserve"> and class inequality generates self-reproducing feedback cycles</w:t>
      </w:r>
      <w:r>
        <w:rPr>
          <w:rFonts w:ascii="Times New Roman" w:hAnsi="Times New Roman"/>
          <w:sz w:val="24"/>
        </w:rPr>
        <w:t xml:space="preserve">. On the supply side, </w:t>
      </w:r>
      <w:r w:rsidR="00244529">
        <w:rPr>
          <w:rFonts w:ascii="Times New Roman" w:hAnsi="Times New Roman"/>
          <w:sz w:val="24"/>
        </w:rPr>
        <w:t>findings that lacking</w:t>
      </w:r>
      <w:r>
        <w:rPr>
          <w:rFonts w:ascii="Times New Roman" w:hAnsi="Times New Roman"/>
          <w:sz w:val="24"/>
        </w:rPr>
        <w:t xml:space="preserve"> </w:t>
      </w:r>
      <w:r w:rsidRPr="00953873">
        <w:rPr>
          <w:rFonts w:ascii="Times New Roman" w:hAnsi="Times New Roman"/>
          <w:sz w:val="24"/>
        </w:rPr>
        <w:t xml:space="preserve">access to resources and self-perceptions may reduce </w:t>
      </w:r>
      <w:r w:rsidR="00DD54AF">
        <w:rPr>
          <w:rFonts w:ascii="Times New Roman" w:hAnsi="Times New Roman"/>
          <w:sz w:val="24"/>
        </w:rPr>
        <w:t xml:space="preserve">the </w:t>
      </w:r>
      <w:r w:rsidRPr="00953873">
        <w:rPr>
          <w:rFonts w:ascii="Times New Roman" w:hAnsi="Times New Roman"/>
          <w:sz w:val="24"/>
        </w:rPr>
        <w:t>numbers of</w:t>
      </w:r>
      <w:r w:rsidR="009D51CA">
        <w:rPr>
          <w:rFonts w:ascii="Times New Roman" w:hAnsi="Times New Roman"/>
          <w:sz w:val="24"/>
        </w:rPr>
        <w:t xml:space="preserve"> women </w:t>
      </w:r>
      <w:r w:rsidR="00244529">
        <w:rPr>
          <w:rFonts w:ascii="Times New Roman" w:hAnsi="Times New Roman"/>
          <w:sz w:val="24"/>
        </w:rPr>
        <w:t xml:space="preserve">and minority </w:t>
      </w:r>
      <w:r w:rsidR="009D51CA">
        <w:rPr>
          <w:rFonts w:ascii="Times New Roman" w:hAnsi="Times New Roman"/>
          <w:sz w:val="24"/>
        </w:rPr>
        <w:t>candidates</w:t>
      </w:r>
      <w:r w:rsidR="00244529">
        <w:rPr>
          <w:rFonts w:ascii="Times New Roman" w:hAnsi="Times New Roman"/>
          <w:sz w:val="24"/>
        </w:rPr>
        <w:t xml:space="preserve"> </w:t>
      </w:r>
      <w:r w:rsidRPr="00953873">
        <w:rPr>
          <w:rFonts w:ascii="Times New Roman" w:hAnsi="Times New Roman"/>
          <w:sz w:val="24"/>
        </w:rPr>
        <w:t>(Lawless and Fox 2005</w:t>
      </w:r>
      <w:r w:rsidR="00244529">
        <w:rPr>
          <w:rFonts w:ascii="Times New Roman" w:hAnsi="Times New Roman"/>
          <w:sz w:val="24"/>
        </w:rPr>
        <w:t>, Shah 2014</w:t>
      </w:r>
      <w:r w:rsidRPr="00953873">
        <w:rPr>
          <w:rFonts w:ascii="Times New Roman" w:hAnsi="Times New Roman"/>
          <w:sz w:val="24"/>
        </w:rPr>
        <w:t>)</w:t>
      </w:r>
      <w:r w:rsidR="00244529">
        <w:rPr>
          <w:rFonts w:ascii="Times New Roman" w:hAnsi="Times New Roman"/>
          <w:sz w:val="24"/>
        </w:rPr>
        <w:t xml:space="preserve">. </w:t>
      </w:r>
      <w:proofErr w:type="spellStart"/>
      <w:r w:rsidR="0093380C">
        <w:rPr>
          <w:rFonts w:ascii="Times New Roman" w:hAnsi="Times New Roman"/>
          <w:sz w:val="24"/>
        </w:rPr>
        <w:t>Jeunke</w:t>
      </w:r>
      <w:proofErr w:type="spellEnd"/>
      <w:r w:rsidR="0093380C">
        <w:rPr>
          <w:rFonts w:ascii="Times New Roman" w:hAnsi="Times New Roman"/>
          <w:sz w:val="24"/>
        </w:rPr>
        <w:t xml:space="preserve"> and Shah (2015) find Latino candidates less likely to run in white-majority districts. </w:t>
      </w:r>
      <w:r>
        <w:rPr>
          <w:rFonts w:ascii="Times New Roman" w:hAnsi="Times New Roman"/>
          <w:sz w:val="24"/>
        </w:rPr>
        <w:t xml:space="preserve">This dynamic </w:t>
      </w:r>
      <w:r w:rsidR="00244529">
        <w:rPr>
          <w:rFonts w:ascii="Times New Roman" w:hAnsi="Times New Roman"/>
          <w:sz w:val="24"/>
        </w:rPr>
        <w:t>also</w:t>
      </w:r>
      <w:r>
        <w:rPr>
          <w:rFonts w:ascii="Times New Roman" w:hAnsi="Times New Roman"/>
          <w:sz w:val="24"/>
        </w:rPr>
        <w:t xml:space="preserve"> affects working-class and economically marginalized communities, where material barriers compound other forms of exclusion (Carnes 2013, 2013).</w:t>
      </w:r>
      <w:r w:rsidR="00244529">
        <w:rPr>
          <w:rFonts w:ascii="Times New Roman" w:hAnsi="Times New Roman"/>
          <w:sz w:val="24"/>
        </w:rPr>
        <w:t xml:space="preserve"> These findings underscore </w:t>
      </w:r>
      <w:r w:rsidR="00244529" w:rsidRPr="00953873">
        <w:rPr>
          <w:rFonts w:ascii="Times New Roman" w:hAnsi="Times New Roman"/>
          <w:sz w:val="24"/>
        </w:rPr>
        <w:t>the import of both symbolic</w:t>
      </w:r>
      <w:r w:rsidR="00244529">
        <w:rPr>
          <w:rFonts w:ascii="Times New Roman" w:hAnsi="Times New Roman"/>
          <w:sz w:val="24"/>
        </w:rPr>
        <w:t>, and ‘democratizing’ democracy – reducing inequality but also reforming campaign finance and electoral policy.</w:t>
      </w:r>
    </w:p>
    <w:p w14:paraId="5396CA61" w14:textId="77777777" w:rsidR="00B24B5C" w:rsidRDefault="00B24B5C" w:rsidP="00B24B5C">
      <w:pPr>
        <w:spacing w:line="360" w:lineRule="auto"/>
        <w:rPr>
          <w:rFonts w:ascii="Times New Roman" w:hAnsi="Times New Roman"/>
          <w:sz w:val="24"/>
        </w:rPr>
      </w:pPr>
    </w:p>
    <w:p w14:paraId="5ADEC454" w14:textId="46EC9FB8" w:rsidR="00B24B5C" w:rsidRDefault="00B24B5C" w:rsidP="00B24B5C">
      <w:pPr>
        <w:spacing w:line="360" w:lineRule="auto"/>
        <w:rPr>
          <w:rFonts w:ascii="Times New Roman" w:hAnsi="Times New Roman"/>
          <w:sz w:val="24"/>
        </w:rPr>
      </w:pPr>
      <w:r>
        <w:rPr>
          <w:rFonts w:ascii="Times New Roman" w:hAnsi="Times New Roman"/>
          <w:sz w:val="24"/>
        </w:rPr>
        <w:t>Demand-side scholarship finds myriad institutional mechanism augment descriptive representation.</w:t>
      </w:r>
      <w:r w:rsidRPr="00953873">
        <w:rPr>
          <w:rFonts w:ascii="Times New Roman" w:hAnsi="Times New Roman"/>
          <w:sz w:val="24"/>
        </w:rPr>
        <w:t xml:space="preserve"> </w:t>
      </w:r>
      <w:r w:rsidR="001626CC">
        <w:rPr>
          <w:rFonts w:ascii="Times New Roman" w:hAnsi="Times New Roman"/>
          <w:sz w:val="24"/>
        </w:rPr>
        <w:t>As a partial answer to resource barriers, Clark</w:t>
      </w:r>
      <w:r w:rsidR="00B439D7">
        <w:rPr>
          <w:rFonts w:ascii="Times New Roman" w:hAnsi="Times New Roman"/>
          <w:sz w:val="24"/>
        </w:rPr>
        <w:t xml:space="preserve"> (2019)</w:t>
      </w:r>
      <w:r w:rsidR="001626CC">
        <w:rPr>
          <w:rFonts w:ascii="Times New Roman" w:hAnsi="Times New Roman"/>
          <w:sz w:val="24"/>
        </w:rPr>
        <w:t xml:space="preserve"> finds that more professionalized legislatures may </w:t>
      </w:r>
      <w:r w:rsidR="00B439D7">
        <w:rPr>
          <w:rFonts w:ascii="Times New Roman" w:hAnsi="Times New Roman"/>
          <w:sz w:val="24"/>
        </w:rPr>
        <w:t xml:space="preserve">aid resource concerns, once elected. </w:t>
      </w:r>
      <w:r>
        <w:rPr>
          <w:rFonts w:ascii="Times New Roman" w:hAnsi="Times New Roman"/>
          <w:sz w:val="24"/>
        </w:rPr>
        <w:t>U</w:t>
      </w:r>
      <w:r w:rsidRPr="00953873">
        <w:rPr>
          <w:rFonts w:ascii="Times New Roman" w:hAnsi="Times New Roman"/>
          <w:sz w:val="24"/>
        </w:rPr>
        <w:t>nsupportive party and interest group leadership can discourage race, class, and gender minorities from running for office</w:t>
      </w:r>
      <w:r>
        <w:rPr>
          <w:rFonts w:ascii="Times New Roman" w:hAnsi="Times New Roman"/>
          <w:sz w:val="24"/>
        </w:rPr>
        <w:t>; and incumbency preference can entrench party discouragement and create electoral challenges for diverse candidates</w:t>
      </w:r>
      <w:r w:rsidRPr="00953873">
        <w:rPr>
          <w:rFonts w:ascii="Times New Roman" w:hAnsi="Times New Roman"/>
          <w:sz w:val="24"/>
        </w:rPr>
        <w:t xml:space="preserve"> (Palmer and Simon 2008, Carnes 2016, Lawless and Fox 2005,</w:t>
      </w:r>
      <w:r w:rsidR="00A41F08">
        <w:rPr>
          <w:rFonts w:ascii="Times New Roman" w:hAnsi="Times New Roman"/>
          <w:sz w:val="24"/>
        </w:rPr>
        <w:t xml:space="preserve"> Juenke and Shah 2016</w:t>
      </w:r>
      <w:r w:rsidRPr="00953873">
        <w:rPr>
          <w:rFonts w:ascii="Times New Roman" w:hAnsi="Times New Roman"/>
          <w:sz w:val="24"/>
        </w:rPr>
        <w:t xml:space="preserve">). </w:t>
      </w:r>
      <w:r>
        <w:rPr>
          <w:rFonts w:ascii="Times New Roman" w:hAnsi="Times New Roman"/>
          <w:sz w:val="24"/>
        </w:rPr>
        <w:t>T</w:t>
      </w:r>
      <w:r w:rsidRPr="00953873">
        <w:rPr>
          <w:rFonts w:ascii="Times New Roman" w:hAnsi="Times New Roman"/>
          <w:sz w:val="24"/>
        </w:rPr>
        <w:t xml:space="preserve">hese leadership and institutional deterrents contributed to </w:t>
      </w:r>
      <w:r w:rsidR="009D51CA">
        <w:rPr>
          <w:rFonts w:ascii="Times New Roman" w:hAnsi="Times New Roman"/>
          <w:sz w:val="24"/>
        </w:rPr>
        <w:t xml:space="preserve">white </w:t>
      </w:r>
      <w:r w:rsidRPr="00953873">
        <w:rPr>
          <w:rFonts w:ascii="Times New Roman" w:hAnsi="Times New Roman"/>
          <w:sz w:val="24"/>
        </w:rPr>
        <w:t xml:space="preserve">voter bias, which also thwarts ‘demand’ in its own right (Darcy, Welch and Clark 1994, Seltzer Newman, and Leighton 1997). </w:t>
      </w:r>
    </w:p>
    <w:p w14:paraId="2F1EA33B" w14:textId="77777777" w:rsidR="00B24B5C" w:rsidRDefault="00B24B5C" w:rsidP="00B24B5C">
      <w:pPr>
        <w:spacing w:line="360" w:lineRule="auto"/>
        <w:rPr>
          <w:rFonts w:ascii="Times New Roman" w:hAnsi="Times New Roman"/>
          <w:sz w:val="24"/>
        </w:rPr>
      </w:pPr>
    </w:p>
    <w:p w14:paraId="4568EAAC" w14:textId="77777777" w:rsidR="00B24B5C" w:rsidRPr="009E069B" w:rsidRDefault="00B24B5C" w:rsidP="00B24B5C">
      <w:pPr>
        <w:spacing w:line="360" w:lineRule="auto"/>
        <w:rPr>
          <w:rFonts w:ascii="Times New Roman" w:hAnsi="Times New Roman"/>
          <w:sz w:val="24"/>
          <w:u w:val="single"/>
        </w:rPr>
      </w:pPr>
      <w:r w:rsidRPr="009E069B">
        <w:rPr>
          <w:rFonts w:ascii="Times New Roman" w:hAnsi="Times New Roman"/>
          <w:sz w:val="24"/>
          <w:u w:val="single"/>
        </w:rPr>
        <w:t>Electoral Systems and District Design</w:t>
      </w:r>
    </w:p>
    <w:p w14:paraId="64FF92F6" w14:textId="0AF89E8F" w:rsidR="00B24B5C" w:rsidRPr="00953873" w:rsidRDefault="00B24B5C" w:rsidP="00B24B5C">
      <w:pPr>
        <w:spacing w:line="360" w:lineRule="auto"/>
        <w:rPr>
          <w:rFonts w:ascii="Times New Roman" w:hAnsi="Times New Roman"/>
          <w:sz w:val="24"/>
        </w:rPr>
      </w:pPr>
      <w:r w:rsidRPr="00953873">
        <w:rPr>
          <w:rFonts w:ascii="Times New Roman" w:hAnsi="Times New Roman"/>
          <w:sz w:val="24"/>
        </w:rPr>
        <w:t>Attention to institutional factors also includes policies/institutions with direct relevance to incarcerated constituencies</w:t>
      </w:r>
      <w:r>
        <w:rPr>
          <w:rFonts w:ascii="Times New Roman" w:hAnsi="Times New Roman"/>
          <w:sz w:val="24"/>
        </w:rPr>
        <w:t xml:space="preserve"> – </w:t>
      </w:r>
      <w:r w:rsidR="009E069B">
        <w:rPr>
          <w:rFonts w:ascii="Times New Roman" w:hAnsi="Times New Roman"/>
          <w:sz w:val="24"/>
        </w:rPr>
        <w:t xml:space="preserve">and that have been </w:t>
      </w:r>
      <w:r w:rsidR="001626CC">
        <w:rPr>
          <w:rFonts w:ascii="Times New Roman" w:hAnsi="Times New Roman"/>
          <w:sz w:val="24"/>
        </w:rPr>
        <w:t xml:space="preserve">used as instruments to target the political power of Black communities and communities of color </w:t>
      </w:r>
      <w:r>
        <w:rPr>
          <w:rFonts w:ascii="Times New Roman" w:hAnsi="Times New Roman"/>
          <w:sz w:val="24"/>
        </w:rPr>
        <w:t xml:space="preserve">namely </w:t>
      </w:r>
      <w:r w:rsidRPr="00953873">
        <w:rPr>
          <w:rFonts w:ascii="Times New Roman" w:hAnsi="Times New Roman"/>
          <w:sz w:val="24"/>
        </w:rPr>
        <w:t>district or representational arrangements</w:t>
      </w:r>
      <w:r>
        <w:rPr>
          <w:rFonts w:ascii="Times New Roman" w:hAnsi="Times New Roman"/>
          <w:sz w:val="24"/>
        </w:rPr>
        <w:t xml:space="preserve">, electoral factors, and </w:t>
      </w:r>
      <w:r w:rsidRPr="00953873">
        <w:rPr>
          <w:rFonts w:ascii="Times New Roman" w:hAnsi="Times New Roman"/>
          <w:sz w:val="24"/>
        </w:rPr>
        <w:t xml:space="preserve">apportionment </w:t>
      </w:r>
      <w:r>
        <w:rPr>
          <w:rFonts w:ascii="Times New Roman" w:hAnsi="Times New Roman"/>
          <w:sz w:val="24"/>
        </w:rPr>
        <w:t xml:space="preserve">how </w:t>
      </w:r>
      <w:r w:rsidRPr="00953873">
        <w:rPr>
          <w:rFonts w:ascii="Times New Roman" w:hAnsi="Times New Roman"/>
          <w:sz w:val="24"/>
        </w:rPr>
        <w:t>shape descriptive representation.</w:t>
      </w:r>
      <w:r w:rsidR="00A41F08">
        <w:rPr>
          <w:rFonts w:ascii="Times New Roman" w:hAnsi="Times New Roman"/>
          <w:sz w:val="24"/>
        </w:rPr>
        <w:t xml:space="preserve"> </w:t>
      </w:r>
      <w:r w:rsidR="001626CC">
        <w:rPr>
          <w:rFonts w:ascii="Times New Roman" w:hAnsi="Times New Roman"/>
          <w:sz w:val="24"/>
        </w:rPr>
        <w:t xml:space="preserve">At the city level, </w:t>
      </w:r>
      <w:r w:rsidR="00A41F08">
        <w:rPr>
          <w:rFonts w:ascii="Times New Roman" w:hAnsi="Times New Roman"/>
          <w:sz w:val="24"/>
        </w:rPr>
        <w:t>research</w:t>
      </w:r>
      <w:r>
        <w:rPr>
          <w:rFonts w:ascii="Times New Roman" w:hAnsi="Times New Roman"/>
          <w:sz w:val="24"/>
        </w:rPr>
        <w:t xml:space="preserve"> on single versus multi-member districts reveals complex dynamics: at-large systems only increase representation of underrepresented groups when those groups are both a significant percentage of the district population and quite concentrated</w:t>
      </w:r>
      <w:r w:rsidR="00A41F08">
        <w:rPr>
          <w:rFonts w:ascii="Times New Roman" w:hAnsi="Times New Roman"/>
          <w:sz w:val="24"/>
        </w:rPr>
        <w:t>, and while single-member</w:t>
      </w:r>
      <w:r w:rsidR="00A41F08" w:rsidRPr="00A41F08">
        <w:rPr>
          <w:rFonts w:ascii="Times New Roman" w:hAnsi="Times New Roman"/>
          <w:sz w:val="24"/>
        </w:rPr>
        <w:t xml:space="preserve"> </w:t>
      </w:r>
      <w:r w:rsidR="00A41F08">
        <w:rPr>
          <w:rFonts w:ascii="Times New Roman" w:hAnsi="Times New Roman"/>
          <w:sz w:val="24"/>
        </w:rPr>
        <w:t xml:space="preserve">districts may improve representational equity across Black and Latino groups, the relationship </w:t>
      </w:r>
      <w:r w:rsidR="00A41F08">
        <w:rPr>
          <w:rFonts w:ascii="Times New Roman" w:hAnsi="Times New Roman"/>
          <w:sz w:val="24"/>
        </w:rPr>
        <w:lastRenderedPageBreak/>
        <w:t>isn’t uniform across contexts</w:t>
      </w:r>
      <w:r>
        <w:rPr>
          <w:rFonts w:ascii="Times New Roman" w:hAnsi="Times New Roman"/>
          <w:sz w:val="24"/>
        </w:rPr>
        <w:t xml:space="preserve"> (</w:t>
      </w:r>
      <w:proofErr w:type="spellStart"/>
      <w:r>
        <w:rPr>
          <w:rFonts w:ascii="Times New Roman" w:hAnsi="Times New Roman"/>
          <w:sz w:val="24"/>
        </w:rPr>
        <w:t>Troustine</w:t>
      </w:r>
      <w:proofErr w:type="spellEnd"/>
      <w:r>
        <w:rPr>
          <w:rFonts w:ascii="Times New Roman" w:hAnsi="Times New Roman"/>
          <w:sz w:val="24"/>
        </w:rPr>
        <w:t xml:space="preserve"> and </w:t>
      </w:r>
      <w:proofErr w:type="spellStart"/>
      <w:r>
        <w:rPr>
          <w:rFonts w:ascii="Times New Roman" w:hAnsi="Times New Roman"/>
          <w:sz w:val="24"/>
        </w:rPr>
        <w:t>Valdini</w:t>
      </w:r>
      <w:proofErr w:type="spellEnd"/>
      <w:r>
        <w:rPr>
          <w:rFonts w:ascii="Times New Roman" w:hAnsi="Times New Roman"/>
          <w:sz w:val="24"/>
        </w:rPr>
        <w:t xml:space="preserve"> 2008). </w:t>
      </w:r>
      <w:r w:rsidR="001626CC">
        <w:rPr>
          <w:rFonts w:ascii="Times New Roman" w:hAnsi="Times New Roman"/>
          <w:sz w:val="24"/>
        </w:rPr>
        <w:t xml:space="preserve">In the American South, jurisdictions switched to at-large elections in response to Black voting and to minimize Black representation (Amy 1993, </w:t>
      </w:r>
      <w:r w:rsidR="001626CC" w:rsidRPr="001626CC">
        <w:rPr>
          <w:rFonts w:ascii="Times New Roman" w:hAnsi="Times New Roman"/>
          <w:sz w:val="24"/>
        </w:rPr>
        <w:t xml:space="preserve">Trebbi, Aghion, and </w:t>
      </w:r>
      <w:proofErr w:type="spellStart"/>
      <w:r w:rsidR="001626CC" w:rsidRPr="001626CC">
        <w:rPr>
          <w:rFonts w:ascii="Times New Roman" w:hAnsi="Times New Roman"/>
          <w:sz w:val="24"/>
        </w:rPr>
        <w:t>Alesina</w:t>
      </w:r>
      <w:proofErr w:type="spellEnd"/>
      <w:r w:rsidR="001626CC" w:rsidRPr="001626CC">
        <w:rPr>
          <w:rFonts w:ascii="Times New Roman" w:hAnsi="Times New Roman"/>
          <w:sz w:val="24"/>
        </w:rPr>
        <w:t xml:space="preserve"> 2008</w:t>
      </w:r>
      <w:r w:rsidR="001626CC">
        <w:rPr>
          <w:rFonts w:ascii="Times New Roman" w:hAnsi="Times New Roman"/>
          <w:sz w:val="24"/>
        </w:rPr>
        <w:t>).</w:t>
      </w:r>
    </w:p>
    <w:p w14:paraId="782B58B6" w14:textId="77777777" w:rsidR="006F1329" w:rsidRDefault="006F1329" w:rsidP="00B24B5C">
      <w:pPr>
        <w:spacing w:line="360" w:lineRule="auto"/>
        <w:rPr>
          <w:rFonts w:ascii="Times New Roman" w:hAnsi="Times New Roman"/>
          <w:b/>
          <w:bCs/>
          <w:sz w:val="24"/>
        </w:rPr>
      </w:pPr>
    </w:p>
    <w:p w14:paraId="5C6AC2D0" w14:textId="3084F803" w:rsidR="00B24B5C" w:rsidRPr="006F1329" w:rsidRDefault="006F1329" w:rsidP="00B24B5C">
      <w:pPr>
        <w:spacing w:line="360" w:lineRule="auto"/>
        <w:rPr>
          <w:rFonts w:ascii="Times New Roman" w:hAnsi="Times New Roman"/>
          <w:sz w:val="24"/>
          <w:u w:val="single"/>
        </w:rPr>
      </w:pPr>
      <w:r w:rsidRPr="006F1329">
        <w:rPr>
          <w:rFonts w:ascii="Times New Roman" w:hAnsi="Times New Roman"/>
          <w:sz w:val="24"/>
          <w:u w:val="single"/>
        </w:rPr>
        <w:t>Redistricting Politics and Representative Power</w:t>
      </w:r>
    </w:p>
    <w:p w14:paraId="0C6F0BD3" w14:textId="0A9E1AD5" w:rsidR="006F1329" w:rsidRDefault="00FA0027" w:rsidP="00B24B5C">
      <w:pPr>
        <w:spacing w:line="360" w:lineRule="auto"/>
        <w:rPr>
          <w:rFonts w:ascii="Times New Roman" w:hAnsi="Times New Roman"/>
          <w:sz w:val="24"/>
        </w:rPr>
      </w:pPr>
      <w:r>
        <w:rPr>
          <w:rFonts w:ascii="Times New Roman" w:hAnsi="Times New Roman"/>
          <w:sz w:val="24"/>
        </w:rPr>
        <w:t xml:space="preserve">In the 2021 redistricting process, Senator Finegold’s district was be redrawn such that Lawrence – the </w:t>
      </w:r>
      <w:r w:rsidR="006F1329">
        <w:rPr>
          <w:rFonts w:ascii="Times New Roman" w:hAnsi="Times New Roman"/>
          <w:sz w:val="24"/>
        </w:rPr>
        <w:t>predominantly</w:t>
      </w:r>
      <w:r>
        <w:rPr>
          <w:rFonts w:ascii="Times New Roman" w:hAnsi="Times New Roman"/>
          <w:sz w:val="24"/>
        </w:rPr>
        <w:t xml:space="preserve"> Latino city in his district -- became part of a new senate district in which a </w:t>
      </w:r>
      <w:proofErr w:type="gramStart"/>
      <w:r>
        <w:rPr>
          <w:rFonts w:ascii="Times New Roman" w:hAnsi="Times New Roman"/>
          <w:sz w:val="24"/>
        </w:rPr>
        <w:t>Dominican-American</w:t>
      </w:r>
      <w:proofErr w:type="gramEnd"/>
      <w:r>
        <w:rPr>
          <w:rFonts w:ascii="Times New Roman" w:hAnsi="Times New Roman"/>
          <w:sz w:val="24"/>
        </w:rPr>
        <w:t xml:space="preserve"> candidate, Pavel Payano, was elected. </w:t>
      </w:r>
      <w:r w:rsidR="00745C48">
        <w:rPr>
          <w:rFonts w:ascii="Times New Roman" w:hAnsi="Times New Roman"/>
          <w:sz w:val="24"/>
        </w:rPr>
        <w:t>Considered alongside arguments  (</w:t>
      </w:r>
      <w:hyperlink r:id="rId12" w:history="1">
        <w:r w:rsidR="00745C48" w:rsidRPr="00FA0027">
          <w:rPr>
            <w:rStyle w:val="Hyperlink"/>
            <w:rFonts w:ascii="Times New Roman" w:hAnsi="Times New Roman"/>
            <w:sz w:val="24"/>
          </w:rPr>
          <w:t>see Drawing Democracy)</w:t>
        </w:r>
      </w:hyperlink>
      <w:r w:rsidR="00745C48">
        <w:rPr>
          <w:rFonts w:ascii="Times New Roman" w:hAnsi="Times New Roman"/>
          <w:sz w:val="24"/>
        </w:rPr>
        <w:t xml:space="preserve"> that reforms Massachusetts’ redistricting process in the early 2000’s that doubled the number of majority-minority districts changed the ability of candidates of color to secure office, it also suggests links between</w:t>
      </w:r>
      <w:r w:rsidR="006F1329">
        <w:rPr>
          <w:rFonts w:ascii="Times New Roman" w:hAnsi="Times New Roman"/>
          <w:sz w:val="24"/>
        </w:rPr>
        <w:t xml:space="preserve"> variations in redistricting policy</w:t>
      </w:r>
      <w:r w:rsidR="00745C48">
        <w:rPr>
          <w:rFonts w:ascii="Times New Roman" w:hAnsi="Times New Roman"/>
          <w:sz w:val="24"/>
        </w:rPr>
        <w:t xml:space="preserve"> and racial representation.</w:t>
      </w:r>
      <w:r w:rsidR="00745C48">
        <w:rPr>
          <w:rStyle w:val="FootnoteReference"/>
          <w:rFonts w:ascii="Times New Roman" w:hAnsi="Times New Roman"/>
          <w:sz w:val="24"/>
        </w:rPr>
        <w:footnoteReference w:id="3"/>
      </w:r>
    </w:p>
    <w:p w14:paraId="68D61D97" w14:textId="77777777" w:rsidR="006F1329" w:rsidRDefault="006F1329" w:rsidP="00B24B5C">
      <w:pPr>
        <w:spacing w:line="360" w:lineRule="auto"/>
        <w:rPr>
          <w:rFonts w:ascii="Times New Roman" w:hAnsi="Times New Roman"/>
          <w:sz w:val="24"/>
        </w:rPr>
      </w:pPr>
    </w:p>
    <w:p w14:paraId="1CFD38F4" w14:textId="7BB1C6BF" w:rsidR="00B439D7" w:rsidRDefault="0093380C" w:rsidP="00B439D7">
      <w:pPr>
        <w:spacing w:line="360" w:lineRule="auto"/>
        <w:rPr>
          <w:rFonts w:ascii="Times New Roman" w:hAnsi="Times New Roman"/>
          <w:sz w:val="24"/>
        </w:rPr>
      </w:pPr>
      <w:r>
        <w:rPr>
          <w:rFonts w:ascii="Times New Roman" w:hAnsi="Times New Roman"/>
          <w:sz w:val="24"/>
        </w:rPr>
        <w:t>Black “racial redistricting” – drawing or prioritizing majority-black districts – has mattered for Black descriptive representation (Canon 1996). In congress, VRA mandates in the 1990 enabl</w:t>
      </w:r>
      <w:r w:rsidR="00116859">
        <w:rPr>
          <w:rFonts w:ascii="Times New Roman" w:hAnsi="Times New Roman"/>
          <w:sz w:val="24"/>
        </w:rPr>
        <w:t>ed</w:t>
      </w:r>
      <w:r>
        <w:rPr>
          <w:rFonts w:ascii="Times New Roman" w:hAnsi="Times New Roman"/>
          <w:sz w:val="24"/>
        </w:rPr>
        <w:t xml:space="preserve"> </w:t>
      </w:r>
      <w:r w:rsidR="00116859">
        <w:rPr>
          <w:rFonts w:ascii="Times New Roman" w:hAnsi="Times New Roman"/>
          <w:sz w:val="24"/>
        </w:rPr>
        <w:t>enough Black and Hispanic congresspeople</w:t>
      </w:r>
      <w:r>
        <w:rPr>
          <w:rFonts w:ascii="Times New Roman" w:hAnsi="Times New Roman"/>
          <w:sz w:val="24"/>
        </w:rPr>
        <w:t xml:space="preserve"> </w:t>
      </w:r>
      <w:r w:rsidR="00116859">
        <w:rPr>
          <w:rFonts w:ascii="Times New Roman" w:hAnsi="Times New Roman"/>
          <w:sz w:val="24"/>
        </w:rPr>
        <w:t xml:space="preserve">to form a </w:t>
      </w:r>
      <w:r>
        <w:rPr>
          <w:rFonts w:ascii="Times New Roman" w:hAnsi="Times New Roman"/>
          <w:sz w:val="24"/>
        </w:rPr>
        <w:t xml:space="preserve">critical mass </w:t>
      </w:r>
      <w:r w:rsidR="00116859">
        <w:rPr>
          <w:rFonts w:ascii="Times New Roman" w:hAnsi="Times New Roman"/>
          <w:sz w:val="24"/>
        </w:rPr>
        <w:t>for the</w:t>
      </w:r>
      <w:r>
        <w:rPr>
          <w:rFonts w:ascii="Times New Roman" w:hAnsi="Times New Roman"/>
          <w:sz w:val="24"/>
        </w:rPr>
        <w:t xml:space="preserve"> formation of the Congressional Black and Congressional Hispanic Caucuses. </w:t>
      </w:r>
      <w:r w:rsidR="00737578">
        <w:rPr>
          <w:rFonts w:ascii="Times New Roman" w:hAnsi="Times New Roman"/>
          <w:sz w:val="24"/>
        </w:rPr>
        <w:t xml:space="preserve">There are many variables within redistricting processes across state legislatures -- </w:t>
      </w:r>
      <w:r w:rsidR="006F1329">
        <w:rPr>
          <w:rFonts w:ascii="Times New Roman" w:hAnsi="Times New Roman"/>
          <w:sz w:val="24"/>
        </w:rPr>
        <w:t xml:space="preserve">whether legislators, hybrid, independent commissions draw district lines and whether advisory commissions have a role; criteria for factors like compactness, subdivisions, partisan data or community interests; </w:t>
      </w:r>
      <w:r w:rsidR="00877A65">
        <w:rPr>
          <w:rFonts w:ascii="Times New Roman" w:hAnsi="Times New Roman"/>
          <w:sz w:val="24"/>
        </w:rPr>
        <w:t xml:space="preserve">and judicial review.  </w:t>
      </w:r>
      <w:r w:rsidR="00737578">
        <w:rPr>
          <w:rFonts w:ascii="Times New Roman" w:hAnsi="Times New Roman"/>
          <w:sz w:val="24"/>
        </w:rPr>
        <w:t xml:space="preserve">I’ve not been able to read this literature in as much depth as I wanted to at this point, but broadly find that while community input is important, seeming “catch all” solutions like independent redistricting commissions are not – and </w:t>
      </w:r>
      <w:r w:rsidR="00B439D7" w:rsidRPr="008164FA">
        <w:rPr>
          <w:rFonts w:ascii="Times New Roman" w:hAnsi="Times New Roman"/>
          <w:sz w:val="24"/>
        </w:rPr>
        <w:t>redistricting practices often dilute minority voting power while appearing race-neutral</w:t>
      </w:r>
      <w:r w:rsidR="00877A65">
        <w:rPr>
          <w:rFonts w:ascii="Times New Roman" w:hAnsi="Times New Roman"/>
          <w:sz w:val="24"/>
        </w:rPr>
        <w:t xml:space="preserve"> </w:t>
      </w:r>
      <w:r w:rsidR="00737578">
        <w:rPr>
          <w:rFonts w:ascii="Times New Roman" w:hAnsi="Times New Roman"/>
          <w:sz w:val="24"/>
        </w:rPr>
        <w:t>(</w:t>
      </w:r>
      <w:r w:rsidR="003E43D3">
        <w:rPr>
          <w:rFonts w:ascii="Times New Roman" w:hAnsi="Times New Roman"/>
          <w:sz w:val="24"/>
        </w:rPr>
        <w:t>Stephanopoulos</w:t>
      </w:r>
      <w:r w:rsidR="00737578">
        <w:rPr>
          <w:rFonts w:ascii="Times New Roman" w:hAnsi="Times New Roman"/>
          <w:sz w:val="24"/>
        </w:rPr>
        <w:t xml:space="preserve"> 2015)</w:t>
      </w:r>
      <w:r w:rsidR="003E43D3">
        <w:rPr>
          <w:rFonts w:ascii="Times New Roman" w:hAnsi="Times New Roman"/>
          <w:sz w:val="24"/>
        </w:rPr>
        <w:t xml:space="preserve">. Finally, it is important to note that mass incarceration and the Census’s practice of counting people in prison as residents of the district in </w:t>
      </w:r>
      <w:r w:rsidR="003E43D3">
        <w:rPr>
          <w:rFonts w:ascii="Times New Roman" w:hAnsi="Times New Roman"/>
          <w:sz w:val="24"/>
        </w:rPr>
        <w:lastRenderedPageBreak/>
        <w:t xml:space="preserve">which they are incarcerated is also part of the story of redistricting and racial exclusion, as it </w:t>
      </w:r>
      <w:r w:rsidR="003E43D3" w:rsidRPr="008164FA">
        <w:rPr>
          <w:rFonts w:ascii="Times New Roman" w:hAnsi="Times New Roman"/>
          <w:sz w:val="24"/>
        </w:rPr>
        <w:t xml:space="preserve">only </w:t>
      </w:r>
      <w:r w:rsidR="003E43D3">
        <w:rPr>
          <w:rFonts w:ascii="Times New Roman" w:hAnsi="Times New Roman"/>
          <w:sz w:val="24"/>
        </w:rPr>
        <w:t xml:space="preserve">inflates counts in generally white rural districts and </w:t>
      </w:r>
      <w:r w:rsidR="003E43D3" w:rsidRPr="008164FA">
        <w:rPr>
          <w:rFonts w:ascii="Times New Roman" w:hAnsi="Times New Roman"/>
          <w:sz w:val="24"/>
        </w:rPr>
        <w:t>specifically undermines the voting power of urban communities of color</w:t>
      </w:r>
      <w:r w:rsidR="003E43D3">
        <w:rPr>
          <w:rFonts w:ascii="Times New Roman" w:hAnsi="Times New Roman"/>
          <w:sz w:val="24"/>
        </w:rPr>
        <w:t xml:space="preserve"> (Remster and Kramer 2018).</w:t>
      </w:r>
    </w:p>
    <w:p w14:paraId="49525852" w14:textId="77777777" w:rsidR="00B439D7" w:rsidRDefault="00B439D7" w:rsidP="00B24B5C">
      <w:pPr>
        <w:spacing w:line="360" w:lineRule="auto"/>
        <w:rPr>
          <w:rFonts w:ascii="Times New Roman" w:hAnsi="Times New Roman"/>
          <w:sz w:val="24"/>
        </w:rPr>
      </w:pPr>
    </w:p>
    <w:p w14:paraId="6421508C" w14:textId="77777777" w:rsidR="008164FA" w:rsidRPr="009E069B" w:rsidRDefault="008164FA" w:rsidP="008164FA">
      <w:pPr>
        <w:spacing w:line="360" w:lineRule="auto"/>
        <w:rPr>
          <w:rFonts w:ascii="Times New Roman" w:hAnsi="Times New Roman"/>
          <w:sz w:val="24"/>
          <w:u w:val="single"/>
        </w:rPr>
      </w:pPr>
      <w:r w:rsidRPr="009E069B">
        <w:rPr>
          <w:rFonts w:ascii="Times New Roman" w:hAnsi="Times New Roman"/>
          <w:sz w:val="24"/>
          <w:u w:val="single"/>
        </w:rPr>
        <w:t>Voting Rights, Electoral Access, and the Path to Descriptive Representation</w:t>
      </w:r>
    </w:p>
    <w:p w14:paraId="6D1C0A16" w14:textId="595BD0A5" w:rsidR="008164FA" w:rsidRDefault="008164FA" w:rsidP="008164FA">
      <w:pPr>
        <w:spacing w:line="360" w:lineRule="auto"/>
        <w:rPr>
          <w:rFonts w:ascii="Times New Roman" w:hAnsi="Times New Roman"/>
          <w:sz w:val="24"/>
        </w:rPr>
      </w:pPr>
      <w:r w:rsidRPr="008164FA">
        <w:rPr>
          <w:rFonts w:ascii="Times New Roman" w:hAnsi="Times New Roman"/>
          <w:sz w:val="24"/>
        </w:rPr>
        <w:t>The path toward descriptive representation for racial minorities in American politics is inextricably linked to the struggle for voting rights and battles over electoral institutions</w:t>
      </w:r>
      <w:r>
        <w:rPr>
          <w:rFonts w:ascii="Times New Roman" w:hAnsi="Times New Roman"/>
          <w:sz w:val="24"/>
        </w:rPr>
        <w:t xml:space="preserve"> – fights that stem directly from the slavery, the 3/5ths compromise, and entrenched racial exclusion on which the US was founded. These linkages and the location of prisoner disenfranchisement within them also motivate advocacy for incarcerated voting – in other words, are critical for understanding how incarcerated activities and allies see the issue as interwoven with </w:t>
      </w:r>
      <w:r w:rsidRPr="008164FA">
        <w:rPr>
          <w:rFonts w:ascii="Times New Roman" w:hAnsi="Times New Roman"/>
          <w:sz w:val="24"/>
        </w:rPr>
        <w:t>contemporary challenges to achieving equitable representation</w:t>
      </w:r>
      <w:r>
        <w:rPr>
          <w:rFonts w:ascii="Times New Roman" w:hAnsi="Times New Roman"/>
          <w:sz w:val="24"/>
        </w:rPr>
        <w:t>.</w:t>
      </w:r>
    </w:p>
    <w:p w14:paraId="5084D7D3" w14:textId="77777777" w:rsidR="00570D7A" w:rsidRDefault="00570D7A" w:rsidP="00570D7A">
      <w:pPr>
        <w:spacing w:line="360" w:lineRule="auto"/>
        <w:rPr>
          <w:rFonts w:ascii="Times New Roman" w:hAnsi="Times New Roman"/>
          <w:sz w:val="24"/>
        </w:rPr>
      </w:pPr>
    </w:p>
    <w:p w14:paraId="05AE7A0D" w14:textId="7FF7465E" w:rsidR="008164FA" w:rsidRDefault="00570D7A" w:rsidP="00570D7A">
      <w:pPr>
        <w:spacing w:line="360" w:lineRule="auto"/>
        <w:rPr>
          <w:rFonts w:ascii="Times New Roman" w:hAnsi="Times New Roman"/>
          <w:sz w:val="24"/>
        </w:rPr>
      </w:pPr>
      <w:r w:rsidRPr="00570D7A">
        <w:rPr>
          <w:rFonts w:ascii="Times New Roman" w:hAnsi="Times New Roman"/>
          <w:sz w:val="24"/>
        </w:rPr>
        <w:t>Reconstruction represented the first significant expansion of the franchise to non-whites, producing remarkable, if temporary, gains in Black political power. As Bernard Fraga documents, drawing on Du Bois and Foner (1988), Reconstruction Acts mandated voting rights for former slaves and saw Northern military commanders aiding in voter registration. By December 1867, approximately 700,000 Black voters were registered, outnumbering whites in Louisiana, South Carolina, Alabama, Florida, and Mississippi. Davidson (1992) estimates that two-thirds of Black men voted during Reconstruction's peak, with Black voters likely proving decisive in Grant's presidential victory.</w:t>
      </w:r>
    </w:p>
    <w:p w14:paraId="470B26DC" w14:textId="77777777" w:rsidR="00570D7A" w:rsidRDefault="00570D7A" w:rsidP="00570D7A">
      <w:pPr>
        <w:spacing w:line="360" w:lineRule="auto"/>
        <w:rPr>
          <w:rFonts w:ascii="Times New Roman" w:hAnsi="Times New Roman"/>
          <w:sz w:val="24"/>
        </w:rPr>
      </w:pPr>
    </w:p>
    <w:p w14:paraId="3C81AC05" w14:textId="77777777" w:rsidR="00904FAD" w:rsidRDefault="00570D7A" w:rsidP="00904FAD">
      <w:pPr>
        <w:spacing w:line="360" w:lineRule="auto"/>
        <w:rPr>
          <w:rFonts w:ascii="Times New Roman" w:hAnsi="Times New Roman"/>
          <w:sz w:val="24"/>
        </w:rPr>
      </w:pPr>
      <w:r>
        <w:rPr>
          <w:rFonts w:ascii="Times New Roman" w:hAnsi="Times New Roman"/>
          <w:sz w:val="24"/>
        </w:rPr>
        <w:t>T</w:t>
      </w:r>
      <w:r w:rsidRPr="00570D7A">
        <w:rPr>
          <w:rFonts w:ascii="Times New Roman" w:hAnsi="Times New Roman"/>
          <w:sz w:val="24"/>
        </w:rPr>
        <w:t>his expansion of Black political power faced immediate and violent resistance. The "Redeemer movement" and Supreme Court decisions like the Slaughter</w:t>
      </w:r>
      <w:r w:rsidR="004F1C90">
        <w:rPr>
          <w:rFonts w:ascii="Times New Roman" w:hAnsi="Times New Roman"/>
          <w:sz w:val="24"/>
        </w:rPr>
        <w:t>h</w:t>
      </w:r>
      <w:r w:rsidRPr="00570D7A">
        <w:rPr>
          <w:rFonts w:ascii="Times New Roman" w:hAnsi="Times New Roman"/>
          <w:sz w:val="24"/>
        </w:rPr>
        <w:t xml:space="preserve">ouse Cases, </w:t>
      </w:r>
      <w:r w:rsidRPr="004F1C90">
        <w:rPr>
          <w:rFonts w:ascii="Times New Roman" w:hAnsi="Times New Roman"/>
          <w:i/>
          <w:iCs/>
          <w:sz w:val="24"/>
        </w:rPr>
        <w:t>U.S. v. Cruikshank</w:t>
      </w:r>
      <w:r w:rsidRPr="00570D7A">
        <w:rPr>
          <w:rFonts w:ascii="Times New Roman" w:hAnsi="Times New Roman"/>
          <w:sz w:val="24"/>
        </w:rPr>
        <w:t xml:space="preserve">, and </w:t>
      </w:r>
      <w:r w:rsidRPr="004F1C90">
        <w:rPr>
          <w:rFonts w:ascii="Times New Roman" w:hAnsi="Times New Roman"/>
          <w:i/>
          <w:iCs/>
          <w:sz w:val="24"/>
        </w:rPr>
        <w:t>U.S. v. Reese</w:t>
      </w:r>
      <w:r w:rsidRPr="00570D7A">
        <w:rPr>
          <w:rFonts w:ascii="Times New Roman" w:hAnsi="Times New Roman"/>
          <w:sz w:val="24"/>
        </w:rPr>
        <w:t xml:space="preserve"> gradually opened the door for states to restrict voting rights. The end of Reconstruction and failure of the Lodge Force Bill ushered in an era of systematic disenfranchisement, often through facially "race-neutral" laws that were targeted in both intent and effect. </w:t>
      </w:r>
      <w:r w:rsidR="00904FAD">
        <w:rPr>
          <w:rFonts w:ascii="Times New Roman" w:hAnsi="Times New Roman"/>
          <w:sz w:val="24"/>
        </w:rPr>
        <w:t>T</w:t>
      </w:r>
      <w:r w:rsidR="00904FAD" w:rsidRPr="008164FA">
        <w:rPr>
          <w:rFonts w:ascii="Times New Roman" w:hAnsi="Times New Roman"/>
          <w:sz w:val="24"/>
        </w:rPr>
        <w:t xml:space="preserve">he Voting Rights Act of 1965 marked a watershed moment not only for Black voting rights but for descriptive representation. </w:t>
      </w:r>
      <w:r w:rsidR="00904FAD">
        <w:rPr>
          <w:rFonts w:ascii="Times New Roman" w:hAnsi="Times New Roman"/>
          <w:sz w:val="24"/>
        </w:rPr>
        <w:t xml:space="preserve">As mentioned, </w:t>
      </w:r>
      <w:r w:rsidR="00904FAD" w:rsidRPr="008164FA">
        <w:rPr>
          <w:rFonts w:ascii="Times New Roman" w:hAnsi="Times New Roman"/>
          <w:sz w:val="24"/>
        </w:rPr>
        <w:t>VRA enforcement, particularly Section 2's prohibition on discriminatory electoral practices, directly facilitated increased minority representation in state legislatures and Congress</w:t>
      </w:r>
      <w:r w:rsidR="00904FAD">
        <w:rPr>
          <w:rFonts w:ascii="Times New Roman" w:hAnsi="Times New Roman"/>
          <w:sz w:val="24"/>
        </w:rPr>
        <w:t xml:space="preserve"> (</w:t>
      </w:r>
      <w:r w:rsidR="00904FAD" w:rsidRPr="008164FA">
        <w:rPr>
          <w:rFonts w:ascii="Times New Roman" w:hAnsi="Times New Roman"/>
          <w:sz w:val="24"/>
        </w:rPr>
        <w:t xml:space="preserve">Davidson and </w:t>
      </w:r>
      <w:proofErr w:type="spellStart"/>
      <w:r w:rsidR="00904FAD" w:rsidRPr="008164FA">
        <w:rPr>
          <w:rFonts w:ascii="Times New Roman" w:hAnsi="Times New Roman"/>
          <w:sz w:val="24"/>
        </w:rPr>
        <w:t>Grofman</w:t>
      </w:r>
      <w:proofErr w:type="spellEnd"/>
      <w:r w:rsidR="00904FAD" w:rsidRPr="008164FA">
        <w:rPr>
          <w:rFonts w:ascii="Times New Roman" w:hAnsi="Times New Roman"/>
          <w:sz w:val="24"/>
        </w:rPr>
        <w:t xml:space="preserve"> 1994). The creation of </w:t>
      </w:r>
      <w:r w:rsidR="00904FAD" w:rsidRPr="008164FA">
        <w:rPr>
          <w:rFonts w:ascii="Times New Roman" w:hAnsi="Times New Roman"/>
          <w:sz w:val="24"/>
        </w:rPr>
        <w:lastRenderedPageBreak/>
        <w:t>majority-minority districts</w:t>
      </w:r>
      <w:r w:rsidR="00904FAD">
        <w:rPr>
          <w:rFonts w:ascii="Times New Roman" w:hAnsi="Times New Roman"/>
          <w:sz w:val="24"/>
        </w:rPr>
        <w:t xml:space="preserve"> </w:t>
      </w:r>
      <w:r w:rsidR="00904FAD" w:rsidRPr="008164FA">
        <w:rPr>
          <w:rFonts w:ascii="Times New Roman" w:hAnsi="Times New Roman"/>
          <w:sz w:val="24"/>
        </w:rPr>
        <w:t>proved crucial for increasing Black descriptive representation (Canon 1999).</w:t>
      </w:r>
      <w:r w:rsidR="00904FAD">
        <w:rPr>
          <w:rFonts w:ascii="Times New Roman" w:hAnsi="Times New Roman"/>
          <w:sz w:val="24"/>
        </w:rPr>
        <w:t xml:space="preserve"> </w:t>
      </w:r>
    </w:p>
    <w:p w14:paraId="04D25418" w14:textId="77777777" w:rsidR="00904FAD" w:rsidRDefault="00904FAD" w:rsidP="00904FAD">
      <w:pPr>
        <w:spacing w:line="360" w:lineRule="auto"/>
        <w:rPr>
          <w:rFonts w:ascii="Times New Roman" w:hAnsi="Times New Roman"/>
          <w:sz w:val="24"/>
        </w:rPr>
      </w:pPr>
    </w:p>
    <w:p w14:paraId="3FE2DA96" w14:textId="152B2CA8" w:rsidR="00904FAD" w:rsidRPr="008164FA" w:rsidRDefault="00904FAD" w:rsidP="00904FAD">
      <w:pPr>
        <w:spacing w:line="360" w:lineRule="auto"/>
        <w:rPr>
          <w:rFonts w:ascii="Times New Roman" w:hAnsi="Times New Roman"/>
          <w:sz w:val="24"/>
        </w:rPr>
      </w:pPr>
      <w:r w:rsidRPr="008164FA">
        <w:rPr>
          <w:rFonts w:ascii="Times New Roman" w:hAnsi="Times New Roman"/>
          <w:sz w:val="24"/>
        </w:rPr>
        <w:t>However, these gains have been persistently contested. Recent Supreme Court decisions, particularly </w:t>
      </w:r>
      <w:r w:rsidRPr="008164FA">
        <w:rPr>
          <w:rFonts w:ascii="Times New Roman" w:hAnsi="Times New Roman"/>
          <w:i/>
          <w:iCs/>
          <w:sz w:val="24"/>
        </w:rPr>
        <w:t>Shelby County v. Holder</w:t>
      </w:r>
      <w:r w:rsidRPr="008164FA">
        <w:rPr>
          <w:rFonts w:ascii="Times New Roman" w:hAnsi="Times New Roman"/>
          <w:sz w:val="24"/>
        </w:rPr>
        <w:t> (2013), have weakened VRA protections</w:t>
      </w:r>
      <w:r>
        <w:rPr>
          <w:rFonts w:ascii="Times New Roman" w:hAnsi="Times New Roman"/>
          <w:sz w:val="24"/>
        </w:rPr>
        <w:t>; and voting rights and access remain targets of state legislatures, particularly here in North Carolina.</w:t>
      </w:r>
      <w:r w:rsidRPr="00904FAD">
        <w:rPr>
          <w:rFonts w:ascii="Times New Roman" w:hAnsi="Times New Roman"/>
          <w:sz w:val="24"/>
        </w:rPr>
        <w:t xml:space="preserve"> </w:t>
      </w:r>
      <w:r>
        <w:rPr>
          <w:rFonts w:ascii="Times New Roman" w:hAnsi="Times New Roman"/>
          <w:sz w:val="24"/>
        </w:rPr>
        <w:t xml:space="preserve">While remaining race-neutral on their face, these have clear racial intent, effects, and symbolic meaning understood by voters. Christopher Clark, for example, highlights that </w:t>
      </w:r>
      <w:r w:rsidRPr="008164FA">
        <w:rPr>
          <w:rFonts w:ascii="Times New Roman" w:hAnsi="Times New Roman"/>
          <w:sz w:val="24"/>
        </w:rPr>
        <w:t>voting restrictions affect not only electoral participation but broader democratic legitimacy: restrictive voting policies increase white voters' confidence in elections while decreasing Black voters' confidence</w:t>
      </w:r>
      <w:r>
        <w:rPr>
          <w:rFonts w:ascii="Times New Roman" w:hAnsi="Times New Roman"/>
          <w:sz w:val="24"/>
        </w:rPr>
        <w:t xml:space="preserve"> (2024)</w:t>
      </w:r>
      <w:r w:rsidRPr="008164FA">
        <w:rPr>
          <w:rFonts w:ascii="Times New Roman" w:hAnsi="Times New Roman"/>
          <w:sz w:val="24"/>
        </w:rPr>
        <w:t xml:space="preserve">. </w:t>
      </w:r>
      <w:r>
        <w:rPr>
          <w:rFonts w:ascii="Times New Roman" w:hAnsi="Times New Roman"/>
          <w:sz w:val="24"/>
        </w:rPr>
        <w:t xml:space="preserve">Voter ID laws </w:t>
      </w:r>
      <w:r w:rsidRPr="00904FAD">
        <w:rPr>
          <w:rFonts w:ascii="Times New Roman" w:hAnsi="Times New Roman"/>
          <w:sz w:val="24"/>
        </w:rPr>
        <w:t>disproportionately affect both racial minorities and economically marginalized communities (Hajnal, Lajevardi, and Nielson 2017)</w:t>
      </w:r>
      <w:r>
        <w:rPr>
          <w:rFonts w:ascii="Times New Roman" w:hAnsi="Times New Roman"/>
          <w:sz w:val="24"/>
        </w:rPr>
        <w:t xml:space="preserve">. </w:t>
      </w:r>
      <w:r w:rsidRPr="00904FAD">
        <w:rPr>
          <w:rFonts w:ascii="Times New Roman" w:hAnsi="Times New Roman"/>
          <w:sz w:val="24"/>
        </w:rPr>
        <w:t>Poll closures and resource allocation decisions create disparate burdens across communities (Pettigrew 2017)</w:t>
      </w:r>
      <w:r>
        <w:rPr>
          <w:rFonts w:ascii="Times New Roman" w:hAnsi="Times New Roman"/>
          <w:sz w:val="24"/>
        </w:rPr>
        <w:t xml:space="preserve">. </w:t>
      </w:r>
      <w:r w:rsidRPr="008164FA">
        <w:rPr>
          <w:rFonts w:ascii="Times New Roman" w:hAnsi="Times New Roman"/>
          <w:sz w:val="24"/>
        </w:rPr>
        <w:t xml:space="preserve">This </w:t>
      </w:r>
      <w:r>
        <w:rPr>
          <w:rFonts w:ascii="Times New Roman" w:hAnsi="Times New Roman"/>
          <w:sz w:val="24"/>
        </w:rPr>
        <w:t>policies risk creating</w:t>
      </w:r>
      <w:r w:rsidRPr="008164FA">
        <w:rPr>
          <w:rFonts w:ascii="Times New Roman" w:hAnsi="Times New Roman"/>
          <w:sz w:val="24"/>
        </w:rPr>
        <w:t xml:space="preserve"> self-reinforcing cycle</w:t>
      </w:r>
      <w:r>
        <w:rPr>
          <w:rFonts w:ascii="Times New Roman" w:hAnsi="Times New Roman"/>
          <w:sz w:val="24"/>
        </w:rPr>
        <w:t>s</w:t>
      </w:r>
      <w:r w:rsidRPr="008164FA">
        <w:rPr>
          <w:rFonts w:ascii="Times New Roman" w:hAnsi="Times New Roman"/>
          <w:sz w:val="24"/>
        </w:rPr>
        <w:t xml:space="preserve"> where barriers to voting help maintain underrepresentation, which in turn affects policy choices about voting access.</w:t>
      </w:r>
      <w:r>
        <w:rPr>
          <w:rFonts w:ascii="Times New Roman" w:hAnsi="Times New Roman"/>
          <w:sz w:val="24"/>
        </w:rPr>
        <w:t xml:space="preserve"> As I will highlight in the next section, incarceration – even beyond policies surrounding voting rights for incarcerated people – is part of that picture. </w:t>
      </w:r>
    </w:p>
    <w:p w14:paraId="399AAD60" w14:textId="7CE87C70" w:rsidR="00904FAD" w:rsidRDefault="00904FAD" w:rsidP="00570D7A">
      <w:pPr>
        <w:spacing w:line="360" w:lineRule="auto"/>
        <w:rPr>
          <w:rFonts w:ascii="Times New Roman" w:hAnsi="Times New Roman"/>
          <w:sz w:val="24"/>
        </w:rPr>
      </w:pPr>
    </w:p>
    <w:p w14:paraId="70F6B80A" w14:textId="71AFB8FD" w:rsidR="00570D7A" w:rsidRDefault="00904FAD" w:rsidP="00570D7A">
      <w:pPr>
        <w:spacing w:line="360" w:lineRule="auto"/>
        <w:rPr>
          <w:rFonts w:ascii="Times New Roman" w:hAnsi="Times New Roman"/>
          <w:sz w:val="24"/>
        </w:rPr>
      </w:pPr>
      <w:r>
        <w:rPr>
          <w:rFonts w:ascii="Times New Roman" w:hAnsi="Times New Roman"/>
          <w:sz w:val="24"/>
        </w:rPr>
        <w:t xml:space="preserve">Michelle Alexander famously articulated the idea that mass incarceration is the “New Jim Crow” – a story of </w:t>
      </w:r>
      <w:r w:rsidR="0019256D">
        <w:rPr>
          <w:rFonts w:ascii="Times New Roman" w:hAnsi="Times New Roman"/>
          <w:sz w:val="24"/>
        </w:rPr>
        <w:t xml:space="preserve">white efforts to suppress the political power of Black Americans. </w:t>
      </w:r>
      <w:r w:rsidR="00570D7A" w:rsidRPr="00570D7A">
        <w:rPr>
          <w:rFonts w:ascii="Times New Roman" w:hAnsi="Times New Roman"/>
          <w:sz w:val="24"/>
        </w:rPr>
        <w:t xml:space="preserve">Fresh and Eubank (2022) </w:t>
      </w:r>
      <w:r w:rsidR="0019256D">
        <w:rPr>
          <w:rFonts w:ascii="Times New Roman" w:hAnsi="Times New Roman"/>
          <w:sz w:val="24"/>
        </w:rPr>
        <w:t>underscore this story by showing</w:t>
      </w:r>
      <w:r w:rsidR="00570D7A" w:rsidRPr="00570D7A">
        <w:rPr>
          <w:rFonts w:ascii="Times New Roman" w:hAnsi="Times New Roman"/>
          <w:sz w:val="24"/>
        </w:rPr>
        <w:t xml:space="preserve"> </w:t>
      </w:r>
      <w:r w:rsidR="0019256D">
        <w:rPr>
          <w:rFonts w:ascii="Times New Roman" w:hAnsi="Times New Roman"/>
          <w:sz w:val="24"/>
        </w:rPr>
        <w:t>how patterns</w:t>
      </w:r>
      <w:r w:rsidR="00570D7A" w:rsidRPr="00570D7A">
        <w:rPr>
          <w:rFonts w:ascii="Times New Roman" w:hAnsi="Times New Roman"/>
          <w:sz w:val="24"/>
        </w:rPr>
        <w:t xml:space="preserve"> backlash to Black political gains continued well into the 20th century, </w:t>
      </w:r>
      <w:r w:rsidR="004F1C90">
        <w:rPr>
          <w:rFonts w:ascii="Times New Roman" w:hAnsi="Times New Roman"/>
          <w:sz w:val="24"/>
        </w:rPr>
        <w:t>with</w:t>
      </w:r>
      <w:r w:rsidR="00570D7A" w:rsidRPr="00570D7A">
        <w:rPr>
          <w:rFonts w:ascii="Times New Roman" w:hAnsi="Times New Roman"/>
          <w:sz w:val="24"/>
        </w:rPr>
        <w:t xml:space="preserve"> Southern whites </w:t>
      </w:r>
      <w:r w:rsidR="004F1C90">
        <w:rPr>
          <w:rFonts w:ascii="Times New Roman" w:hAnsi="Times New Roman"/>
          <w:sz w:val="24"/>
        </w:rPr>
        <w:t>responding</w:t>
      </w:r>
      <w:r w:rsidR="00570D7A" w:rsidRPr="00570D7A">
        <w:rPr>
          <w:rFonts w:ascii="Times New Roman" w:hAnsi="Times New Roman"/>
          <w:sz w:val="24"/>
        </w:rPr>
        <w:t xml:space="preserve"> to the </w:t>
      </w:r>
      <w:r w:rsidR="004F1C90">
        <w:rPr>
          <w:rFonts w:ascii="Times New Roman" w:hAnsi="Times New Roman"/>
          <w:sz w:val="24"/>
        </w:rPr>
        <w:t>VRA</w:t>
      </w:r>
      <w:r w:rsidR="00570D7A" w:rsidRPr="00570D7A">
        <w:rPr>
          <w:rFonts w:ascii="Times New Roman" w:hAnsi="Times New Roman"/>
          <w:sz w:val="24"/>
        </w:rPr>
        <w:t xml:space="preserve"> by increasing Black incarceration particularly in areas where Black voters posed the greatest electoral threat.</w:t>
      </w:r>
      <w:r w:rsidR="0019256D">
        <w:rPr>
          <w:rFonts w:ascii="Times New Roman" w:hAnsi="Times New Roman"/>
          <w:sz w:val="24"/>
        </w:rPr>
        <w:t xml:space="preserve"> And a growing literature examines the political consequences of mass incarceration, and particularly policies vis-à-vis voting and apportionment. </w:t>
      </w:r>
      <w:r w:rsidR="00B9358D">
        <w:rPr>
          <w:rFonts w:ascii="Times New Roman" w:hAnsi="Times New Roman"/>
          <w:sz w:val="24"/>
        </w:rPr>
        <w:t xml:space="preserve">In 2014, Lerman and Weaver situated </w:t>
      </w:r>
      <w:r w:rsidR="00B9358D" w:rsidRPr="00953873">
        <w:rPr>
          <w:rFonts w:ascii="Times New Roman" w:hAnsi="Times New Roman"/>
          <w:sz w:val="24"/>
        </w:rPr>
        <w:t>the punishment system as a policy feedback apparatus that depresses political engagement</w:t>
      </w:r>
      <w:r w:rsidR="00B9358D">
        <w:rPr>
          <w:rFonts w:ascii="Times New Roman" w:hAnsi="Times New Roman"/>
          <w:sz w:val="24"/>
        </w:rPr>
        <w:t xml:space="preserve">. While a good deal of work since supports that finding – including, for example, that even short stints in jail may depress later participation (White 2019), other’s point out that </w:t>
      </w:r>
      <w:r w:rsidR="00654D20">
        <w:rPr>
          <w:rFonts w:ascii="Times New Roman" w:hAnsi="Times New Roman"/>
          <w:sz w:val="24"/>
        </w:rPr>
        <w:t xml:space="preserve">when incarcerated people develop a sense of systemic injustice while incarcerated, they become more politically mobilized </w:t>
      </w:r>
      <w:r w:rsidR="0030781C">
        <w:rPr>
          <w:rFonts w:ascii="Times New Roman" w:hAnsi="Times New Roman"/>
          <w:sz w:val="24"/>
        </w:rPr>
        <w:t>(Burch 2011, Owens</w:t>
      </w:r>
      <w:r w:rsidR="002E6116">
        <w:rPr>
          <w:rFonts w:ascii="Times New Roman" w:hAnsi="Times New Roman"/>
          <w:sz w:val="24"/>
        </w:rPr>
        <w:t xml:space="preserve"> and Walker 2018</w:t>
      </w:r>
      <w:r w:rsidR="0030781C">
        <w:rPr>
          <w:rFonts w:ascii="Times New Roman" w:hAnsi="Times New Roman"/>
          <w:sz w:val="24"/>
        </w:rPr>
        <w:t xml:space="preserve">, </w:t>
      </w:r>
      <w:r w:rsidR="00654D20">
        <w:rPr>
          <w:rFonts w:ascii="Times New Roman" w:hAnsi="Times New Roman"/>
          <w:sz w:val="24"/>
        </w:rPr>
        <w:t xml:space="preserve">Walker 2020). </w:t>
      </w:r>
      <w:r w:rsidR="0030781C">
        <w:rPr>
          <w:rFonts w:ascii="Times New Roman" w:hAnsi="Times New Roman"/>
          <w:sz w:val="24"/>
        </w:rPr>
        <w:t xml:space="preserve">Similar effect might explain mobilization among family of the incarcerated (Lee, Porter and Comfort 2014). </w:t>
      </w:r>
    </w:p>
    <w:p w14:paraId="238A4153" w14:textId="43673596" w:rsidR="00B9358D" w:rsidRDefault="00B9358D" w:rsidP="00570D7A">
      <w:pPr>
        <w:spacing w:line="360" w:lineRule="auto"/>
        <w:rPr>
          <w:rFonts w:ascii="Times New Roman" w:hAnsi="Times New Roman"/>
          <w:sz w:val="24"/>
        </w:rPr>
      </w:pPr>
    </w:p>
    <w:p w14:paraId="4A80278A" w14:textId="7850BCC8" w:rsidR="00904FAD" w:rsidRDefault="0030781C" w:rsidP="008164FA">
      <w:pPr>
        <w:spacing w:line="360" w:lineRule="auto"/>
        <w:rPr>
          <w:rFonts w:ascii="Times New Roman" w:hAnsi="Times New Roman"/>
          <w:sz w:val="24"/>
        </w:rPr>
      </w:pPr>
      <w:r>
        <w:rPr>
          <w:rFonts w:ascii="Times New Roman" w:hAnsi="Times New Roman"/>
          <w:sz w:val="24"/>
        </w:rPr>
        <w:t>Further, t</w:t>
      </w:r>
      <w:r w:rsidR="0019256D">
        <w:rPr>
          <w:rFonts w:ascii="Times New Roman" w:hAnsi="Times New Roman"/>
          <w:sz w:val="24"/>
        </w:rPr>
        <w:t>he</w:t>
      </w:r>
      <w:r w:rsidR="0019256D" w:rsidRPr="0023373B">
        <w:rPr>
          <w:rFonts w:ascii="Times New Roman" w:hAnsi="Times New Roman"/>
          <w:sz w:val="24"/>
        </w:rPr>
        <w:t xml:space="preserve"> practice of counting incarcerated individuals at their prison location rather than home community distorts representation and dilutes political power in their home communities (Wagner 2012). Kramer and Remster (2018) demonstrate how this practice systematically undermines political representation in communities most impacted by mass incarceration</w:t>
      </w:r>
      <w:r w:rsidR="0019256D">
        <w:rPr>
          <w:rFonts w:ascii="Times New Roman" w:hAnsi="Times New Roman"/>
          <w:sz w:val="24"/>
        </w:rPr>
        <w:t xml:space="preserve"> – essentially transferring political power and funding from Black to white communities in Pennsylvania. States, districts, and even counties have begun reforming their systems of apportionment to reduce this effect. I am particularly interested in how variation in these policies, as well as the presence of prisons or jails in a legislative district, affect how a legislator conceptualizes incarcerated constituencies (if at all) and views incarcerated voting policy. Scholars like Becca Thorpe </w:t>
      </w:r>
      <w:r w:rsidR="00B9358D">
        <w:rPr>
          <w:rFonts w:ascii="Times New Roman" w:hAnsi="Times New Roman"/>
          <w:sz w:val="24"/>
        </w:rPr>
        <w:t xml:space="preserve">argue that legislators are more influenced by the interests of prison economies that – particularly in white rural districts – often become primary district employers. Relatedly, I suspect that California Governor Gavin Newsom’s recent veto of legislation that would help secure voting access for eligible incarcerated people is an example of the power of Corrections Officer Unions (see </w:t>
      </w:r>
      <w:hyperlink r:id="rId13" w:history="1">
        <w:r w:rsidR="00B9358D" w:rsidRPr="00B9358D">
          <w:rPr>
            <w:rStyle w:val="Hyperlink"/>
            <w:rFonts w:ascii="Times New Roman" w:hAnsi="Times New Roman"/>
            <w:sz w:val="24"/>
          </w:rPr>
          <w:t>Sentencing Project Brief</w:t>
        </w:r>
      </w:hyperlink>
      <w:r w:rsidR="00B9358D">
        <w:rPr>
          <w:rFonts w:ascii="Times New Roman" w:hAnsi="Times New Roman"/>
          <w:sz w:val="24"/>
        </w:rPr>
        <w:t xml:space="preserve">). </w:t>
      </w:r>
    </w:p>
    <w:p w14:paraId="39C3A71F" w14:textId="77777777" w:rsidR="007C6820" w:rsidRDefault="007C6820" w:rsidP="008164FA">
      <w:pPr>
        <w:spacing w:line="360" w:lineRule="auto"/>
        <w:rPr>
          <w:rFonts w:ascii="Times New Roman" w:hAnsi="Times New Roman"/>
          <w:sz w:val="24"/>
        </w:rPr>
      </w:pPr>
    </w:p>
    <w:p w14:paraId="6620D615" w14:textId="6E094C5B" w:rsidR="007C6820" w:rsidRPr="0082521E" w:rsidRDefault="007C6820" w:rsidP="003E43D3">
      <w:pPr>
        <w:spacing w:line="360" w:lineRule="auto"/>
        <w:rPr>
          <w:rFonts w:ascii="Times New Roman" w:hAnsi="Times New Roman"/>
          <w:b/>
          <w:bCs/>
          <w:sz w:val="28"/>
          <w:szCs w:val="28"/>
        </w:rPr>
      </w:pPr>
      <w:r w:rsidRPr="0082521E">
        <w:rPr>
          <w:rFonts w:ascii="Times New Roman" w:hAnsi="Times New Roman"/>
          <w:b/>
          <w:bCs/>
          <w:sz w:val="28"/>
          <w:szCs w:val="28"/>
        </w:rPr>
        <w:t xml:space="preserve">Section </w:t>
      </w:r>
      <w:r w:rsidR="00DE1543" w:rsidRPr="0082521E">
        <w:rPr>
          <w:rFonts w:ascii="Times New Roman" w:hAnsi="Times New Roman"/>
          <w:b/>
          <w:bCs/>
          <w:sz w:val="28"/>
          <w:szCs w:val="28"/>
        </w:rPr>
        <w:t>3</w:t>
      </w:r>
      <w:r w:rsidRPr="0082521E">
        <w:rPr>
          <w:rFonts w:ascii="Times New Roman" w:hAnsi="Times New Roman"/>
          <w:b/>
          <w:bCs/>
          <w:sz w:val="28"/>
          <w:szCs w:val="28"/>
        </w:rPr>
        <w:t>: Status of Descriptive Representation and Implications for Substantive Representation</w:t>
      </w:r>
    </w:p>
    <w:p w14:paraId="69566C0B" w14:textId="285DC558" w:rsidR="007C6820" w:rsidRDefault="007C6820" w:rsidP="007C6820">
      <w:pPr>
        <w:spacing w:line="360" w:lineRule="auto"/>
        <w:rPr>
          <w:rFonts w:ascii="Times New Roman" w:hAnsi="Times New Roman"/>
          <w:sz w:val="24"/>
        </w:rPr>
      </w:pPr>
      <w:r>
        <w:rPr>
          <w:rFonts w:ascii="Times New Roman" w:hAnsi="Times New Roman"/>
          <w:sz w:val="24"/>
        </w:rPr>
        <w:t xml:space="preserve">When considering the narrowest conception of “carceral representation,” or descriptive representation for incarcerated populations, the gaps are stark. There are over two million </w:t>
      </w:r>
      <w:r w:rsidRPr="00167EFC">
        <w:rPr>
          <w:rFonts w:ascii="Times New Roman" w:hAnsi="Times New Roman"/>
          <w:sz w:val="24"/>
        </w:rPr>
        <w:t>people in state and federal prisons and an additional 500,000+ held pre-trial or on misdemeanor convictions in county jails</w:t>
      </w:r>
      <w:r>
        <w:rPr>
          <w:rFonts w:ascii="Times New Roman" w:hAnsi="Times New Roman"/>
          <w:sz w:val="24"/>
        </w:rPr>
        <w:t xml:space="preserve"> – but currently only five state legislators who have experienced incarceration in prison </w:t>
      </w:r>
      <w:r w:rsidRPr="00167EFC">
        <w:rPr>
          <w:rFonts w:ascii="Times New Roman" w:hAnsi="Times New Roman"/>
          <w:sz w:val="24"/>
        </w:rPr>
        <w:t>(Bureau of Justice 2023, Rosewood and Wang 2024)</w:t>
      </w:r>
      <w:r>
        <w:rPr>
          <w:rFonts w:ascii="Times New Roman" w:hAnsi="Times New Roman"/>
          <w:sz w:val="24"/>
        </w:rPr>
        <w:t xml:space="preserve">. Notably, each of these legislators centers their identity as formerly incarcerated people, and criminal legal reform in their platforms and legislative activity. This numerical discrepancy becomes even more striking when you consider the broader justice-impacted population, including 3 million people on probation and parole and </w:t>
      </w:r>
      <w:r w:rsidR="0030781C">
        <w:rPr>
          <w:rFonts w:ascii="Times New Roman" w:hAnsi="Times New Roman"/>
          <w:sz w:val="24"/>
        </w:rPr>
        <w:t>5% of the US population (nearly 30% of Black men) who may experience incarceration if current rates remain largely unchanged (</w:t>
      </w:r>
      <w:proofErr w:type="spellStart"/>
      <w:r w:rsidR="0030781C">
        <w:rPr>
          <w:rFonts w:ascii="Times New Roman" w:hAnsi="Times New Roman"/>
          <w:sz w:val="24"/>
        </w:rPr>
        <w:t>Bonczar</w:t>
      </w:r>
      <w:proofErr w:type="spellEnd"/>
      <w:r w:rsidR="0030781C">
        <w:rPr>
          <w:rFonts w:ascii="Times New Roman" w:hAnsi="Times New Roman"/>
          <w:sz w:val="24"/>
        </w:rPr>
        <w:t xml:space="preserve">, Beck 1997). </w:t>
      </w:r>
    </w:p>
    <w:p w14:paraId="337BD430" w14:textId="77777777" w:rsidR="007C6820" w:rsidRDefault="007C6820" w:rsidP="007C6820">
      <w:pPr>
        <w:spacing w:line="360" w:lineRule="auto"/>
        <w:rPr>
          <w:rFonts w:ascii="Times New Roman" w:hAnsi="Times New Roman"/>
          <w:sz w:val="24"/>
        </w:rPr>
      </w:pPr>
    </w:p>
    <w:p w14:paraId="30880862" w14:textId="77777777" w:rsidR="007C6820" w:rsidRDefault="007C6820" w:rsidP="007C6820">
      <w:pPr>
        <w:spacing w:line="360" w:lineRule="auto"/>
        <w:rPr>
          <w:rFonts w:ascii="Times New Roman" w:hAnsi="Times New Roman"/>
          <w:sz w:val="24"/>
        </w:rPr>
      </w:pPr>
      <w:r>
        <w:rPr>
          <w:rFonts w:ascii="Times New Roman" w:hAnsi="Times New Roman"/>
          <w:sz w:val="24"/>
        </w:rPr>
        <w:t xml:space="preserve">I suspect that the case in Massachusetts suggests that incarcerated interests can be meaningfully represented by those who are impacted more broadly – while I am using Black descriptive </w:t>
      </w:r>
      <w:r>
        <w:rPr>
          <w:rFonts w:ascii="Times New Roman" w:hAnsi="Times New Roman"/>
          <w:sz w:val="24"/>
        </w:rPr>
        <w:lastRenderedPageBreak/>
        <w:t xml:space="preserve">representation largely as a surrogate in this paper, I hope to eventually investigate the role that directly-impacted legislators more broadly (or specifically) play in representation, responsiveness, and policy change. In the interim, I will next review literature on the state of representation and evidence of its relationship with substantive representation and finally responsiveness. </w:t>
      </w:r>
    </w:p>
    <w:p w14:paraId="6DB6745C" w14:textId="77777777" w:rsidR="007C6820" w:rsidRDefault="007C6820" w:rsidP="007C6820">
      <w:pPr>
        <w:spacing w:line="360" w:lineRule="auto"/>
        <w:rPr>
          <w:rFonts w:ascii="Times New Roman" w:hAnsi="Times New Roman"/>
          <w:sz w:val="24"/>
        </w:rPr>
      </w:pPr>
    </w:p>
    <w:p w14:paraId="0B9AE8AF" w14:textId="77777777" w:rsidR="007C6820" w:rsidRPr="008F147A" w:rsidRDefault="007C6820" w:rsidP="007C6820">
      <w:pPr>
        <w:spacing w:line="360" w:lineRule="auto"/>
        <w:rPr>
          <w:rFonts w:ascii="Times New Roman" w:hAnsi="Times New Roman"/>
          <w:sz w:val="24"/>
          <w:u w:val="single"/>
        </w:rPr>
      </w:pPr>
      <w:r w:rsidRPr="008F147A">
        <w:rPr>
          <w:rFonts w:ascii="Times New Roman" w:hAnsi="Times New Roman"/>
          <w:sz w:val="24"/>
          <w:u w:val="single"/>
        </w:rPr>
        <w:t xml:space="preserve">Racial, Ethnic, and </w:t>
      </w:r>
      <w:proofErr w:type="gramStart"/>
      <w:r w:rsidRPr="008F147A">
        <w:rPr>
          <w:rFonts w:ascii="Times New Roman" w:hAnsi="Times New Roman"/>
          <w:sz w:val="24"/>
          <w:u w:val="single"/>
        </w:rPr>
        <w:t>Socioeconomic  Representation</w:t>
      </w:r>
      <w:proofErr w:type="gramEnd"/>
    </w:p>
    <w:p w14:paraId="4140782C" w14:textId="635C520B" w:rsidR="007C6820" w:rsidRDefault="007C6820" w:rsidP="007C6820">
      <w:pPr>
        <w:spacing w:line="360" w:lineRule="auto"/>
        <w:rPr>
          <w:rFonts w:ascii="Times New Roman" w:hAnsi="Times New Roman"/>
          <w:sz w:val="24"/>
        </w:rPr>
      </w:pPr>
      <w:r>
        <w:rPr>
          <w:rFonts w:ascii="Times New Roman" w:hAnsi="Times New Roman"/>
          <w:sz w:val="24"/>
        </w:rPr>
        <w:t xml:space="preserve">While Black and minority descriptive representation has made gains since </w:t>
      </w:r>
      <w:r w:rsidRPr="00953873">
        <w:rPr>
          <w:rFonts w:ascii="Times New Roman" w:hAnsi="Times New Roman"/>
          <w:sz w:val="24"/>
        </w:rPr>
        <w:t>the passage of the VRA</w:t>
      </w:r>
      <w:r>
        <w:rPr>
          <w:rFonts w:ascii="Times New Roman" w:hAnsi="Times New Roman"/>
          <w:sz w:val="24"/>
        </w:rPr>
        <w:t>, Congress and legislatures fall of proportional representation</w:t>
      </w:r>
      <w:r w:rsidRPr="00953873">
        <w:rPr>
          <w:rFonts w:ascii="Times New Roman" w:hAnsi="Times New Roman"/>
          <w:sz w:val="24"/>
        </w:rPr>
        <w:t xml:space="preserve"> (McClain and Carew</w:t>
      </w:r>
      <w:r>
        <w:rPr>
          <w:rFonts w:ascii="Times New Roman" w:hAnsi="Times New Roman"/>
          <w:sz w:val="24"/>
        </w:rPr>
        <w:t xml:space="preserve"> </w:t>
      </w:r>
      <w:r w:rsidRPr="00953873">
        <w:rPr>
          <w:rFonts w:ascii="Times New Roman" w:hAnsi="Times New Roman"/>
          <w:sz w:val="24"/>
        </w:rPr>
        <w:t>2017</w:t>
      </w:r>
      <w:r>
        <w:rPr>
          <w:rFonts w:ascii="Times New Roman" w:hAnsi="Times New Roman"/>
          <w:sz w:val="24"/>
        </w:rPr>
        <w:t>, Pew 2023</w:t>
      </w:r>
      <w:r w:rsidRPr="00953873">
        <w:rPr>
          <w:rFonts w:ascii="Times New Roman" w:hAnsi="Times New Roman"/>
          <w:sz w:val="24"/>
        </w:rPr>
        <w:t>)</w:t>
      </w:r>
      <w:r>
        <w:rPr>
          <w:rFonts w:ascii="Times New Roman" w:hAnsi="Times New Roman"/>
          <w:sz w:val="24"/>
        </w:rPr>
        <w:t>. On aggregate, s</w:t>
      </w:r>
      <w:r w:rsidRPr="00953873">
        <w:rPr>
          <w:rFonts w:ascii="Times New Roman" w:hAnsi="Times New Roman"/>
          <w:sz w:val="24"/>
        </w:rPr>
        <w:t xml:space="preserve">tate legislatures </w:t>
      </w:r>
      <w:r>
        <w:rPr>
          <w:rFonts w:ascii="Times New Roman" w:hAnsi="Times New Roman"/>
          <w:sz w:val="24"/>
        </w:rPr>
        <w:t xml:space="preserve">continue to dramatically under </w:t>
      </w:r>
      <w:r w:rsidRPr="00953873">
        <w:rPr>
          <w:rFonts w:ascii="Times New Roman" w:hAnsi="Times New Roman"/>
          <w:sz w:val="24"/>
        </w:rPr>
        <w:t>dramatically underrepresent the demographic groups most affected by incarceration</w:t>
      </w:r>
      <w:r>
        <w:rPr>
          <w:rFonts w:ascii="Times New Roman" w:hAnsi="Times New Roman"/>
          <w:sz w:val="24"/>
        </w:rPr>
        <w:t xml:space="preserve"> – composed of only 10.55% Black and 6.34% Hispanic elected officials. </w:t>
      </w:r>
      <w:r w:rsidR="00F213C0">
        <w:rPr>
          <w:rFonts w:ascii="Times New Roman" w:hAnsi="Times New Roman"/>
          <w:sz w:val="24"/>
        </w:rPr>
        <w:t>Clark and Hansen (2020) find that while there is variance across states, historically underrepresented groups are represented at the same proportions in legislative leadership positions as in general bodies. This includes Black, Latino, and women legislators, and legislators from working class backgrounds – the latter who are also underrepresented in legislative bodies. Carnes (2012) finds that e</w:t>
      </w:r>
      <w:r>
        <w:rPr>
          <w:rFonts w:ascii="Times New Roman" w:hAnsi="Times New Roman"/>
          <w:sz w:val="24"/>
        </w:rPr>
        <w:t xml:space="preserve">lected officials in congress and in the states are “almost always wealthier, more educated, and more likely to come from white-collar jobs than the citizens who elect them” (Carnes 2012). </w:t>
      </w:r>
      <w:r w:rsidRPr="00A73870">
        <w:rPr>
          <w:rFonts w:ascii="Times New Roman" w:hAnsi="Times New Roman"/>
          <w:sz w:val="24"/>
        </w:rPr>
        <w:t>In Congress, less than 2 percent of the average representative's pre-congressional career was spent in working-class jobs, contrasting sharply with the over 50% working-class composition of the U.S. labor force (Carnes and Lupu 2015).</w:t>
      </w:r>
    </w:p>
    <w:p w14:paraId="614F09AC" w14:textId="77777777" w:rsidR="007C6820" w:rsidRDefault="007C6820" w:rsidP="007C6820">
      <w:pPr>
        <w:spacing w:line="360" w:lineRule="auto"/>
        <w:rPr>
          <w:rFonts w:ascii="Times New Roman" w:hAnsi="Times New Roman"/>
          <w:sz w:val="24"/>
        </w:rPr>
      </w:pPr>
    </w:p>
    <w:p w14:paraId="3032F596" w14:textId="77777777" w:rsidR="007C6820" w:rsidRPr="008F147A" w:rsidRDefault="007C6820" w:rsidP="007C6820">
      <w:pPr>
        <w:spacing w:line="360" w:lineRule="auto"/>
        <w:rPr>
          <w:rFonts w:ascii="Times New Roman" w:hAnsi="Times New Roman"/>
          <w:sz w:val="24"/>
          <w:u w:val="single"/>
        </w:rPr>
      </w:pPr>
      <w:r w:rsidRPr="008F147A">
        <w:rPr>
          <w:rFonts w:ascii="Times New Roman" w:hAnsi="Times New Roman"/>
          <w:sz w:val="24"/>
          <w:u w:val="single"/>
        </w:rPr>
        <w:t>Descriptive Representation Matters for Substantive Representation</w:t>
      </w:r>
    </w:p>
    <w:p w14:paraId="2B8609B5" w14:textId="3A55AE2D" w:rsidR="00EE13B4" w:rsidRDefault="007C6820" w:rsidP="008E14ED">
      <w:pPr>
        <w:spacing w:line="360" w:lineRule="auto"/>
        <w:rPr>
          <w:rFonts w:ascii="Times New Roman" w:hAnsi="Times New Roman"/>
          <w:sz w:val="24"/>
        </w:rPr>
      </w:pPr>
      <w:r>
        <w:rPr>
          <w:rFonts w:ascii="Times New Roman" w:hAnsi="Times New Roman"/>
          <w:sz w:val="24"/>
        </w:rPr>
        <w:t>“Descriptive representation transforms democratic institutions,” Brown, Clark, Mahoney and Strawbridge write (2023). In their article, building on Brown’s work in particular, the authors show how that the election of Black women to congress has facilitated the crystallization of interests. Abundant scholarship demonstrates descriptive representation translates to substantive representation on myriad levels of governance, starting with the Fenno-</w:t>
      </w:r>
      <w:proofErr w:type="spellStart"/>
      <w:r>
        <w:rPr>
          <w:rFonts w:ascii="Times New Roman" w:hAnsi="Times New Roman"/>
          <w:sz w:val="24"/>
        </w:rPr>
        <w:t>esque</w:t>
      </w:r>
      <w:proofErr w:type="spellEnd"/>
      <w:r>
        <w:rPr>
          <w:rFonts w:ascii="Times New Roman" w:hAnsi="Times New Roman"/>
          <w:sz w:val="24"/>
        </w:rPr>
        <w:t xml:space="preserve"> question of </w:t>
      </w:r>
      <w:r>
        <w:rPr>
          <w:rFonts w:ascii="Times New Roman" w:hAnsi="Times New Roman"/>
          <w:i/>
          <w:iCs/>
          <w:sz w:val="24"/>
        </w:rPr>
        <w:t>who</w:t>
      </w:r>
      <w:r>
        <w:rPr>
          <w:rFonts w:ascii="Times New Roman" w:hAnsi="Times New Roman"/>
          <w:sz w:val="24"/>
        </w:rPr>
        <w:t xml:space="preserve"> a legislator pictures when they picture their constituency. On the individual level, legislators are more responsive to constituents with whom they share personal characteristics like race and class in roll call votes</w:t>
      </w:r>
      <w:r w:rsidR="006B20D0">
        <w:rPr>
          <w:rFonts w:ascii="Times New Roman" w:hAnsi="Times New Roman"/>
          <w:sz w:val="24"/>
        </w:rPr>
        <w:t xml:space="preserve"> – underscoring direct consequences of enduring legacies of white political </w:t>
      </w:r>
      <w:r w:rsidR="006B20D0">
        <w:rPr>
          <w:rFonts w:ascii="Times New Roman" w:hAnsi="Times New Roman"/>
          <w:sz w:val="24"/>
        </w:rPr>
        <w:lastRenderedPageBreak/>
        <w:t>dominance and the necessity of descriptive representation as part of the solution</w:t>
      </w:r>
      <w:r>
        <w:rPr>
          <w:rFonts w:ascii="Times New Roman" w:hAnsi="Times New Roman"/>
          <w:sz w:val="24"/>
        </w:rPr>
        <w:t xml:space="preserve"> (Hutchings 1998, Tate 200</w:t>
      </w:r>
      <w:r w:rsidR="00DD6492">
        <w:rPr>
          <w:rFonts w:ascii="Times New Roman" w:hAnsi="Times New Roman"/>
          <w:sz w:val="24"/>
        </w:rPr>
        <w:t>4</w:t>
      </w:r>
      <w:r>
        <w:rPr>
          <w:rFonts w:ascii="Times New Roman" w:hAnsi="Times New Roman"/>
          <w:sz w:val="24"/>
        </w:rPr>
        <w:t>, Burden 2007, Carnes 2012).</w:t>
      </w:r>
      <w:r w:rsidR="00EE13B4">
        <w:rPr>
          <w:rFonts w:ascii="Times New Roman" w:hAnsi="Times New Roman"/>
          <w:sz w:val="24"/>
        </w:rPr>
        <w:t xml:space="preserve"> </w:t>
      </w:r>
      <w:r w:rsidR="006B20D0">
        <w:rPr>
          <w:rFonts w:ascii="Times New Roman" w:hAnsi="Times New Roman"/>
          <w:sz w:val="24"/>
        </w:rPr>
        <w:t xml:space="preserve">While in some contexts, white liberal Democrats can </w:t>
      </w:r>
      <w:r w:rsidR="00EE13B4">
        <w:rPr>
          <w:rFonts w:ascii="Times New Roman" w:hAnsi="Times New Roman"/>
          <w:sz w:val="24"/>
        </w:rPr>
        <w:t xml:space="preserve">proxy substantive for Black Democrats, Black legislators do so with meaningful differences and without white </w:t>
      </w:r>
      <w:proofErr w:type="gramStart"/>
      <w:r w:rsidR="00EE13B4">
        <w:rPr>
          <w:rFonts w:ascii="Times New Roman" w:hAnsi="Times New Roman"/>
          <w:sz w:val="24"/>
        </w:rPr>
        <w:t>legislators</w:t>
      </w:r>
      <w:proofErr w:type="gramEnd"/>
      <w:r w:rsidR="00EE13B4">
        <w:rPr>
          <w:rFonts w:ascii="Times New Roman" w:hAnsi="Times New Roman"/>
          <w:sz w:val="24"/>
        </w:rPr>
        <w:t xml:space="preserve"> tendency to limit their responsiveness to Black constituencies to times of political opportunity (Lublin 1999, Grose 2011). </w:t>
      </w:r>
      <w:r>
        <w:rPr>
          <w:rFonts w:ascii="Times New Roman" w:hAnsi="Times New Roman"/>
          <w:sz w:val="24"/>
        </w:rPr>
        <w:t xml:space="preserve"> Black legislators are intrinsically motivated to represent Black interests (</w:t>
      </w:r>
      <w:proofErr w:type="spellStart"/>
      <w:r>
        <w:rPr>
          <w:rFonts w:ascii="Times New Roman" w:hAnsi="Times New Roman"/>
          <w:sz w:val="24"/>
        </w:rPr>
        <w:t>Broockman</w:t>
      </w:r>
      <w:proofErr w:type="spellEnd"/>
      <w:r>
        <w:rPr>
          <w:rFonts w:ascii="Times New Roman" w:hAnsi="Times New Roman"/>
          <w:sz w:val="24"/>
        </w:rPr>
        <w:t xml:space="preserve"> 2013), and while subject to political context and racialization – Black descriptive</w:t>
      </w:r>
      <w:r w:rsidRPr="00953873">
        <w:rPr>
          <w:rFonts w:ascii="Times New Roman" w:hAnsi="Times New Roman"/>
          <w:sz w:val="24"/>
        </w:rPr>
        <w:t xml:space="preserve"> representation influences </w:t>
      </w:r>
      <w:r>
        <w:rPr>
          <w:rFonts w:ascii="Times New Roman" w:hAnsi="Times New Roman"/>
          <w:sz w:val="24"/>
        </w:rPr>
        <w:t xml:space="preserve">state </w:t>
      </w:r>
      <w:r w:rsidRPr="00953873">
        <w:rPr>
          <w:rFonts w:ascii="Times New Roman" w:hAnsi="Times New Roman"/>
          <w:sz w:val="24"/>
        </w:rPr>
        <w:t>policy agendas and outcomes (</w:t>
      </w:r>
      <w:proofErr w:type="spellStart"/>
      <w:r w:rsidRPr="00953873">
        <w:rPr>
          <w:rFonts w:ascii="Times New Roman" w:hAnsi="Times New Roman"/>
          <w:sz w:val="24"/>
        </w:rPr>
        <w:t>Preuhs</w:t>
      </w:r>
      <w:proofErr w:type="spellEnd"/>
      <w:r w:rsidRPr="00953873">
        <w:rPr>
          <w:rFonts w:ascii="Times New Roman" w:hAnsi="Times New Roman"/>
          <w:sz w:val="24"/>
        </w:rPr>
        <w:t xml:space="preserve"> 2006)</w:t>
      </w:r>
      <w:r>
        <w:rPr>
          <w:rFonts w:ascii="Times New Roman" w:hAnsi="Times New Roman"/>
          <w:sz w:val="24"/>
        </w:rPr>
        <w:t>. This extends to legislative committees (Gamble 2007).</w:t>
      </w:r>
    </w:p>
    <w:p w14:paraId="3D7036B0" w14:textId="77777777" w:rsidR="00EE13B4" w:rsidRDefault="00EE13B4" w:rsidP="00EE13B4">
      <w:pPr>
        <w:spacing w:line="360" w:lineRule="auto"/>
        <w:rPr>
          <w:rFonts w:ascii="Times New Roman" w:hAnsi="Times New Roman"/>
          <w:sz w:val="24"/>
        </w:rPr>
      </w:pPr>
    </w:p>
    <w:p w14:paraId="3FDEE28C" w14:textId="3C1606BF" w:rsidR="00EE13B4" w:rsidRDefault="00EE13B4" w:rsidP="007C6820">
      <w:pPr>
        <w:spacing w:line="360" w:lineRule="auto"/>
        <w:rPr>
          <w:rFonts w:ascii="Times New Roman" w:hAnsi="Times New Roman"/>
          <w:sz w:val="24"/>
        </w:rPr>
      </w:pPr>
      <w:r>
        <w:rPr>
          <w:rFonts w:ascii="Times New Roman" w:hAnsi="Times New Roman"/>
          <w:sz w:val="24"/>
        </w:rPr>
        <w:t xml:space="preserve">Further, </w:t>
      </w:r>
      <w:r w:rsidR="007C6820">
        <w:rPr>
          <w:rFonts w:ascii="Times New Roman" w:hAnsi="Times New Roman"/>
          <w:sz w:val="24"/>
        </w:rPr>
        <w:t xml:space="preserve">Black descriptive representation generates political empowerment and participation (Bobo and Gilliam 1990, Clark 2019). As Mansbridge stressed, symbolic effects of descriptive representation </w:t>
      </w:r>
      <w:r w:rsidR="007C6820" w:rsidRPr="004B22F4">
        <w:rPr>
          <w:rFonts w:ascii="Times New Roman" w:hAnsi="Times New Roman"/>
          <w:i/>
          <w:iCs/>
          <w:sz w:val="24"/>
        </w:rPr>
        <w:t>are</w:t>
      </w:r>
      <w:r w:rsidR="007C6820">
        <w:rPr>
          <w:rFonts w:ascii="Times New Roman" w:hAnsi="Times New Roman"/>
          <w:sz w:val="24"/>
        </w:rPr>
        <w:t xml:space="preserve"> substantive – and symbolic acts demonstrating shared identity, experience, and commitments, are an important link. </w:t>
      </w:r>
      <w:r w:rsidR="007C6820" w:rsidRPr="004B22F4">
        <w:rPr>
          <w:rFonts w:ascii="Times New Roman" w:hAnsi="Times New Roman"/>
          <w:sz w:val="24"/>
        </w:rPr>
        <w:t>Black</w:t>
      </w:r>
      <w:r w:rsidR="007C6820">
        <w:rPr>
          <w:rFonts w:ascii="Times New Roman" w:hAnsi="Times New Roman"/>
          <w:sz w:val="24"/>
        </w:rPr>
        <w:t xml:space="preserve"> legislators introduce more civil rights </w:t>
      </w:r>
      <w:proofErr w:type="gramStart"/>
      <w:r w:rsidR="007C6820">
        <w:rPr>
          <w:rFonts w:ascii="Times New Roman" w:hAnsi="Times New Roman"/>
          <w:sz w:val="24"/>
        </w:rPr>
        <w:t>legislation</w:t>
      </w:r>
      <w:proofErr w:type="gramEnd"/>
      <w:r w:rsidR="007C6820">
        <w:rPr>
          <w:rFonts w:ascii="Times New Roman" w:hAnsi="Times New Roman"/>
          <w:sz w:val="24"/>
        </w:rPr>
        <w:t xml:space="preserve"> and they are more likely to talk about civil rights on the House Floor – and </w:t>
      </w:r>
      <w:r>
        <w:rPr>
          <w:rFonts w:ascii="Times New Roman" w:hAnsi="Times New Roman"/>
          <w:sz w:val="24"/>
        </w:rPr>
        <w:t xml:space="preserve">when they do, they increase Black </w:t>
      </w:r>
      <w:proofErr w:type="gramStart"/>
      <w:r>
        <w:rPr>
          <w:rFonts w:ascii="Times New Roman" w:hAnsi="Times New Roman"/>
          <w:sz w:val="24"/>
        </w:rPr>
        <w:t>constituents</w:t>
      </w:r>
      <w:proofErr w:type="gramEnd"/>
      <w:r>
        <w:rPr>
          <w:rFonts w:ascii="Times New Roman" w:hAnsi="Times New Roman"/>
          <w:sz w:val="24"/>
        </w:rPr>
        <w:t xml:space="preserve"> evaluations of them (also to some degree, of white legislators who invoke civil rights) </w:t>
      </w:r>
      <w:r w:rsidR="007C6820">
        <w:rPr>
          <w:rFonts w:ascii="Times New Roman" w:hAnsi="Times New Roman"/>
          <w:sz w:val="24"/>
        </w:rPr>
        <w:t>and Black voter turnout (Tate 200</w:t>
      </w:r>
      <w:r w:rsidR="00DD6492">
        <w:rPr>
          <w:rFonts w:ascii="Times New Roman" w:hAnsi="Times New Roman"/>
          <w:sz w:val="24"/>
        </w:rPr>
        <w:t>4</w:t>
      </w:r>
      <w:r w:rsidR="007C6820">
        <w:rPr>
          <w:rFonts w:ascii="Times New Roman" w:hAnsi="Times New Roman"/>
          <w:sz w:val="24"/>
        </w:rPr>
        <w:t xml:space="preserve">, Dietrich and Hayes, 2023). Such symbolic representation signals empathy and issue commitments to constituencies (Gillion 2016). </w:t>
      </w:r>
    </w:p>
    <w:p w14:paraId="4C643EF7" w14:textId="77777777" w:rsidR="00EE13B4" w:rsidRDefault="00EE13B4" w:rsidP="007C6820">
      <w:pPr>
        <w:spacing w:line="360" w:lineRule="auto"/>
        <w:rPr>
          <w:rFonts w:ascii="Times New Roman" w:hAnsi="Times New Roman"/>
          <w:sz w:val="24"/>
        </w:rPr>
      </w:pPr>
    </w:p>
    <w:p w14:paraId="128D92F9" w14:textId="1CFFA473" w:rsidR="007E2A4F" w:rsidRDefault="008E14ED" w:rsidP="007E2A4F">
      <w:pPr>
        <w:spacing w:line="360" w:lineRule="auto"/>
        <w:rPr>
          <w:rFonts w:ascii="Times New Roman" w:hAnsi="Times New Roman"/>
          <w:sz w:val="24"/>
        </w:rPr>
      </w:pPr>
      <w:r>
        <w:rPr>
          <w:rFonts w:ascii="Times New Roman" w:hAnsi="Times New Roman"/>
          <w:sz w:val="24"/>
        </w:rPr>
        <w:t xml:space="preserve">Shortfalls in Black, Hispanic (although I have not addressed non-Black descriptive representation much), and low-income descriptive representation is likely consequential for criminal legal policy, and part of our story about why change surrounding incarcerated voting policies is happening in Massachusetts, and other states. Black descriptive representation changes how criminal legal policy is approached. </w:t>
      </w:r>
      <w:r w:rsidRPr="00A73870">
        <w:rPr>
          <w:rFonts w:ascii="Times New Roman" w:hAnsi="Times New Roman"/>
          <w:sz w:val="24"/>
        </w:rPr>
        <w:t>Black legislators are more likely to introduce and support criminal justice reform legislation (Owens 2020).</w:t>
      </w:r>
      <w:r>
        <w:rPr>
          <w:rFonts w:ascii="Times New Roman" w:hAnsi="Times New Roman"/>
          <w:sz w:val="24"/>
        </w:rPr>
        <w:t xml:space="preserve"> </w:t>
      </w:r>
      <w:r w:rsidRPr="00A73870">
        <w:rPr>
          <w:rFonts w:ascii="Times New Roman" w:hAnsi="Times New Roman"/>
          <w:sz w:val="24"/>
        </w:rPr>
        <w:t>States with higher proportions of Black legislators tend to demonstrate different approaches to criminal justice policy, though these effects often depend on factors like party control and overall minority representation proportions (Hawkesworth 2003).</w:t>
      </w:r>
      <w:r w:rsidR="00AF4CE2">
        <w:rPr>
          <w:rFonts w:ascii="Times New Roman" w:hAnsi="Times New Roman"/>
          <w:sz w:val="24"/>
        </w:rPr>
        <w:t xml:space="preserve"> </w:t>
      </w:r>
      <w:r w:rsidR="00AF4CE2" w:rsidRPr="00A73870">
        <w:rPr>
          <w:rFonts w:ascii="Times New Roman" w:hAnsi="Times New Roman"/>
          <w:sz w:val="24"/>
        </w:rPr>
        <w:t xml:space="preserve">Black constituents report feeling better represented – </w:t>
      </w:r>
      <w:r w:rsidR="00AF4CE2">
        <w:rPr>
          <w:rFonts w:ascii="Times New Roman" w:hAnsi="Times New Roman"/>
          <w:sz w:val="24"/>
        </w:rPr>
        <w:t>that they</w:t>
      </w:r>
      <w:r w:rsidR="00AF4CE2" w:rsidRPr="00A73870">
        <w:rPr>
          <w:rFonts w:ascii="Times New Roman" w:hAnsi="Times New Roman"/>
          <w:sz w:val="24"/>
        </w:rPr>
        <w:t xml:space="preserve"> a stronger say in government actions – when represented by Black legislators (Gleason and Stout 2014)</w:t>
      </w:r>
      <w:r w:rsidR="00AF4CE2">
        <w:rPr>
          <w:rFonts w:ascii="Times New Roman" w:hAnsi="Times New Roman"/>
          <w:sz w:val="24"/>
        </w:rPr>
        <w:t>.</w:t>
      </w:r>
      <w:r w:rsidR="005D2E30">
        <w:rPr>
          <w:rFonts w:ascii="Times New Roman" w:hAnsi="Times New Roman"/>
          <w:sz w:val="24"/>
        </w:rPr>
        <w:t xml:space="preserve"> And more broadly, Black, respondents are significantly more supportive of protecting the rights and ability of incarcerated people to vote, regardless of conviction (Sentencing Project 2023). </w:t>
      </w:r>
      <w:r w:rsidR="007E2A4F">
        <w:rPr>
          <w:rFonts w:ascii="Times New Roman" w:hAnsi="Times New Roman"/>
          <w:sz w:val="24"/>
        </w:rPr>
        <w:lastRenderedPageBreak/>
        <w:t>Further, t</w:t>
      </w:r>
      <w:r w:rsidR="007E2A4F" w:rsidRPr="00A73870">
        <w:rPr>
          <w:rFonts w:ascii="Times New Roman" w:hAnsi="Times New Roman"/>
          <w:sz w:val="24"/>
        </w:rPr>
        <w:t>he absence of legislators with direct experience of economic marginalization may affect understanding of how criminal justice policies intersect with economic vulnerability.</w:t>
      </w:r>
      <w:r w:rsidR="007E2A4F">
        <w:rPr>
          <w:rFonts w:ascii="Times New Roman" w:hAnsi="Times New Roman"/>
          <w:sz w:val="24"/>
        </w:rPr>
        <w:t xml:space="preserve"> </w:t>
      </w:r>
    </w:p>
    <w:p w14:paraId="464CE2FB" w14:textId="77777777" w:rsidR="0030781C" w:rsidRDefault="0030781C" w:rsidP="007E2A4F">
      <w:pPr>
        <w:spacing w:line="360" w:lineRule="auto"/>
        <w:rPr>
          <w:rFonts w:ascii="Times New Roman" w:hAnsi="Times New Roman"/>
          <w:sz w:val="24"/>
        </w:rPr>
      </w:pPr>
    </w:p>
    <w:p w14:paraId="0B531B3A" w14:textId="3B2B2647" w:rsidR="0030781C" w:rsidRPr="0082521E" w:rsidRDefault="0040713C" w:rsidP="007E2A4F">
      <w:pPr>
        <w:spacing w:line="360" w:lineRule="auto"/>
        <w:rPr>
          <w:rFonts w:ascii="Times New Roman" w:hAnsi="Times New Roman"/>
          <w:b/>
          <w:bCs/>
          <w:sz w:val="28"/>
          <w:szCs w:val="28"/>
        </w:rPr>
      </w:pPr>
      <w:r w:rsidRPr="0082521E">
        <w:rPr>
          <w:rFonts w:ascii="Times New Roman" w:hAnsi="Times New Roman"/>
          <w:b/>
          <w:bCs/>
          <w:sz w:val="28"/>
          <w:szCs w:val="28"/>
        </w:rPr>
        <w:t>Conclusion</w:t>
      </w:r>
    </w:p>
    <w:p w14:paraId="7C8CB132" w14:textId="76664D9D" w:rsidR="00EB7F8E" w:rsidRDefault="00EB7F8E" w:rsidP="007E2A4F">
      <w:pPr>
        <w:spacing w:line="360" w:lineRule="auto"/>
        <w:rPr>
          <w:rFonts w:ascii="Times New Roman" w:hAnsi="Times New Roman"/>
          <w:sz w:val="24"/>
        </w:rPr>
      </w:pPr>
      <w:r>
        <w:rPr>
          <w:rFonts w:ascii="Times New Roman" w:hAnsi="Times New Roman"/>
          <w:sz w:val="24"/>
        </w:rPr>
        <w:t xml:space="preserve">At the outset of this literature review, I ask how legislators like Senator Finegold and Senator Miranda conceptualize their constituencies – and where or if people who are incarcerated fit within that picture, and what if any implications this holds for policy and justice. </w:t>
      </w:r>
    </w:p>
    <w:p w14:paraId="53E991F9" w14:textId="77777777" w:rsidR="00EB7F8E" w:rsidRDefault="00EB7F8E" w:rsidP="007E2A4F">
      <w:pPr>
        <w:spacing w:line="360" w:lineRule="auto"/>
        <w:rPr>
          <w:rFonts w:ascii="Times New Roman" w:hAnsi="Times New Roman"/>
          <w:sz w:val="24"/>
        </w:rPr>
      </w:pPr>
    </w:p>
    <w:p w14:paraId="33753305" w14:textId="637441CF" w:rsidR="00A75E61" w:rsidRDefault="00EB7F8E" w:rsidP="007E2A4F">
      <w:pPr>
        <w:spacing w:line="360" w:lineRule="auto"/>
        <w:rPr>
          <w:rFonts w:ascii="Times New Roman" w:hAnsi="Times New Roman"/>
          <w:sz w:val="24"/>
        </w:rPr>
      </w:pPr>
      <w:r>
        <w:rPr>
          <w:rFonts w:ascii="Times New Roman" w:hAnsi="Times New Roman"/>
          <w:sz w:val="24"/>
        </w:rPr>
        <w:t xml:space="preserve">The literature reviewed suggests that constituent conceptualizations are shaped by contact, politics, and identity. Senator Finegold, I argue, “saw” the white communities in his district who’s voices on this </w:t>
      </w:r>
      <w:proofErr w:type="gramStart"/>
      <w:r>
        <w:rPr>
          <w:rFonts w:ascii="Times New Roman" w:hAnsi="Times New Roman"/>
          <w:sz w:val="24"/>
        </w:rPr>
        <w:t>particular issue</w:t>
      </w:r>
      <w:proofErr w:type="gramEnd"/>
      <w:r>
        <w:rPr>
          <w:rFonts w:ascii="Times New Roman" w:hAnsi="Times New Roman"/>
          <w:sz w:val="24"/>
        </w:rPr>
        <w:t xml:space="preserve"> – or political power – he heard the loudest </w:t>
      </w:r>
      <w:r w:rsidR="00A75E61">
        <w:rPr>
          <w:rFonts w:ascii="Times New Roman" w:hAnsi="Times New Roman"/>
          <w:sz w:val="24"/>
        </w:rPr>
        <w:t xml:space="preserve">largely </w:t>
      </w:r>
      <w:r>
        <w:rPr>
          <w:rFonts w:ascii="Times New Roman" w:hAnsi="Times New Roman"/>
          <w:sz w:val="24"/>
        </w:rPr>
        <w:t xml:space="preserve">because </w:t>
      </w:r>
      <w:r w:rsidR="00A75E61">
        <w:rPr>
          <w:rFonts w:ascii="Times New Roman" w:hAnsi="Times New Roman"/>
          <w:sz w:val="24"/>
        </w:rPr>
        <w:t xml:space="preserve">of shared racial and experiential identity, and policies – like incarcerated disenfranchisement itself – rooted in Black political suppression. Literature reviewed suggests that disproportionately Black and Hispanic communities incarcerated in or from Lawrence in his district might contact him less. Although I risk being heavy-handed with anecdotes here, I know incarcerated people who write their legislators often, and with those contacts in mind wonder the extent to which Senator Finegold and his office differently receive or respond to communication from incarcerated people. </w:t>
      </w:r>
    </w:p>
    <w:p w14:paraId="5036A3E5" w14:textId="77777777" w:rsidR="00A75E61" w:rsidRDefault="00A75E61" w:rsidP="007E2A4F">
      <w:pPr>
        <w:spacing w:line="360" w:lineRule="auto"/>
        <w:rPr>
          <w:rFonts w:ascii="Times New Roman" w:hAnsi="Times New Roman"/>
          <w:sz w:val="24"/>
        </w:rPr>
      </w:pPr>
    </w:p>
    <w:p w14:paraId="6B67CC36" w14:textId="4CB81A1E" w:rsidR="00A75E61" w:rsidRDefault="00A75E61" w:rsidP="007E2A4F">
      <w:pPr>
        <w:spacing w:line="360" w:lineRule="auto"/>
        <w:rPr>
          <w:rFonts w:ascii="Times New Roman" w:hAnsi="Times New Roman"/>
          <w:sz w:val="24"/>
        </w:rPr>
      </w:pPr>
      <w:r>
        <w:rPr>
          <w:rFonts w:ascii="Times New Roman" w:hAnsi="Times New Roman"/>
          <w:sz w:val="24"/>
        </w:rPr>
        <w:t xml:space="preserve">Relatedly, I ask what descriptive representation could mean for </w:t>
      </w:r>
      <w:r w:rsidR="00345FBE">
        <w:rPr>
          <w:rFonts w:ascii="Times New Roman" w:hAnsi="Times New Roman"/>
          <w:sz w:val="24"/>
        </w:rPr>
        <w:t xml:space="preserve">substantive representation and </w:t>
      </w:r>
      <w:r>
        <w:rPr>
          <w:rFonts w:ascii="Times New Roman" w:hAnsi="Times New Roman"/>
          <w:sz w:val="24"/>
        </w:rPr>
        <w:t xml:space="preserve">these issues. I look to the election of now Senator Liz Miranda in a diversifying legislature, and the swift policy change that followed suit. </w:t>
      </w:r>
      <w:r w:rsidR="005A69DD">
        <w:rPr>
          <w:rFonts w:ascii="Times New Roman" w:hAnsi="Times New Roman"/>
          <w:sz w:val="24"/>
        </w:rPr>
        <w:t xml:space="preserve">Descriptive representation – and particularly a critical mass of Black legislators and legislators of color – is critical for this story. </w:t>
      </w:r>
      <w:r w:rsidR="005500A2">
        <w:rPr>
          <w:rFonts w:ascii="Times New Roman" w:hAnsi="Times New Roman"/>
          <w:sz w:val="24"/>
        </w:rPr>
        <w:t xml:space="preserve">Identity is constructed, multi-dimensional, and particularly as Nadia Brown argues for Black women legislators, drawn on in divergent ways depending on political context. I suspect that understanding marginalization on multiple axes of identity can translate to a pronounced ability to understand how incarcerated disenfranchisement is both a matter of material and symbolic exclusion. This raises questions for me about not only who files for legislation pertaining to incarcerated voting, but who extends what resources to advocate for it. </w:t>
      </w:r>
    </w:p>
    <w:p w14:paraId="031734FD" w14:textId="77777777" w:rsidR="005A69DD" w:rsidRDefault="005A69DD" w:rsidP="007E2A4F">
      <w:pPr>
        <w:spacing w:line="360" w:lineRule="auto"/>
        <w:rPr>
          <w:rFonts w:ascii="Times New Roman" w:hAnsi="Times New Roman"/>
          <w:sz w:val="24"/>
        </w:rPr>
      </w:pPr>
    </w:p>
    <w:p w14:paraId="6DB68F56" w14:textId="25C6D5D3" w:rsidR="00611823" w:rsidRDefault="005500A2" w:rsidP="00345FBE">
      <w:pPr>
        <w:spacing w:line="360" w:lineRule="auto"/>
        <w:rPr>
          <w:rFonts w:ascii="Times New Roman" w:hAnsi="Times New Roman"/>
          <w:sz w:val="24"/>
        </w:rPr>
      </w:pPr>
      <w:r>
        <w:rPr>
          <w:rFonts w:ascii="Times New Roman" w:hAnsi="Times New Roman"/>
          <w:sz w:val="24"/>
        </w:rPr>
        <w:lastRenderedPageBreak/>
        <w:t xml:space="preserve">Liz Miranda operated very differently than many other legislators: she went out of her way to include incarcerated people in the legislative process, rather than advocating on their behalf, both because they existed in her “conceptualization of her constituency” and because </w:t>
      </w:r>
      <w:r w:rsidR="0035677C">
        <w:rPr>
          <w:rFonts w:ascii="Times New Roman" w:hAnsi="Times New Roman"/>
          <w:sz w:val="24"/>
        </w:rPr>
        <w:t xml:space="preserve">for her, incarcerated people are not an abstraction. </w:t>
      </w:r>
      <w:r w:rsidR="005377D8">
        <w:rPr>
          <w:rFonts w:ascii="Times New Roman" w:hAnsi="Times New Roman"/>
          <w:sz w:val="24"/>
        </w:rPr>
        <w:t xml:space="preserve"> </w:t>
      </w:r>
      <w:r w:rsidR="00611823">
        <w:rPr>
          <w:rFonts w:ascii="Times New Roman" w:hAnsi="Times New Roman"/>
          <w:sz w:val="24"/>
        </w:rPr>
        <w:t xml:space="preserve">There is part of this story that is not explained entirely by descriptive or substantive representation. </w:t>
      </w:r>
      <w:r w:rsidR="00345FBE">
        <w:rPr>
          <w:rFonts w:ascii="Times New Roman" w:hAnsi="Times New Roman"/>
          <w:sz w:val="24"/>
        </w:rPr>
        <w:t xml:space="preserve">Seeing incarcerated people as a constituency, Senator Liz Miranda made a point to legislate differently in a way that interrupted the barrier of stigmatization. She visits prisons – she’s gotten other legislators to follow suit in making prison visits part of their legislative calendar. Her staff holds weekly meetings with incarcerated organizers. She personally maintains communication with incarcerated people and their networks, and perhaps most importantly, was pivotal in creating a pathway for incarcerated people to be included in legislative committee hearings (see </w:t>
      </w:r>
      <w:hyperlink r:id="rId14" w:history="1">
        <w:r w:rsidR="00345FBE" w:rsidRPr="009C2A4C">
          <w:rPr>
            <w:rStyle w:val="Hyperlink"/>
            <w:rFonts w:ascii="Times New Roman" w:hAnsi="Times New Roman"/>
            <w:sz w:val="24"/>
          </w:rPr>
          <w:t>Corey ‘Al-Ameen’ Patterson’s tes</w:t>
        </w:r>
        <w:r w:rsidR="00345FBE">
          <w:rPr>
            <w:rStyle w:val="Hyperlink"/>
            <w:rFonts w:ascii="Times New Roman" w:hAnsi="Times New Roman"/>
            <w:sz w:val="24"/>
          </w:rPr>
          <w:t>t</w:t>
        </w:r>
        <w:r w:rsidR="00345FBE" w:rsidRPr="009C2A4C">
          <w:rPr>
            <w:rStyle w:val="Hyperlink"/>
            <w:rFonts w:ascii="Times New Roman" w:hAnsi="Times New Roman"/>
            <w:sz w:val="24"/>
          </w:rPr>
          <w:t>imony</w:t>
        </w:r>
      </w:hyperlink>
      <w:r w:rsidR="00345FBE">
        <w:rPr>
          <w:rFonts w:ascii="Times New Roman" w:hAnsi="Times New Roman"/>
          <w:sz w:val="24"/>
        </w:rPr>
        <w:t xml:space="preserve"> for example).</w:t>
      </w:r>
      <w:r w:rsidR="00611823">
        <w:rPr>
          <w:rFonts w:ascii="Times New Roman" w:hAnsi="Times New Roman"/>
          <w:sz w:val="24"/>
        </w:rPr>
        <w:t xml:space="preserve"> </w:t>
      </w:r>
    </w:p>
    <w:p w14:paraId="459214C5" w14:textId="77777777" w:rsidR="00611823" w:rsidRDefault="00611823" w:rsidP="00345FBE">
      <w:pPr>
        <w:spacing w:line="360" w:lineRule="auto"/>
        <w:rPr>
          <w:rFonts w:ascii="Times New Roman" w:hAnsi="Times New Roman"/>
          <w:sz w:val="24"/>
        </w:rPr>
      </w:pPr>
    </w:p>
    <w:p w14:paraId="1B39A343" w14:textId="6D2CC9C0" w:rsidR="0035677C" w:rsidRDefault="00345FBE" w:rsidP="007E2A4F">
      <w:pPr>
        <w:spacing w:line="360" w:lineRule="auto"/>
        <w:rPr>
          <w:rFonts w:ascii="Times New Roman" w:hAnsi="Times New Roman"/>
          <w:sz w:val="24"/>
        </w:rPr>
      </w:pPr>
      <w:r>
        <w:rPr>
          <w:rFonts w:ascii="Times New Roman" w:hAnsi="Times New Roman"/>
          <w:sz w:val="24"/>
        </w:rPr>
        <w:t xml:space="preserve">I found that this testimony (even just recorded audio testimony) was profoundly impactful </w:t>
      </w:r>
      <w:r w:rsidR="00611823">
        <w:rPr>
          <w:rFonts w:ascii="Times New Roman" w:hAnsi="Times New Roman"/>
          <w:sz w:val="24"/>
        </w:rPr>
        <w:t xml:space="preserve">for legislators I suspect see incarcerated people as a stereotyped and stigmatized population, undeserving of a political voice – a view that is maintained in part by the infrequency in which legislators hear it. I find issues of incarcerated voting often prompt white Democratic lawmakers and bureaucrats to convey deep levels of moral disgust: assertions that voting is not important to incarcerated people, so should not be prioritized; suspicion incarcerated people would unduly sway election outcomes in (the generally white) prison districts, if voting with prison as domicile, </w:t>
      </w:r>
      <w:r w:rsidR="00CA27C1">
        <w:rPr>
          <w:rFonts w:ascii="Times New Roman" w:hAnsi="Times New Roman"/>
          <w:sz w:val="24"/>
        </w:rPr>
        <w:t xml:space="preserve">or </w:t>
      </w:r>
      <w:r w:rsidR="00611823">
        <w:rPr>
          <w:rFonts w:ascii="Times New Roman" w:hAnsi="Times New Roman"/>
          <w:sz w:val="24"/>
        </w:rPr>
        <w:t xml:space="preserve">somehow register in and target particular elections </w:t>
      </w:r>
      <w:proofErr w:type="spellStart"/>
      <w:r w:rsidR="00611823">
        <w:rPr>
          <w:rFonts w:ascii="Times New Roman" w:hAnsi="Times New Roman"/>
          <w:sz w:val="24"/>
        </w:rPr>
        <w:t>en</w:t>
      </w:r>
      <w:proofErr w:type="spellEnd"/>
      <w:r w:rsidR="00611823">
        <w:rPr>
          <w:rFonts w:ascii="Times New Roman" w:hAnsi="Times New Roman"/>
          <w:sz w:val="24"/>
        </w:rPr>
        <w:t xml:space="preserve">-masse, etc. </w:t>
      </w:r>
      <w:r w:rsidR="00D37A56">
        <w:rPr>
          <w:rFonts w:ascii="Times New Roman" w:hAnsi="Times New Roman"/>
          <w:sz w:val="24"/>
        </w:rPr>
        <w:t xml:space="preserve">Others suggest that incarcerated disenfranchisement is just criminal deterrent – reflecting perhaps little understanding of the root causes of crime. </w:t>
      </w:r>
      <w:r w:rsidR="00611823">
        <w:rPr>
          <w:rFonts w:ascii="Times New Roman" w:hAnsi="Times New Roman"/>
          <w:sz w:val="24"/>
        </w:rPr>
        <w:t xml:space="preserve">Many of these same legislators relayed finding live testimony from incarcerated people particularly powerful. I suspect </w:t>
      </w:r>
      <w:r>
        <w:rPr>
          <w:rFonts w:ascii="Times New Roman" w:hAnsi="Times New Roman"/>
          <w:sz w:val="24"/>
        </w:rPr>
        <w:t>legislators with no connections to incarcerated populations were surprised to hear from parents discuss the importance of weighing in on their child’s school committee,</w:t>
      </w:r>
      <w:r w:rsidR="00D37A56">
        <w:rPr>
          <w:rFonts w:ascii="Times New Roman" w:hAnsi="Times New Roman"/>
          <w:sz w:val="24"/>
        </w:rPr>
        <w:t xml:space="preserve"> or </w:t>
      </w:r>
      <w:r>
        <w:rPr>
          <w:rFonts w:ascii="Times New Roman" w:hAnsi="Times New Roman"/>
          <w:sz w:val="24"/>
        </w:rPr>
        <w:t>military veterans explain how values of freedom and democracy motivated their service</w:t>
      </w:r>
      <w:r w:rsidR="00D37A56">
        <w:rPr>
          <w:rFonts w:ascii="Times New Roman" w:hAnsi="Times New Roman"/>
          <w:sz w:val="24"/>
        </w:rPr>
        <w:t xml:space="preserve">. </w:t>
      </w:r>
    </w:p>
    <w:p w14:paraId="5241A5D8" w14:textId="77777777" w:rsidR="005377D8" w:rsidRPr="0023373B" w:rsidRDefault="005377D8" w:rsidP="007E2A4F">
      <w:pPr>
        <w:spacing w:line="360" w:lineRule="auto"/>
        <w:rPr>
          <w:rFonts w:ascii="Times New Roman" w:hAnsi="Times New Roman"/>
          <w:sz w:val="24"/>
        </w:rPr>
      </w:pPr>
    </w:p>
    <w:p w14:paraId="5A5529AA" w14:textId="54AF4C8E" w:rsidR="00D37A56" w:rsidRDefault="009C2A4C" w:rsidP="007E2A4F">
      <w:pPr>
        <w:spacing w:line="360" w:lineRule="auto"/>
        <w:rPr>
          <w:rFonts w:ascii="Times New Roman" w:hAnsi="Times New Roman"/>
          <w:sz w:val="24"/>
        </w:rPr>
      </w:pPr>
      <w:r>
        <w:rPr>
          <w:rFonts w:ascii="Times New Roman" w:hAnsi="Times New Roman"/>
          <w:sz w:val="24"/>
        </w:rPr>
        <w:t xml:space="preserve">I will conclude with a brief argument. </w:t>
      </w:r>
      <w:r w:rsidR="00D37A56">
        <w:rPr>
          <w:rFonts w:ascii="Times New Roman" w:hAnsi="Times New Roman"/>
          <w:sz w:val="24"/>
        </w:rPr>
        <w:t xml:space="preserve">The political voice of incarcerated people is muffled in many ways we have discussed. It’s suppressed by structural barriers </w:t>
      </w:r>
      <w:r w:rsidR="00D37A56" w:rsidRPr="00A73870">
        <w:rPr>
          <w:rFonts w:ascii="Times New Roman" w:hAnsi="Times New Roman"/>
          <w:sz w:val="24"/>
        </w:rPr>
        <w:t xml:space="preserve">including mail monitoring, limited phone access, and prohibitive costs </w:t>
      </w:r>
      <w:r w:rsidR="00D37A56">
        <w:rPr>
          <w:rFonts w:ascii="Times New Roman" w:hAnsi="Times New Roman"/>
          <w:sz w:val="24"/>
        </w:rPr>
        <w:t xml:space="preserve">of phone calls </w:t>
      </w:r>
      <w:r w:rsidR="00D37A56" w:rsidRPr="00A73870">
        <w:rPr>
          <w:rFonts w:ascii="Times New Roman" w:hAnsi="Times New Roman"/>
          <w:sz w:val="24"/>
        </w:rPr>
        <w:t>(Thorpe 2015).</w:t>
      </w:r>
      <w:r w:rsidR="00D37A56">
        <w:rPr>
          <w:rFonts w:ascii="Times New Roman" w:hAnsi="Times New Roman"/>
          <w:sz w:val="24"/>
        </w:rPr>
        <w:t xml:space="preserve"> It’s suppressed by </w:t>
      </w:r>
      <w:r w:rsidR="00D37A56">
        <w:rPr>
          <w:rFonts w:ascii="Times New Roman" w:hAnsi="Times New Roman"/>
          <w:sz w:val="24"/>
        </w:rPr>
        <w:lastRenderedPageBreak/>
        <w:t>stigma, feeding into notions that any rights claim by an incarcerated person is somehow dangerous, or antithetical to the interest of victims – an identity that is usually held by people who are incarcerated.</w:t>
      </w:r>
      <w:r w:rsidR="00D75E28">
        <w:rPr>
          <w:rFonts w:ascii="Times New Roman" w:hAnsi="Times New Roman"/>
          <w:sz w:val="24"/>
        </w:rPr>
        <w:t xml:space="preserve"> </w:t>
      </w:r>
    </w:p>
    <w:p w14:paraId="101322C0" w14:textId="77777777" w:rsidR="00D37A56" w:rsidRDefault="00D37A56" w:rsidP="007E2A4F">
      <w:pPr>
        <w:spacing w:line="360" w:lineRule="auto"/>
        <w:rPr>
          <w:rFonts w:ascii="Times New Roman" w:hAnsi="Times New Roman"/>
          <w:sz w:val="24"/>
        </w:rPr>
      </w:pPr>
    </w:p>
    <w:p w14:paraId="675EE538" w14:textId="15C7DE18" w:rsidR="00345FBE" w:rsidRDefault="00D37A56" w:rsidP="007E2A4F">
      <w:pPr>
        <w:spacing w:line="360" w:lineRule="auto"/>
        <w:rPr>
          <w:rFonts w:ascii="Times New Roman" w:hAnsi="Times New Roman"/>
          <w:sz w:val="24"/>
        </w:rPr>
      </w:pPr>
      <w:r>
        <w:rPr>
          <w:rFonts w:ascii="Times New Roman" w:hAnsi="Times New Roman"/>
          <w:sz w:val="24"/>
        </w:rPr>
        <w:t xml:space="preserve"> </w:t>
      </w:r>
      <w:r w:rsidR="00F261D0">
        <w:rPr>
          <w:rFonts w:ascii="Times New Roman" w:hAnsi="Times New Roman"/>
          <w:sz w:val="24"/>
        </w:rPr>
        <w:t>This</w:t>
      </w:r>
      <w:r w:rsidR="009C2A4C">
        <w:rPr>
          <w:rFonts w:ascii="Times New Roman" w:hAnsi="Times New Roman"/>
          <w:sz w:val="24"/>
        </w:rPr>
        <w:t xml:space="preserve"> political disenfranchisement and perceptual “disappearance” of incarcerated people is rooted in racial exclusion. Punishment and incarceration are part of the fraught tensions between expanding and restricting political access and descriptive representation – battles which are situated within broader, racialized competing visions of American democracy</w:t>
      </w:r>
      <w:r w:rsidR="00345FBE">
        <w:rPr>
          <w:rFonts w:ascii="Times New Roman" w:hAnsi="Times New Roman"/>
          <w:sz w:val="24"/>
        </w:rPr>
        <w:t xml:space="preserve"> and “racial orders”</w:t>
      </w:r>
      <w:r w:rsidR="009C2A4C">
        <w:rPr>
          <w:rFonts w:ascii="Times New Roman" w:hAnsi="Times New Roman"/>
          <w:sz w:val="24"/>
        </w:rPr>
        <w:t xml:space="preserve"> (King and Smith 2011). </w:t>
      </w:r>
    </w:p>
    <w:p w14:paraId="50FEF76C" w14:textId="77777777" w:rsidR="007E2A4F" w:rsidRDefault="007E2A4F" w:rsidP="007C6820">
      <w:pPr>
        <w:spacing w:line="360" w:lineRule="auto"/>
        <w:rPr>
          <w:rFonts w:ascii="Times New Roman" w:hAnsi="Times New Roman"/>
          <w:sz w:val="24"/>
        </w:rPr>
      </w:pPr>
    </w:p>
    <w:p w14:paraId="6393D878" w14:textId="5515AD4D" w:rsidR="00515F1F" w:rsidRDefault="00F261D0" w:rsidP="00C92E98">
      <w:pPr>
        <w:spacing w:line="360" w:lineRule="auto"/>
        <w:rPr>
          <w:rFonts w:ascii="Times New Roman" w:hAnsi="Times New Roman"/>
          <w:sz w:val="24"/>
        </w:rPr>
      </w:pPr>
      <w:r>
        <w:rPr>
          <w:rFonts w:ascii="Times New Roman" w:hAnsi="Times New Roman"/>
          <w:sz w:val="24"/>
        </w:rPr>
        <w:t>These material things – mail monitoring, phone access – together with the nexus of racial exclusion and political representation implicate questions concerning epistemic injustice and the status of a “knower” in democracy. I</w:t>
      </w:r>
      <w:r w:rsidR="003744C8">
        <w:rPr>
          <w:rFonts w:ascii="Times New Roman" w:hAnsi="Times New Roman"/>
          <w:sz w:val="24"/>
        </w:rPr>
        <w:t>n this context, then, i</w:t>
      </w:r>
      <w:r>
        <w:rPr>
          <w:rFonts w:ascii="Times New Roman" w:hAnsi="Times New Roman"/>
          <w:sz w:val="24"/>
        </w:rPr>
        <w:t xml:space="preserve">s it enough to say that the political disenfranchisement of incarcerated people is </w:t>
      </w:r>
      <w:r>
        <w:rPr>
          <w:rFonts w:ascii="Times New Roman" w:hAnsi="Times New Roman"/>
          <w:i/>
          <w:iCs/>
          <w:sz w:val="24"/>
        </w:rPr>
        <w:t>only</w:t>
      </w:r>
      <w:r>
        <w:rPr>
          <w:rFonts w:ascii="Times New Roman" w:hAnsi="Times New Roman"/>
          <w:sz w:val="24"/>
        </w:rPr>
        <w:t xml:space="preserve"> a question of political representation, or does it represent a </w:t>
      </w:r>
      <w:r w:rsidR="003744C8">
        <w:rPr>
          <w:rFonts w:ascii="Times New Roman" w:hAnsi="Times New Roman"/>
          <w:sz w:val="24"/>
        </w:rPr>
        <w:t xml:space="preserve">venue for the </w:t>
      </w:r>
      <w:r>
        <w:rPr>
          <w:rFonts w:ascii="Times New Roman" w:hAnsi="Times New Roman"/>
          <w:sz w:val="24"/>
        </w:rPr>
        <w:t>denial of this status as a “knower.</w:t>
      </w:r>
      <w:r w:rsidR="003744C8">
        <w:rPr>
          <w:rFonts w:ascii="Times New Roman" w:hAnsi="Times New Roman"/>
          <w:sz w:val="24"/>
        </w:rPr>
        <w:t>”</w:t>
      </w:r>
      <w:r>
        <w:rPr>
          <w:rFonts w:ascii="Times New Roman" w:hAnsi="Times New Roman"/>
          <w:sz w:val="24"/>
        </w:rPr>
        <w:t xml:space="preserve"> If so, disenfranchisement is not just a matter of the rights of citizenship, but also </w:t>
      </w:r>
      <w:r w:rsidR="003744C8">
        <w:rPr>
          <w:rFonts w:ascii="Times New Roman" w:hAnsi="Times New Roman"/>
          <w:sz w:val="24"/>
        </w:rPr>
        <w:t>a distinct epistemic</w:t>
      </w:r>
      <w:r>
        <w:rPr>
          <w:rFonts w:ascii="Times New Roman" w:hAnsi="Times New Roman"/>
          <w:sz w:val="24"/>
        </w:rPr>
        <w:t xml:space="preserve"> injustice committed against incarcerated people.</w:t>
      </w:r>
    </w:p>
    <w:p w14:paraId="6BF5744E" w14:textId="77777777" w:rsidR="0082521E" w:rsidRDefault="0082521E" w:rsidP="00C92E98">
      <w:pPr>
        <w:spacing w:line="360" w:lineRule="auto"/>
        <w:rPr>
          <w:rFonts w:ascii="Times New Roman" w:hAnsi="Times New Roman"/>
          <w:sz w:val="24"/>
        </w:rPr>
      </w:pPr>
    </w:p>
    <w:p w14:paraId="20E962A9" w14:textId="77777777" w:rsidR="0082521E" w:rsidRDefault="0082521E" w:rsidP="00C92E98">
      <w:pPr>
        <w:spacing w:line="360" w:lineRule="auto"/>
        <w:rPr>
          <w:rFonts w:ascii="Times New Roman" w:hAnsi="Times New Roman"/>
          <w:sz w:val="24"/>
        </w:rPr>
      </w:pPr>
    </w:p>
    <w:p w14:paraId="63B60BED" w14:textId="59F46FBE" w:rsidR="0082521E" w:rsidRDefault="0082521E">
      <w:pPr>
        <w:rPr>
          <w:rFonts w:ascii="Times New Roman" w:hAnsi="Times New Roman"/>
          <w:sz w:val="24"/>
        </w:rPr>
      </w:pPr>
      <w:r>
        <w:rPr>
          <w:rFonts w:ascii="Times New Roman" w:hAnsi="Times New Roman"/>
          <w:sz w:val="24"/>
        </w:rPr>
        <w:br w:type="page"/>
      </w:r>
    </w:p>
    <w:p w14:paraId="116FB467" w14:textId="103922DF" w:rsidR="0082521E" w:rsidRDefault="0082521E" w:rsidP="00C92E98">
      <w:pPr>
        <w:spacing w:line="360" w:lineRule="auto"/>
        <w:rPr>
          <w:rFonts w:ascii="Times New Roman" w:hAnsi="Times New Roman"/>
          <w:b/>
          <w:bCs/>
          <w:sz w:val="24"/>
        </w:rPr>
      </w:pPr>
      <w:r w:rsidRPr="0082521E">
        <w:rPr>
          <w:rFonts w:ascii="Times New Roman" w:hAnsi="Times New Roman"/>
          <w:b/>
          <w:bCs/>
          <w:sz w:val="24"/>
        </w:rPr>
        <w:lastRenderedPageBreak/>
        <w:t>Works Cited</w:t>
      </w:r>
    </w:p>
    <w:p w14:paraId="37A8A4BA" w14:textId="66C22693" w:rsidR="0082521E" w:rsidRDefault="009A18BF" w:rsidP="0082521E">
      <w:pPr>
        <w:rPr>
          <w:rFonts w:ascii="Times New Roman" w:hAnsi="Times New Roman"/>
          <w:szCs w:val="22"/>
        </w:rPr>
      </w:pPr>
      <w:r w:rsidRPr="009A18BF">
        <w:rPr>
          <w:rFonts w:ascii="Times New Roman" w:hAnsi="Times New Roman"/>
          <w:szCs w:val="22"/>
        </w:rPr>
        <w:t xml:space="preserve">Alexander, Michelle. </w:t>
      </w:r>
      <w:r w:rsidRPr="009A18BF">
        <w:rPr>
          <w:rFonts w:ascii="Times New Roman" w:hAnsi="Times New Roman"/>
          <w:i/>
          <w:iCs/>
          <w:szCs w:val="22"/>
        </w:rPr>
        <w:t>The New Jim Crow: Mass Incarceration in the Age of Colorblindness</w:t>
      </w:r>
      <w:r w:rsidRPr="009A18BF">
        <w:rPr>
          <w:rFonts w:ascii="Times New Roman" w:hAnsi="Times New Roman"/>
          <w:szCs w:val="22"/>
        </w:rPr>
        <w:t>. New York: New Press, 2010.</w:t>
      </w:r>
    </w:p>
    <w:p w14:paraId="700EBEC7" w14:textId="77777777" w:rsidR="009A18BF" w:rsidRPr="00485A60" w:rsidRDefault="009A18BF" w:rsidP="0082521E">
      <w:pPr>
        <w:rPr>
          <w:rFonts w:ascii="Times New Roman" w:hAnsi="Times New Roman"/>
        </w:rPr>
      </w:pPr>
    </w:p>
    <w:p w14:paraId="62D7462F" w14:textId="77777777" w:rsidR="009A18BF" w:rsidRDefault="009A18BF" w:rsidP="0082521E">
      <w:pPr>
        <w:rPr>
          <w:rFonts w:ascii="Times New Roman" w:hAnsi="Times New Roman"/>
        </w:rPr>
      </w:pPr>
      <w:r w:rsidRPr="009A18BF">
        <w:rPr>
          <w:rFonts w:ascii="Times New Roman" w:hAnsi="Times New Roman"/>
        </w:rPr>
        <w:t xml:space="preserve">Herron, Michael C., and Joseph Bafumi. "Leapfrog Representation and Extremism: A Study of American Voters and Their Members in Congress." </w:t>
      </w:r>
      <w:r w:rsidRPr="009A18BF">
        <w:rPr>
          <w:rFonts w:ascii="Times New Roman" w:hAnsi="Times New Roman"/>
          <w:i/>
          <w:iCs/>
        </w:rPr>
        <w:t>American Political Science Review</w:t>
      </w:r>
      <w:r w:rsidRPr="009A18BF">
        <w:rPr>
          <w:rFonts w:ascii="Times New Roman" w:hAnsi="Times New Roman"/>
        </w:rPr>
        <w:t xml:space="preserve"> 104, no. 3 (September 2010): 519-542.</w:t>
      </w:r>
    </w:p>
    <w:p w14:paraId="29126B63" w14:textId="77777777" w:rsidR="009A18BF" w:rsidRDefault="009A18BF" w:rsidP="0082521E">
      <w:pPr>
        <w:rPr>
          <w:rFonts w:ascii="Times New Roman" w:hAnsi="Times New Roman"/>
        </w:rPr>
      </w:pPr>
    </w:p>
    <w:p w14:paraId="51D149C1" w14:textId="77777777" w:rsidR="009A18BF" w:rsidRDefault="009A18BF" w:rsidP="0082521E">
      <w:pPr>
        <w:rPr>
          <w:rFonts w:ascii="Times New Roman" w:hAnsi="Times New Roman"/>
        </w:rPr>
      </w:pPr>
      <w:r w:rsidRPr="009A18BF">
        <w:rPr>
          <w:rFonts w:ascii="Times New Roman" w:hAnsi="Times New Roman"/>
        </w:rPr>
        <w:t xml:space="preserve">Callanan, Valerie, and Jared S. Rosenberger. "Media, Gender, and Fear of Crime." </w:t>
      </w:r>
      <w:r w:rsidRPr="009A18BF">
        <w:rPr>
          <w:rFonts w:ascii="Times New Roman" w:hAnsi="Times New Roman"/>
          <w:i/>
          <w:iCs/>
        </w:rPr>
        <w:t>Criminal Justice Review</w:t>
      </w:r>
      <w:r w:rsidRPr="009A18BF">
        <w:rPr>
          <w:rFonts w:ascii="Times New Roman" w:hAnsi="Times New Roman"/>
        </w:rPr>
        <w:t xml:space="preserve"> 40, no. 3 (September 2015): 322-339. </w:t>
      </w:r>
      <w:hyperlink r:id="rId15" w:history="1">
        <w:r w:rsidRPr="009A18BF">
          <w:rPr>
            <w:rStyle w:val="Hyperlink"/>
            <w:rFonts w:ascii="Times New Roman" w:hAnsi="Times New Roman"/>
          </w:rPr>
          <w:t>https://doi.org/10.1177/0734016815573308</w:t>
        </w:r>
      </w:hyperlink>
    </w:p>
    <w:p w14:paraId="63940728" w14:textId="77777777" w:rsidR="009A18BF" w:rsidRDefault="009A18BF" w:rsidP="0082521E">
      <w:pPr>
        <w:rPr>
          <w:rFonts w:ascii="Times New Roman" w:hAnsi="Times New Roman"/>
        </w:rPr>
      </w:pPr>
    </w:p>
    <w:p w14:paraId="1DE224FD" w14:textId="63FD615C" w:rsidR="00E60F23" w:rsidRDefault="009A18BF" w:rsidP="0082521E">
      <w:pPr>
        <w:rPr>
          <w:rFonts w:ascii="Times New Roman" w:hAnsi="Times New Roman"/>
        </w:rPr>
      </w:pPr>
      <w:r w:rsidRPr="009A18BF">
        <w:rPr>
          <w:rFonts w:ascii="Times New Roman" w:hAnsi="Times New Roman"/>
        </w:rPr>
        <w:t xml:space="preserve">Bobo, Lawrence, and Franklin D. Gilliam Jr. "Race, Sociopolitical Participation, and Black Empowerment." </w:t>
      </w:r>
      <w:r w:rsidRPr="009A18BF">
        <w:rPr>
          <w:rFonts w:ascii="Times New Roman" w:hAnsi="Times New Roman"/>
          <w:i/>
          <w:iCs/>
        </w:rPr>
        <w:t>American Political Science Review</w:t>
      </w:r>
      <w:r w:rsidRPr="009A18BF">
        <w:rPr>
          <w:rFonts w:ascii="Times New Roman" w:hAnsi="Times New Roman"/>
        </w:rPr>
        <w:t xml:space="preserve"> 84, no. 2 (June 1990): 377-393.</w:t>
      </w:r>
    </w:p>
    <w:p w14:paraId="2BBBCE76" w14:textId="77777777" w:rsidR="009A18BF" w:rsidRDefault="009A18BF" w:rsidP="0082521E">
      <w:pPr>
        <w:rPr>
          <w:rFonts w:ascii="Times New Roman" w:hAnsi="Times New Roman"/>
        </w:rPr>
      </w:pPr>
    </w:p>
    <w:p w14:paraId="59EFFD56" w14:textId="4D179CAB" w:rsidR="006C7333" w:rsidRDefault="00E60F23" w:rsidP="0082521E">
      <w:pPr>
        <w:rPr>
          <w:rFonts w:ascii="Times New Roman" w:hAnsi="Times New Roman"/>
        </w:rPr>
      </w:pPr>
      <w:r w:rsidRPr="00E60F23">
        <w:rPr>
          <w:rFonts w:ascii="Times New Roman" w:hAnsi="Times New Roman"/>
        </w:rPr>
        <w:t xml:space="preserve">Box-Steffensmeier, Janet M., David C. Kimball, Scott R. Meinke, and Katherine Tate. "The Effects of Political Representation on the Electoral Advantages of House Incumbents." </w:t>
      </w:r>
      <w:r w:rsidRPr="00E60F23">
        <w:rPr>
          <w:rFonts w:ascii="Times New Roman" w:hAnsi="Times New Roman"/>
          <w:i/>
          <w:iCs/>
        </w:rPr>
        <w:t>Political Research Quarterly</w:t>
      </w:r>
      <w:r w:rsidRPr="00E60F23">
        <w:rPr>
          <w:rFonts w:ascii="Times New Roman" w:hAnsi="Times New Roman"/>
        </w:rPr>
        <w:t xml:space="preserve"> 56, no. 3 (September 2003): 259-270.</w:t>
      </w:r>
    </w:p>
    <w:p w14:paraId="568BD282" w14:textId="77777777" w:rsidR="00E60F23" w:rsidRDefault="00E60F23" w:rsidP="0082521E">
      <w:pPr>
        <w:rPr>
          <w:rFonts w:ascii="Times New Roman" w:hAnsi="Times New Roman"/>
        </w:rPr>
      </w:pPr>
    </w:p>
    <w:p w14:paraId="33A1E1D9" w14:textId="19F17602" w:rsidR="006C7333" w:rsidRDefault="009A18BF" w:rsidP="0082521E">
      <w:pPr>
        <w:rPr>
          <w:rFonts w:ascii="Times New Roman" w:hAnsi="Times New Roman"/>
        </w:rPr>
      </w:pPr>
      <w:proofErr w:type="spellStart"/>
      <w:r w:rsidRPr="009A18BF">
        <w:rPr>
          <w:rFonts w:ascii="Times New Roman" w:hAnsi="Times New Roman"/>
        </w:rPr>
        <w:t>Broockman</w:t>
      </w:r>
      <w:proofErr w:type="spellEnd"/>
      <w:r w:rsidRPr="009A18BF">
        <w:rPr>
          <w:rFonts w:ascii="Times New Roman" w:hAnsi="Times New Roman"/>
        </w:rPr>
        <w:t xml:space="preserve">, David E. "Black Politicians Are More Intrinsically Motivated to Advance Blacks' Interests: A Field Experiment Manipulating Political Incentives." </w:t>
      </w:r>
      <w:r w:rsidRPr="009A18BF">
        <w:rPr>
          <w:rFonts w:ascii="Times New Roman" w:hAnsi="Times New Roman"/>
          <w:i/>
          <w:iCs/>
        </w:rPr>
        <w:t>American Journal of Political Science</w:t>
      </w:r>
      <w:r w:rsidRPr="009A18BF">
        <w:rPr>
          <w:rFonts w:ascii="Times New Roman" w:hAnsi="Times New Roman"/>
        </w:rPr>
        <w:t xml:space="preserve"> 57, no. 3 (July 2013): 521-536.</w:t>
      </w:r>
    </w:p>
    <w:p w14:paraId="0F9C9F08" w14:textId="77777777" w:rsidR="009A18BF" w:rsidRPr="00485A60" w:rsidRDefault="009A18BF" w:rsidP="0082521E">
      <w:pPr>
        <w:rPr>
          <w:rFonts w:ascii="Times New Roman" w:hAnsi="Times New Roman"/>
        </w:rPr>
      </w:pPr>
    </w:p>
    <w:p w14:paraId="4E4B2234" w14:textId="77777777" w:rsidR="006C7333" w:rsidRPr="006C7333" w:rsidRDefault="006C7333" w:rsidP="006C7333">
      <w:pPr>
        <w:rPr>
          <w:rFonts w:ascii="Times New Roman" w:hAnsi="Times New Roman"/>
        </w:rPr>
      </w:pPr>
      <w:proofErr w:type="spellStart"/>
      <w:r w:rsidRPr="006C7333">
        <w:rPr>
          <w:rFonts w:ascii="Times New Roman" w:hAnsi="Times New Roman"/>
        </w:rPr>
        <w:t>Broockman</w:t>
      </w:r>
      <w:proofErr w:type="spellEnd"/>
      <w:r w:rsidRPr="006C7333">
        <w:rPr>
          <w:rFonts w:ascii="Times New Roman" w:hAnsi="Times New Roman"/>
        </w:rPr>
        <w:t xml:space="preserve">, David E. “Distorted Communication, Unequal Representation: Constituents Communicate Less to Representatives Not of Their Race.” </w:t>
      </w:r>
      <w:r w:rsidRPr="006C7333">
        <w:rPr>
          <w:rFonts w:ascii="Times New Roman" w:hAnsi="Times New Roman"/>
          <w:i/>
          <w:iCs/>
        </w:rPr>
        <w:t>American Journal of Political Science</w:t>
      </w:r>
      <w:r w:rsidRPr="006C7333">
        <w:rPr>
          <w:rFonts w:ascii="Times New Roman" w:hAnsi="Times New Roman"/>
        </w:rPr>
        <w:t xml:space="preserve"> 58, no. 2 (April 2014): 307–21. </w:t>
      </w:r>
      <w:hyperlink r:id="rId16" w:history="1">
        <w:r w:rsidRPr="006C7333">
          <w:rPr>
            <w:rStyle w:val="Hyperlink"/>
            <w:rFonts w:ascii="Times New Roman" w:hAnsi="Times New Roman"/>
          </w:rPr>
          <w:t>https://doi.org/10.1111/ajps.12068</w:t>
        </w:r>
      </w:hyperlink>
      <w:r w:rsidRPr="006C7333">
        <w:rPr>
          <w:rFonts w:ascii="Times New Roman" w:hAnsi="Times New Roman"/>
        </w:rPr>
        <w:t>.</w:t>
      </w:r>
    </w:p>
    <w:p w14:paraId="1295532D" w14:textId="77777777" w:rsidR="0082521E" w:rsidRPr="00485A60" w:rsidRDefault="0082521E" w:rsidP="0082521E">
      <w:pPr>
        <w:rPr>
          <w:rFonts w:ascii="Times New Roman" w:hAnsi="Times New Roman"/>
        </w:rPr>
      </w:pPr>
    </w:p>
    <w:p w14:paraId="30DC8137" w14:textId="77777777" w:rsidR="006C7333" w:rsidRPr="006C7333" w:rsidRDefault="006C7333" w:rsidP="006C7333">
      <w:pPr>
        <w:rPr>
          <w:rFonts w:ascii="Times New Roman" w:hAnsi="Times New Roman"/>
        </w:rPr>
      </w:pPr>
      <w:proofErr w:type="spellStart"/>
      <w:r w:rsidRPr="006C7333">
        <w:rPr>
          <w:rFonts w:ascii="Times New Roman" w:hAnsi="Times New Roman"/>
        </w:rPr>
        <w:t>Broockman</w:t>
      </w:r>
      <w:proofErr w:type="spellEnd"/>
      <w:r w:rsidRPr="006C7333">
        <w:rPr>
          <w:rFonts w:ascii="Times New Roman" w:hAnsi="Times New Roman"/>
        </w:rPr>
        <w:t xml:space="preserve">, David E. “Approaches to Studying Policy Representation: Studying Policy Representation.” </w:t>
      </w:r>
      <w:r w:rsidRPr="006C7333">
        <w:rPr>
          <w:rFonts w:ascii="Times New Roman" w:hAnsi="Times New Roman"/>
          <w:i/>
          <w:iCs/>
        </w:rPr>
        <w:t>Legislative Studies Quarterly</w:t>
      </w:r>
      <w:r w:rsidRPr="006C7333">
        <w:rPr>
          <w:rFonts w:ascii="Times New Roman" w:hAnsi="Times New Roman"/>
        </w:rPr>
        <w:t xml:space="preserve"> 41, no. 1 (February 2016): 181–215. </w:t>
      </w:r>
      <w:hyperlink r:id="rId17" w:history="1">
        <w:r w:rsidRPr="006C7333">
          <w:rPr>
            <w:rStyle w:val="Hyperlink"/>
            <w:rFonts w:ascii="Times New Roman" w:hAnsi="Times New Roman"/>
          </w:rPr>
          <w:t>https://doi.org/10.1111/lsq.12110</w:t>
        </w:r>
      </w:hyperlink>
      <w:r w:rsidRPr="006C7333">
        <w:rPr>
          <w:rFonts w:ascii="Times New Roman" w:hAnsi="Times New Roman"/>
        </w:rPr>
        <w:t>.</w:t>
      </w:r>
    </w:p>
    <w:p w14:paraId="257F225F" w14:textId="77777777" w:rsidR="006C7333" w:rsidRPr="00485A60" w:rsidRDefault="006C7333" w:rsidP="0082521E">
      <w:pPr>
        <w:rPr>
          <w:rFonts w:ascii="Times New Roman" w:hAnsi="Times New Roman"/>
        </w:rPr>
      </w:pPr>
    </w:p>
    <w:p w14:paraId="5047CAF4" w14:textId="77777777" w:rsidR="006C7333" w:rsidRPr="006C7333" w:rsidRDefault="006C7333" w:rsidP="006C7333">
      <w:pPr>
        <w:rPr>
          <w:rFonts w:ascii="Times New Roman" w:hAnsi="Times New Roman"/>
        </w:rPr>
      </w:pPr>
      <w:proofErr w:type="spellStart"/>
      <w:r w:rsidRPr="006C7333">
        <w:rPr>
          <w:rFonts w:ascii="Times New Roman" w:hAnsi="Times New Roman"/>
        </w:rPr>
        <w:t>Broockman</w:t>
      </w:r>
      <w:proofErr w:type="spellEnd"/>
      <w:r w:rsidRPr="006C7333">
        <w:rPr>
          <w:rFonts w:ascii="Times New Roman" w:hAnsi="Times New Roman"/>
        </w:rPr>
        <w:t xml:space="preserve">, David E., and Christopher Skovron. “Bias in Perceptions of Public Opinion among Political Elites.” </w:t>
      </w:r>
      <w:r w:rsidRPr="006C7333">
        <w:rPr>
          <w:rFonts w:ascii="Times New Roman" w:hAnsi="Times New Roman"/>
          <w:i/>
          <w:iCs/>
        </w:rPr>
        <w:t>American Political Science Review</w:t>
      </w:r>
      <w:r w:rsidRPr="006C7333">
        <w:rPr>
          <w:rFonts w:ascii="Times New Roman" w:hAnsi="Times New Roman"/>
        </w:rPr>
        <w:t xml:space="preserve"> 112, no. 3 (August 2018): 542–63. </w:t>
      </w:r>
      <w:hyperlink r:id="rId18" w:history="1">
        <w:r w:rsidRPr="006C7333">
          <w:rPr>
            <w:rStyle w:val="Hyperlink"/>
            <w:rFonts w:ascii="Times New Roman" w:hAnsi="Times New Roman"/>
          </w:rPr>
          <w:t>https://doi.org/10.1017/S0003055418000011</w:t>
        </w:r>
      </w:hyperlink>
      <w:r w:rsidRPr="006C7333">
        <w:rPr>
          <w:rFonts w:ascii="Times New Roman" w:hAnsi="Times New Roman"/>
        </w:rPr>
        <w:t>.</w:t>
      </w:r>
    </w:p>
    <w:p w14:paraId="3E73F442" w14:textId="77777777" w:rsidR="0082521E" w:rsidRPr="00485A60" w:rsidRDefault="0082521E" w:rsidP="0082521E">
      <w:pPr>
        <w:rPr>
          <w:rFonts w:ascii="Times New Roman" w:hAnsi="Times New Roman"/>
        </w:rPr>
      </w:pPr>
    </w:p>
    <w:p w14:paraId="016E52AF" w14:textId="77777777" w:rsidR="0082521E" w:rsidRDefault="0082521E" w:rsidP="0082521E">
      <w:pPr>
        <w:rPr>
          <w:rFonts w:ascii="Times New Roman" w:hAnsi="Times New Roman"/>
        </w:rPr>
      </w:pPr>
      <w:r w:rsidRPr="00485A60">
        <w:rPr>
          <w:rFonts w:ascii="Times New Roman" w:hAnsi="Times New Roman"/>
        </w:rPr>
        <w:t>Brown, N. E. (2014). Sisters in the Statehouse: Black Women and Legislative Decision Making. Oxford University Press.</w:t>
      </w:r>
    </w:p>
    <w:p w14:paraId="595C9EDD" w14:textId="77777777" w:rsidR="0082521E" w:rsidRDefault="0082521E" w:rsidP="0082521E">
      <w:pPr>
        <w:rPr>
          <w:rFonts w:ascii="Times New Roman" w:hAnsi="Times New Roman"/>
        </w:rPr>
      </w:pPr>
    </w:p>
    <w:p w14:paraId="6ACC2F38" w14:textId="3DF95DD8" w:rsidR="0082521E" w:rsidRDefault="009A18BF" w:rsidP="0082521E">
      <w:pPr>
        <w:rPr>
          <w:rFonts w:ascii="Times New Roman" w:hAnsi="Times New Roman"/>
        </w:rPr>
      </w:pPr>
      <w:r w:rsidRPr="009A18BF">
        <w:rPr>
          <w:rFonts w:ascii="Times New Roman" w:hAnsi="Times New Roman"/>
        </w:rPr>
        <w:t xml:space="preserve">Brown, Nadia E., Christopher J. Clark, Anna Mahoney, and Michael J. Strawbridge. "Sister Space: Collective Descriptive Representation and Black Women in Legislative Caucuses." </w:t>
      </w:r>
      <w:r w:rsidRPr="009A18BF">
        <w:rPr>
          <w:rFonts w:ascii="Times New Roman" w:hAnsi="Times New Roman"/>
          <w:i/>
          <w:iCs/>
        </w:rPr>
        <w:t>Politics and Gender</w:t>
      </w:r>
      <w:r w:rsidRPr="009A18BF">
        <w:rPr>
          <w:rFonts w:ascii="Times New Roman" w:hAnsi="Times New Roman"/>
        </w:rPr>
        <w:t xml:space="preserve"> 19, no. 4 (December 2023): 1234-1238</w:t>
      </w:r>
    </w:p>
    <w:p w14:paraId="6789E266" w14:textId="77777777" w:rsidR="00E60F23" w:rsidRPr="00485A60" w:rsidRDefault="00E60F23" w:rsidP="0082521E">
      <w:pPr>
        <w:rPr>
          <w:rFonts w:ascii="Times New Roman" w:hAnsi="Times New Roman"/>
        </w:rPr>
      </w:pPr>
    </w:p>
    <w:p w14:paraId="48355E77" w14:textId="77777777" w:rsidR="009A18BF" w:rsidRDefault="009A18BF" w:rsidP="00CF34A8">
      <w:pPr>
        <w:rPr>
          <w:rFonts w:ascii="Times New Roman" w:hAnsi="Times New Roman"/>
        </w:rPr>
      </w:pPr>
      <w:r w:rsidRPr="009A18BF">
        <w:rPr>
          <w:rFonts w:ascii="Times New Roman" w:hAnsi="Times New Roman"/>
        </w:rPr>
        <w:t xml:space="preserve">Burch, Traci. "Turnout and Party Registration among Criminal Offenders in the 2008 General Election." </w:t>
      </w:r>
      <w:r w:rsidRPr="009A18BF">
        <w:rPr>
          <w:rFonts w:ascii="Times New Roman" w:hAnsi="Times New Roman"/>
          <w:i/>
          <w:iCs/>
        </w:rPr>
        <w:t>Law &amp; Society Review</w:t>
      </w:r>
      <w:r w:rsidRPr="009A18BF">
        <w:rPr>
          <w:rFonts w:ascii="Times New Roman" w:hAnsi="Times New Roman"/>
        </w:rPr>
        <w:t xml:space="preserve"> 45, no. 3 (September 2011): 699-730</w:t>
      </w:r>
    </w:p>
    <w:p w14:paraId="3FE31500" w14:textId="77777777" w:rsidR="009A18BF" w:rsidRDefault="009A18BF" w:rsidP="00CF34A8">
      <w:pPr>
        <w:rPr>
          <w:rFonts w:ascii="Times New Roman" w:hAnsi="Times New Roman"/>
        </w:rPr>
      </w:pPr>
    </w:p>
    <w:p w14:paraId="7098916E" w14:textId="4275E51B" w:rsidR="00CF34A8" w:rsidRPr="00CF34A8" w:rsidRDefault="00CF34A8" w:rsidP="00CF34A8">
      <w:pPr>
        <w:rPr>
          <w:rFonts w:ascii="Times New Roman" w:hAnsi="Times New Roman"/>
        </w:rPr>
      </w:pPr>
      <w:r w:rsidRPr="00CF34A8">
        <w:rPr>
          <w:rFonts w:ascii="Times New Roman" w:hAnsi="Times New Roman"/>
        </w:rPr>
        <w:t xml:space="preserve">Carnes, Nicholas. “Does the Numerical Underrepresentation of the Working Class in Congress </w:t>
      </w:r>
      <w:proofErr w:type="gramStart"/>
      <w:r w:rsidRPr="00CF34A8">
        <w:rPr>
          <w:rFonts w:ascii="Times New Roman" w:hAnsi="Times New Roman"/>
        </w:rPr>
        <w:t>Matter?:</w:t>
      </w:r>
      <w:proofErr w:type="gramEnd"/>
      <w:r w:rsidRPr="00CF34A8">
        <w:rPr>
          <w:rFonts w:ascii="Times New Roman" w:hAnsi="Times New Roman"/>
        </w:rPr>
        <w:t xml:space="preserve"> Class and Roll-Call Voting.” </w:t>
      </w:r>
      <w:r w:rsidRPr="00CF34A8">
        <w:rPr>
          <w:rFonts w:ascii="Times New Roman" w:hAnsi="Times New Roman"/>
          <w:i/>
          <w:iCs/>
        </w:rPr>
        <w:t>Legislative Studies Quarterly</w:t>
      </w:r>
      <w:r w:rsidRPr="00CF34A8">
        <w:rPr>
          <w:rFonts w:ascii="Times New Roman" w:hAnsi="Times New Roman"/>
        </w:rPr>
        <w:t xml:space="preserve"> 37, no. 1 (February 2012): 5–34. </w:t>
      </w:r>
      <w:hyperlink r:id="rId19" w:history="1">
        <w:r w:rsidRPr="00CF34A8">
          <w:rPr>
            <w:rStyle w:val="Hyperlink"/>
            <w:rFonts w:ascii="Times New Roman" w:hAnsi="Times New Roman"/>
          </w:rPr>
          <w:t>https://doi.org/10.1111/j.1939-9162.2011.00033.x</w:t>
        </w:r>
      </w:hyperlink>
      <w:r w:rsidRPr="00CF34A8">
        <w:rPr>
          <w:rFonts w:ascii="Times New Roman" w:hAnsi="Times New Roman"/>
        </w:rPr>
        <w:t>.</w:t>
      </w:r>
    </w:p>
    <w:p w14:paraId="65F4E32C" w14:textId="77777777" w:rsidR="00CF34A8" w:rsidRDefault="00CF34A8" w:rsidP="00CF34A8">
      <w:pPr>
        <w:rPr>
          <w:rFonts w:ascii="Times New Roman" w:hAnsi="Times New Roman"/>
        </w:rPr>
      </w:pPr>
    </w:p>
    <w:p w14:paraId="37EC75BE" w14:textId="16E4E369" w:rsidR="00CF34A8" w:rsidRPr="00CF34A8" w:rsidRDefault="00CF34A8" w:rsidP="00CF34A8">
      <w:pPr>
        <w:rPr>
          <w:rFonts w:ascii="Times New Roman" w:hAnsi="Times New Roman"/>
        </w:rPr>
      </w:pPr>
      <w:r w:rsidRPr="00CF34A8">
        <w:rPr>
          <w:rFonts w:ascii="Times New Roman" w:hAnsi="Times New Roman"/>
        </w:rPr>
        <w:t xml:space="preserve">Carnes, Nicholas. “Why Are There so Few Working-Class People in Political Office? Evidence from State Legislatures.” </w:t>
      </w:r>
      <w:r w:rsidRPr="00CF34A8">
        <w:rPr>
          <w:rFonts w:ascii="Times New Roman" w:hAnsi="Times New Roman"/>
          <w:i/>
          <w:iCs/>
        </w:rPr>
        <w:t>Politics, Groups, and Identities</w:t>
      </w:r>
      <w:r w:rsidRPr="00CF34A8">
        <w:rPr>
          <w:rFonts w:ascii="Times New Roman" w:hAnsi="Times New Roman"/>
        </w:rPr>
        <w:t xml:space="preserve"> 4, no. 1 (January 2, 2016): 84–109. </w:t>
      </w:r>
      <w:hyperlink r:id="rId20" w:history="1">
        <w:r w:rsidRPr="00CF34A8">
          <w:rPr>
            <w:rStyle w:val="Hyperlink"/>
            <w:rFonts w:ascii="Times New Roman" w:hAnsi="Times New Roman"/>
          </w:rPr>
          <w:t>https://doi.org/10.1080/21565503.2015.1066689</w:t>
        </w:r>
      </w:hyperlink>
      <w:r w:rsidRPr="00CF34A8">
        <w:rPr>
          <w:rFonts w:ascii="Times New Roman" w:hAnsi="Times New Roman"/>
        </w:rPr>
        <w:t>.</w:t>
      </w:r>
    </w:p>
    <w:p w14:paraId="1319BA8D" w14:textId="77777777" w:rsidR="0082521E" w:rsidRPr="00485A60" w:rsidRDefault="0082521E" w:rsidP="0082521E">
      <w:pPr>
        <w:rPr>
          <w:rFonts w:ascii="Times New Roman" w:hAnsi="Times New Roman"/>
        </w:rPr>
      </w:pPr>
    </w:p>
    <w:p w14:paraId="0A3A08B7" w14:textId="77777777" w:rsidR="00CF34A8" w:rsidRPr="00CF34A8" w:rsidRDefault="00CF34A8" w:rsidP="00CF34A8">
      <w:pPr>
        <w:rPr>
          <w:rFonts w:ascii="Times New Roman" w:hAnsi="Times New Roman"/>
        </w:rPr>
      </w:pPr>
      <w:r w:rsidRPr="00CF34A8">
        <w:rPr>
          <w:rFonts w:ascii="Times New Roman" w:hAnsi="Times New Roman"/>
        </w:rPr>
        <w:t xml:space="preserve">Carnes, Nicholas. “Does the Numerical Underrepresentation of the Working Class in Congress </w:t>
      </w:r>
      <w:proofErr w:type="gramStart"/>
      <w:r w:rsidRPr="00CF34A8">
        <w:rPr>
          <w:rFonts w:ascii="Times New Roman" w:hAnsi="Times New Roman"/>
        </w:rPr>
        <w:t>Matter?:</w:t>
      </w:r>
      <w:proofErr w:type="gramEnd"/>
      <w:r w:rsidRPr="00CF34A8">
        <w:rPr>
          <w:rFonts w:ascii="Times New Roman" w:hAnsi="Times New Roman"/>
        </w:rPr>
        <w:t xml:space="preserve"> Class and Roll-Call Voting.” </w:t>
      </w:r>
      <w:r w:rsidRPr="00CF34A8">
        <w:rPr>
          <w:rFonts w:ascii="Times New Roman" w:hAnsi="Times New Roman"/>
          <w:i/>
          <w:iCs/>
        </w:rPr>
        <w:t>Legislative Studies Quarterly</w:t>
      </w:r>
      <w:r w:rsidRPr="00CF34A8">
        <w:rPr>
          <w:rFonts w:ascii="Times New Roman" w:hAnsi="Times New Roman"/>
        </w:rPr>
        <w:t xml:space="preserve"> 37, no. 1 (February 2012): 5–34. </w:t>
      </w:r>
      <w:hyperlink r:id="rId21" w:history="1">
        <w:r w:rsidRPr="00CF34A8">
          <w:rPr>
            <w:rStyle w:val="Hyperlink"/>
            <w:rFonts w:ascii="Times New Roman" w:hAnsi="Times New Roman"/>
          </w:rPr>
          <w:t>https://doi.org/10.1111/j.1939-9162.2011.00033.x</w:t>
        </w:r>
      </w:hyperlink>
      <w:r w:rsidRPr="00CF34A8">
        <w:rPr>
          <w:rFonts w:ascii="Times New Roman" w:hAnsi="Times New Roman"/>
        </w:rPr>
        <w:t>.</w:t>
      </w:r>
    </w:p>
    <w:p w14:paraId="42B32D11" w14:textId="77777777" w:rsidR="0082521E" w:rsidRPr="00485A60" w:rsidRDefault="0082521E" w:rsidP="0082521E">
      <w:pPr>
        <w:rPr>
          <w:rFonts w:ascii="Times New Roman" w:hAnsi="Times New Roman"/>
        </w:rPr>
      </w:pPr>
    </w:p>
    <w:p w14:paraId="532BDAA0" w14:textId="77777777" w:rsidR="00CF34A8" w:rsidRPr="00CF34A8" w:rsidRDefault="00CF34A8" w:rsidP="00CF34A8">
      <w:pPr>
        <w:rPr>
          <w:rFonts w:ascii="Times New Roman" w:hAnsi="Times New Roman"/>
        </w:rPr>
      </w:pPr>
      <w:r w:rsidRPr="00CF34A8">
        <w:rPr>
          <w:rFonts w:ascii="Times New Roman" w:hAnsi="Times New Roman"/>
        </w:rPr>
        <w:t xml:space="preserve">Carnes, Nicholas, and Noam Lupu. “Do Voters Dislike Working-Class Candidates? Voter Biases and the Descriptive Underrepresentation of the Working Class.” </w:t>
      </w:r>
      <w:r w:rsidRPr="00CF34A8">
        <w:rPr>
          <w:rFonts w:ascii="Times New Roman" w:hAnsi="Times New Roman"/>
          <w:i/>
          <w:iCs/>
        </w:rPr>
        <w:t>American Political Science Review</w:t>
      </w:r>
      <w:r w:rsidRPr="00CF34A8">
        <w:rPr>
          <w:rFonts w:ascii="Times New Roman" w:hAnsi="Times New Roman"/>
        </w:rPr>
        <w:t xml:space="preserve"> 110, no. 4 (November 2016): 832–44. </w:t>
      </w:r>
      <w:hyperlink r:id="rId22" w:history="1">
        <w:r w:rsidRPr="00CF34A8">
          <w:rPr>
            <w:rStyle w:val="Hyperlink"/>
            <w:rFonts w:ascii="Times New Roman" w:hAnsi="Times New Roman"/>
          </w:rPr>
          <w:t>https://doi.org/10.1017/S0003055416000551</w:t>
        </w:r>
      </w:hyperlink>
      <w:r w:rsidRPr="00CF34A8">
        <w:rPr>
          <w:rFonts w:ascii="Times New Roman" w:hAnsi="Times New Roman"/>
        </w:rPr>
        <w:t>.</w:t>
      </w:r>
    </w:p>
    <w:p w14:paraId="3E3D7FDE" w14:textId="77777777" w:rsidR="006E6132" w:rsidRDefault="006E6132" w:rsidP="0082521E">
      <w:pPr>
        <w:rPr>
          <w:rFonts w:ascii="Times New Roman" w:hAnsi="Times New Roman"/>
        </w:rPr>
      </w:pPr>
    </w:p>
    <w:p w14:paraId="71214019" w14:textId="14B9FD77" w:rsidR="0082521E" w:rsidRDefault="006E6132" w:rsidP="0082521E">
      <w:pPr>
        <w:rPr>
          <w:rFonts w:ascii="Times New Roman" w:hAnsi="Times New Roman"/>
        </w:rPr>
      </w:pPr>
      <w:r w:rsidRPr="006E6132">
        <w:rPr>
          <w:rFonts w:ascii="Times New Roman" w:hAnsi="Times New Roman"/>
        </w:rPr>
        <w:t xml:space="preserve">Caron, Christian. "Public Opinion and Death Penalty Politics in the United States." </w:t>
      </w:r>
      <w:r w:rsidRPr="006E6132">
        <w:rPr>
          <w:rFonts w:ascii="Times New Roman" w:hAnsi="Times New Roman"/>
          <w:i/>
          <w:iCs/>
        </w:rPr>
        <w:t>American Politics Research</w:t>
      </w:r>
      <w:r w:rsidRPr="006E6132">
        <w:rPr>
          <w:rFonts w:ascii="Times New Roman" w:hAnsi="Times New Roman"/>
        </w:rPr>
        <w:t xml:space="preserve"> 50, no. 5 (September 2022): 597-608. </w:t>
      </w:r>
      <w:hyperlink r:id="rId23" w:history="1">
        <w:r w:rsidRPr="006E6132">
          <w:rPr>
            <w:rStyle w:val="Hyperlink"/>
            <w:rFonts w:ascii="Times New Roman" w:hAnsi="Times New Roman"/>
          </w:rPr>
          <w:t>https://doi.org/10.1177/1532673X211047850</w:t>
        </w:r>
      </w:hyperlink>
    </w:p>
    <w:p w14:paraId="5A0CA252" w14:textId="77777777" w:rsidR="006E6132" w:rsidRPr="00485A60" w:rsidRDefault="006E6132" w:rsidP="0082521E">
      <w:pPr>
        <w:rPr>
          <w:rFonts w:ascii="Times New Roman" w:hAnsi="Times New Roman"/>
        </w:rPr>
      </w:pPr>
    </w:p>
    <w:p w14:paraId="792C3614" w14:textId="38F52089" w:rsidR="00CF34A8" w:rsidRPr="00CF34A8" w:rsidRDefault="00CF34A8" w:rsidP="00CF34A8">
      <w:pPr>
        <w:rPr>
          <w:rFonts w:ascii="Times New Roman" w:hAnsi="Times New Roman"/>
        </w:rPr>
      </w:pPr>
      <w:proofErr w:type="spellStart"/>
      <w:r w:rsidRPr="00CF34A8">
        <w:rPr>
          <w:rFonts w:ascii="Times New Roman" w:hAnsi="Times New Roman"/>
        </w:rPr>
        <w:t>Chouhy</w:t>
      </w:r>
      <w:proofErr w:type="spellEnd"/>
      <w:r w:rsidRPr="00CF34A8">
        <w:rPr>
          <w:rFonts w:ascii="Times New Roman" w:hAnsi="Times New Roman"/>
        </w:rPr>
        <w:t xml:space="preserve">, Cecilia, Peter S Lehmann, and Alexa J Singer. “Exclusionary Citizenship: Public Punitiveness and Support for Voting Restrictions,” </w:t>
      </w:r>
      <w:r w:rsidR="00224D0A">
        <w:rPr>
          <w:rFonts w:ascii="Times New Roman" w:hAnsi="Times New Roman"/>
          <w:i/>
          <w:iCs/>
        </w:rPr>
        <w:t xml:space="preserve">Justice Quarterly </w:t>
      </w:r>
      <w:r w:rsidR="00224D0A">
        <w:rPr>
          <w:rFonts w:ascii="Times New Roman" w:hAnsi="Times New Roman"/>
        </w:rPr>
        <w:t>4, no 40 (August 2022).</w:t>
      </w:r>
    </w:p>
    <w:p w14:paraId="2F5C21CF" w14:textId="77777777" w:rsidR="0082521E" w:rsidRPr="00485A60" w:rsidRDefault="0082521E" w:rsidP="0082521E">
      <w:pPr>
        <w:rPr>
          <w:rFonts w:ascii="Times New Roman" w:hAnsi="Times New Roman"/>
        </w:rPr>
      </w:pPr>
    </w:p>
    <w:p w14:paraId="4BDA4AB3" w14:textId="049D2789" w:rsidR="0082521E" w:rsidRDefault="0082521E" w:rsidP="0082521E">
      <w:pPr>
        <w:rPr>
          <w:rFonts w:ascii="Times New Roman" w:hAnsi="Times New Roman"/>
        </w:rPr>
      </w:pPr>
      <w:r w:rsidRPr="0082521E">
        <w:rPr>
          <w:rFonts w:ascii="Times New Roman" w:hAnsi="Times New Roman"/>
        </w:rPr>
        <w:t xml:space="preserve">Clark, Christopher J. </w:t>
      </w:r>
      <w:r w:rsidRPr="0082521E">
        <w:rPr>
          <w:rFonts w:ascii="Times New Roman" w:hAnsi="Times New Roman"/>
          <w:i/>
          <w:iCs/>
        </w:rPr>
        <w:t xml:space="preserve">Gaining Voice: The Causes and Consequences of </w:t>
      </w:r>
      <w:proofErr w:type="gramStart"/>
      <w:r w:rsidRPr="0082521E">
        <w:rPr>
          <w:rFonts w:ascii="Times New Roman" w:hAnsi="Times New Roman"/>
          <w:i/>
          <w:iCs/>
        </w:rPr>
        <w:t>Black  Representation</w:t>
      </w:r>
      <w:proofErr w:type="gramEnd"/>
      <w:r w:rsidRPr="0082521E">
        <w:rPr>
          <w:rFonts w:ascii="Times New Roman" w:hAnsi="Times New Roman"/>
          <w:i/>
          <w:iCs/>
        </w:rPr>
        <w:t xml:space="preserve"> in the American States</w:t>
      </w:r>
      <w:r w:rsidRPr="0082521E">
        <w:rPr>
          <w:rFonts w:ascii="Times New Roman" w:hAnsi="Times New Roman"/>
        </w:rPr>
        <w:t xml:space="preserve">. 2019. New York: Oxford University Press  </w:t>
      </w:r>
    </w:p>
    <w:p w14:paraId="1F0E753F" w14:textId="77777777" w:rsidR="0082521E" w:rsidRDefault="0082521E" w:rsidP="0082521E">
      <w:pPr>
        <w:rPr>
          <w:rFonts w:ascii="Times New Roman" w:hAnsi="Times New Roman"/>
        </w:rPr>
      </w:pPr>
    </w:p>
    <w:p w14:paraId="19B95E9A" w14:textId="71FE1CD0" w:rsidR="0082521E" w:rsidRPr="00485A60" w:rsidRDefault="0082521E" w:rsidP="0082521E">
      <w:pPr>
        <w:rPr>
          <w:rFonts w:ascii="Times New Roman" w:hAnsi="Times New Roman"/>
        </w:rPr>
      </w:pPr>
      <w:r w:rsidRPr="0082521E">
        <w:rPr>
          <w:rFonts w:ascii="Times New Roman" w:hAnsi="Times New Roman"/>
        </w:rPr>
        <w:t>Coll, Joseph A., and Christopher J. Clark. “A Racial Model of Electoral Reform: The Relationship Between Restrictive Voting Policies and Voter Confidence for Black and White Voters.” Public Opinion Quarterly (</w:t>
      </w:r>
      <w:r>
        <w:rPr>
          <w:rFonts w:ascii="Times New Roman" w:hAnsi="Times New Roman"/>
        </w:rPr>
        <w:t>accepted Dec 1</w:t>
      </w:r>
      <w:proofErr w:type="gramStart"/>
      <w:r>
        <w:rPr>
          <w:rFonts w:ascii="Times New Roman" w:hAnsi="Times New Roman"/>
        </w:rPr>
        <w:t xml:space="preserve"> 2023</w:t>
      </w:r>
      <w:proofErr w:type="gramEnd"/>
      <w:r>
        <w:rPr>
          <w:rFonts w:ascii="Times New Roman" w:hAnsi="Times New Roman"/>
        </w:rPr>
        <w:t>)</w:t>
      </w:r>
    </w:p>
    <w:p w14:paraId="190E7B20" w14:textId="77777777" w:rsidR="0082521E" w:rsidRPr="00485A60" w:rsidRDefault="0082521E" w:rsidP="0082521E">
      <w:pPr>
        <w:rPr>
          <w:rFonts w:ascii="Times New Roman" w:hAnsi="Times New Roman"/>
        </w:rPr>
      </w:pPr>
    </w:p>
    <w:p w14:paraId="2EB5079D" w14:textId="364BFB6C" w:rsidR="0082521E" w:rsidRDefault="00224D0A" w:rsidP="0082521E">
      <w:pPr>
        <w:rPr>
          <w:rFonts w:ascii="Times New Roman" w:hAnsi="Times New Roman"/>
        </w:rPr>
      </w:pPr>
      <w:r w:rsidRPr="00224D0A">
        <w:rPr>
          <w:rFonts w:ascii="Times New Roman" w:hAnsi="Times New Roman"/>
        </w:rPr>
        <w:t>Darcy, R., Susan Welch, and Janet Clark</w:t>
      </w:r>
      <w:r>
        <w:rPr>
          <w:rFonts w:ascii="Times New Roman" w:hAnsi="Times New Roman"/>
        </w:rPr>
        <w:t xml:space="preserve">. </w:t>
      </w:r>
      <w:r w:rsidRPr="00224D0A">
        <w:rPr>
          <w:rFonts w:ascii="Times New Roman" w:hAnsi="Times New Roman"/>
          <w:i/>
          <w:iCs/>
        </w:rPr>
        <w:t>Women, Elections &amp; Representation</w:t>
      </w:r>
      <w:r w:rsidRPr="00224D0A">
        <w:rPr>
          <w:rFonts w:ascii="Times New Roman" w:hAnsi="Times New Roman"/>
        </w:rPr>
        <w:t>. Lawrence: University Press of Kansas, 1994.</w:t>
      </w:r>
    </w:p>
    <w:p w14:paraId="6BEE1167" w14:textId="77777777" w:rsidR="00224D0A" w:rsidRPr="00485A60" w:rsidRDefault="00224D0A" w:rsidP="0082521E">
      <w:pPr>
        <w:rPr>
          <w:rFonts w:ascii="Times New Roman" w:hAnsi="Times New Roman"/>
        </w:rPr>
      </w:pPr>
    </w:p>
    <w:p w14:paraId="68014CE8" w14:textId="7E519313" w:rsidR="0082521E" w:rsidRDefault="00703537" w:rsidP="0082521E">
      <w:pPr>
        <w:rPr>
          <w:rFonts w:ascii="Times New Roman" w:hAnsi="Times New Roman"/>
        </w:rPr>
      </w:pPr>
      <w:r w:rsidRPr="00703537">
        <w:rPr>
          <w:rFonts w:ascii="Times New Roman" w:hAnsi="Times New Roman"/>
        </w:rPr>
        <w:t xml:space="preserve">Davidson, Chandler, and Bernard Grofman, eds. </w:t>
      </w:r>
      <w:r w:rsidRPr="00703537">
        <w:rPr>
          <w:rFonts w:ascii="Times New Roman" w:hAnsi="Times New Roman"/>
          <w:i/>
          <w:iCs/>
        </w:rPr>
        <w:t>Quiet Revolution in the South: The Impact of the Voting Rights Act, 1965-1990</w:t>
      </w:r>
      <w:r w:rsidRPr="00703537">
        <w:rPr>
          <w:rFonts w:ascii="Times New Roman" w:hAnsi="Times New Roman"/>
        </w:rPr>
        <w:t>. Princeton: Princeton University Press, 1994.</w:t>
      </w:r>
    </w:p>
    <w:p w14:paraId="7B0B3740" w14:textId="77777777" w:rsidR="00703537" w:rsidRPr="00485A60" w:rsidRDefault="00703537" w:rsidP="0082521E">
      <w:pPr>
        <w:rPr>
          <w:rFonts w:ascii="Times New Roman" w:hAnsi="Times New Roman"/>
        </w:rPr>
      </w:pPr>
    </w:p>
    <w:p w14:paraId="64C945AF" w14:textId="3C1F40E5" w:rsidR="0082521E" w:rsidRPr="00485A60" w:rsidRDefault="00224D0A" w:rsidP="0082521E">
      <w:pPr>
        <w:rPr>
          <w:rFonts w:ascii="Times New Roman" w:hAnsi="Times New Roman"/>
        </w:rPr>
      </w:pPr>
      <w:r w:rsidRPr="00224D0A">
        <w:rPr>
          <w:rFonts w:ascii="Times New Roman" w:hAnsi="Times New Roman"/>
        </w:rPr>
        <w:t xml:space="preserve">Dietrich, Bryce J., and Matthew Hayes. "Symbols of the Struggle: Descriptive Representation and Issue-Based Symbolism in US House Speeches." </w:t>
      </w:r>
      <w:r w:rsidRPr="00224D0A">
        <w:rPr>
          <w:rFonts w:ascii="Times New Roman" w:hAnsi="Times New Roman"/>
          <w:i/>
          <w:iCs/>
        </w:rPr>
        <w:t>The Journal of Politics</w:t>
      </w:r>
      <w:r w:rsidRPr="00224D0A">
        <w:rPr>
          <w:rFonts w:ascii="Times New Roman" w:hAnsi="Times New Roman"/>
        </w:rPr>
        <w:t xml:space="preserve"> 85, no. 4 (2023): 1368-1384.</w:t>
      </w:r>
    </w:p>
    <w:p w14:paraId="59331DA5" w14:textId="77777777" w:rsidR="00224D0A" w:rsidRDefault="00224D0A" w:rsidP="0082521E">
      <w:pPr>
        <w:rPr>
          <w:rFonts w:ascii="Times New Roman" w:hAnsi="Times New Roman"/>
        </w:rPr>
      </w:pPr>
    </w:p>
    <w:p w14:paraId="7AD67FA4" w14:textId="36BC20D4" w:rsidR="0082521E" w:rsidRDefault="00224D0A" w:rsidP="0082521E">
      <w:pPr>
        <w:rPr>
          <w:rFonts w:ascii="Times New Roman" w:hAnsi="Times New Roman"/>
        </w:rPr>
      </w:pPr>
      <w:r w:rsidRPr="00224D0A">
        <w:rPr>
          <w:rFonts w:ascii="Times New Roman" w:hAnsi="Times New Roman"/>
        </w:rPr>
        <w:t xml:space="preserve">"Overrepresentation and Underrepresentation of African Americans and Latinos as Lawbreakers on Television News." </w:t>
      </w:r>
      <w:r w:rsidRPr="00224D0A">
        <w:rPr>
          <w:rFonts w:ascii="Times New Roman" w:hAnsi="Times New Roman"/>
          <w:i/>
          <w:iCs/>
        </w:rPr>
        <w:t>Journal of Communication</w:t>
      </w:r>
      <w:r w:rsidRPr="00224D0A">
        <w:rPr>
          <w:rFonts w:ascii="Times New Roman" w:hAnsi="Times New Roman"/>
        </w:rPr>
        <w:t xml:space="preserve"> 50, no. 2 (2000): 131-154. </w:t>
      </w:r>
      <w:hyperlink r:id="rId24" w:history="1">
        <w:r w:rsidRPr="00224D0A">
          <w:rPr>
            <w:rStyle w:val="Hyperlink"/>
            <w:rFonts w:ascii="Times New Roman" w:hAnsi="Times New Roman"/>
          </w:rPr>
          <w:t>https://doi.org/10.1111/j.1460-2466.2000.tb02845.x</w:t>
        </w:r>
      </w:hyperlink>
    </w:p>
    <w:p w14:paraId="20322CDB" w14:textId="77777777" w:rsidR="0082521E" w:rsidRPr="00485A60" w:rsidRDefault="0082521E" w:rsidP="0082521E">
      <w:pPr>
        <w:rPr>
          <w:rFonts w:ascii="Times New Roman" w:hAnsi="Times New Roman"/>
        </w:rPr>
      </w:pPr>
    </w:p>
    <w:p w14:paraId="3FEF90FF" w14:textId="49619872" w:rsidR="0082521E" w:rsidRPr="00485A60" w:rsidRDefault="0082521E" w:rsidP="0082521E">
      <w:pPr>
        <w:rPr>
          <w:rFonts w:ascii="Times New Roman" w:hAnsi="Times New Roman"/>
        </w:rPr>
      </w:pPr>
      <w:r w:rsidRPr="00485A60">
        <w:rPr>
          <w:rFonts w:ascii="Times New Roman" w:hAnsi="Times New Roman"/>
        </w:rPr>
        <w:t xml:space="preserve">Du Bois, W. E. B. (1971). </w:t>
      </w:r>
    </w:p>
    <w:p w14:paraId="649A4C65" w14:textId="77777777" w:rsidR="0082521E" w:rsidRPr="00485A60" w:rsidRDefault="0082521E" w:rsidP="0082521E">
      <w:pPr>
        <w:rPr>
          <w:rFonts w:ascii="Times New Roman" w:hAnsi="Times New Roman"/>
        </w:rPr>
      </w:pPr>
    </w:p>
    <w:p w14:paraId="379383F7" w14:textId="2B4B35CF" w:rsidR="0082521E" w:rsidRPr="00485A60" w:rsidRDefault="00224D0A" w:rsidP="0082521E">
      <w:pPr>
        <w:rPr>
          <w:rFonts w:ascii="Times New Roman" w:hAnsi="Times New Roman"/>
        </w:rPr>
      </w:pPr>
      <w:r w:rsidRPr="00224D0A">
        <w:rPr>
          <w:rFonts w:ascii="Times New Roman" w:hAnsi="Times New Roman"/>
        </w:rPr>
        <w:t xml:space="preserve">Fenno, Richard F. </w:t>
      </w:r>
      <w:r w:rsidRPr="00224D0A">
        <w:rPr>
          <w:rFonts w:ascii="Times New Roman" w:hAnsi="Times New Roman"/>
          <w:i/>
          <w:iCs/>
        </w:rPr>
        <w:t>Home Style: House Members in Their Districts</w:t>
      </w:r>
      <w:r w:rsidRPr="00224D0A">
        <w:rPr>
          <w:rFonts w:ascii="Times New Roman" w:hAnsi="Times New Roman"/>
        </w:rPr>
        <w:t>. Boston: Little, Brown, 1978.</w:t>
      </w:r>
    </w:p>
    <w:p w14:paraId="6AF26AC3" w14:textId="77777777" w:rsidR="0082521E" w:rsidRPr="00485A60" w:rsidRDefault="0082521E" w:rsidP="0082521E">
      <w:pPr>
        <w:rPr>
          <w:rFonts w:ascii="Times New Roman" w:hAnsi="Times New Roman"/>
        </w:rPr>
      </w:pPr>
    </w:p>
    <w:p w14:paraId="43B1CF55" w14:textId="3B25EBCE" w:rsidR="0082521E" w:rsidRPr="00485A60" w:rsidRDefault="00703537" w:rsidP="0082521E">
      <w:pPr>
        <w:rPr>
          <w:rFonts w:ascii="Times New Roman" w:hAnsi="Times New Roman"/>
        </w:rPr>
      </w:pPr>
      <w:r w:rsidRPr="00703537">
        <w:rPr>
          <w:rFonts w:ascii="Times New Roman" w:hAnsi="Times New Roman"/>
        </w:rPr>
        <w:t xml:space="preserve">Foner, Eric. </w:t>
      </w:r>
      <w:r w:rsidRPr="00703537">
        <w:rPr>
          <w:rFonts w:ascii="Times New Roman" w:hAnsi="Times New Roman"/>
          <w:i/>
          <w:iCs/>
        </w:rPr>
        <w:t>Reconstruction: America's Unfinished Revolution, 1863-1877</w:t>
      </w:r>
      <w:r w:rsidRPr="00703537">
        <w:rPr>
          <w:rFonts w:ascii="Times New Roman" w:hAnsi="Times New Roman"/>
        </w:rPr>
        <w:t>. New York: Harper &amp; Row, 1988.</w:t>
      </w:r>
    </w:p>
    <w:p w14:paraId="043D8505" w14:textId="77777777" w:rsidR="00703537" w:rsidRDefault="00703537" w:rsidP="0082521E">
      <w:pPr>
        <w:rPr>
          <w:rFonts w:ascii="Times New Roman" w:hAnsi="Times New Roman"/>
        </w:rPr>
      </w:pPr>
    </w:p>
    <w:p w14:paraId="1E3A5D1A" w14:textId="6ECB6BF4" w:rsidR="0082521E" w:rsidRDefault="00703537" w:rsidP="0082521E">
      <w:pPr>
        <w:rPr>
          <w:rFonts w:ascii="Times New Roman" w:hAnsi="Times New Roman"/>
        </w:rPr>
      </w:pPr>
      <w:r w:rsidRPr="00703537">
        <w:rPr>
          <w:rFonts w:ascii="Times New Roman" w:hAnsi="Times New Roman"/>
        </w:rPr>
        <w:t xml:space="preserve">Fraga, Bernard L. </w:t>
      </w:r>
      <w:r w:rsidRPr="00703537">
        <w:rPr>
          <w:rFonts w:ascii="Times New Roman" w:hAnsi="Times New Roman"/>
          <w:i/>
          <w:iCs/>
        </w:rPr>
        <w:t>The Turnout Gap: Race, Ethnicity, and Political Inequality in a Diversifying America</w:t>
      </w:r>
      <w:r w:rsidRPr="00703537">
        <w:rPr>
          <w:rFonts w:ascii="Times New Roman" w:hAnsi="Times New Roman"/>
        </w:rPr>
        <w:t>. Cambridge: Cambridge University Press, 2018.</w:t>
      </w:r>
    </w:p>
    <w:p w14:paraId="0BA04F1C" w14:textId="77777777" w:rsidR="00703537" w:rsidRPr="00485A60" w:rsidRDefault="00703537" w:rsidP="0082521E">
      <w:pPr>
        <w:rPr>
          <w:rFonts w:ascii="Times New Roman" w:hAnsi="Times New Roman"/>
        </w:rPr>
      </w:pPr>
    </w:p>
    <w:p w14:paraId="2025FFA9" w14:textId="79F36692" w:rsidR="0082521E" w:rsidRDefault="00703537" w:rsidP="0082521E">
      <w:pPr>
        <w:rPr>
          <w:rFonts w:ascii="Times New Roman" w:hAnsi="Times New Roman"/>
        </w:rPr>
      </w:pPr>
      <w:r w:rsidRPr="00703537">
        <w:rPr>
          <w:rFonts w:ascii="Times New Roman" w:hAnsi="Times New Roman"/>
        </w:rPr>
        <w:t xml:space="preserve">Fraga, Bernard L., and Julie Lee Merseth. "Examining the Causal Impact of the Voting Rights Act Language Minority Provisions." </w:t>
      </w:r>
      <w:r w:rsidRPr="00703537">
        <w:rPr>
          <w:rFonts w:ascii="Times New Roman" w:hAnsi="Times New Roman"/>
          <w:i/>
          <w:iCs/>
        </w:rPr>
        <w:t>Journal of Politics</w:t>
      </w:r>
      <w:r w:rsidRPr="00703537">
        <w:rPr>
          <w:rFonts w:ascii="Times New Roman" w:hAnsi="Times New Roman"/>
        </w:rPr>
        <w:t xml:space="preserve"> 78, no. 3 (July 2016): 830-845. </w:t>
      </w:r>
      <w:hyperlink r:id="rId25" w:history="1">
        <w:r w:rsidRPr="00703537">
          <w:rPr>
            <w:rStyle w:val="Hyperlink"/>
            <w:rFonts w:ascii="Times New Roman" w:hAnsi="Times New Roman"/>
          </w:rPr>
          <w:t>https://doi.org/10.1086/685300</w:t>
        </w:r>
      </w:hyperlink>
    </w:p>
    <w:p w14:paraId="50A6C99D" w14:textId="77777777" w:rsidR="009A18BF" w:rsidRPr="00485A60" w:rsidRDefault="009A18BF" w:rsidP="0082521E">
      <w:pPr>
        <w:rPr>
          <w:rFonts w:ascii="Times New Roman" w:hAnsi="Times New Roman"/>
        </w:rPr>
      </w:pPr>
    </w:p>
    <w:p w14:paraId="2DB1EB5E" w14:textId="17C201BD" w:rsidR="0082521E" w:rsidRPr="00485A60" w:rsidRDefault="009A18BF" w:rsidP="0082521E">
      <w:pPr>
        <w:rPr>
          <w:rFonts w:ascii="Times New Roman" w:hAnsi="Times New Roman"/>
        </w:rPr>
      </w:pPr>
      <w:r w:rsidRPr="009A18BF">
        <w:rPr>
          <w:rFonts w:ascii="Times New Roman" w:hAnsi="Times New Roman"/>
        </w:rPr>
        <w:t xml:space="preserve">Eubank, Nicholas, and Adriane Fresh. "Enfranchisement and Incarceration after the 1965 Voting Rights Act." </w:t>
      </w:r>
      <w:r w:rsidRPr="009A18BF">
        <w:rPr>
          <w:rFonts w:ascii="Times New Roman" w:hAnsi="Times New Roman"/>
          <w:i/>
          <w:iCs/>
        </w:rPr>
        <w:t>American Political Science Review</w:t>
      </w:r>
      <w:r w:rsidRPr="009A18BF">
        <w:rPr>
          <w:rFonts w:ascii="Times New Roman" w:hAnsi="Times New Roman"/>
        </w:rPr>
        <w:t xml:space="preserve"> 116, no. 3 (August 2022): 791-806.</w:t>
      </w:r>
    </w:p>
    <w:p w14:paraId="4B3D7015" w14:textId="77777777" w:rsidR="00CF34A8" w:rsidRPr="00CF34A8" w:rsidRDefault="00CF34A8" w:rsidP="00CF34A8">
      <w:pPr>
        <w:rPr>
          <w:rFonts w:ascii="Times New Roman" w:hAnsi="Times New Roman"/>
        </w:rPr>
      </w:pPr>
      <w:r w:rsidRPr="00CF34A8">
        <w:rPr>
          <w:rFonts w:ascii="Times New Roman" w:hAnsi="Times New Roman"/>
        </w:rPr>
        <w:lastRenderedPageBreak/>
        <w:t xml:space="preserve">Gamble, Katrina L. “Black Political Representation: An Examination of Legislative Activity Within U.S. House Committees.” </w:t>
      </w:r>
      <w:r w:rsidRPr="00CF34A8">
        <w:rPr>
          <w:rFonts w:ascii="Times New Roman" w:hAnsi="Times New Roman"/>
          <w:i/>
          <w:iCs/>
        </w:rPr>
        <w:t>Legislative Studies Quarterly</w:t>
      </w:r>
      <w:r w:rsidRPr="00CF34A8">
        <w:rPr>
          <w:rFonts w:ascii="Times New Roman" w:hAnsi="Times New Roman"/>
        </w:rPr>
        <w:t xml:space="preserve"> 32, no. 3 (August 2007): 421–47. </w:t>
      </w:r>
      <w:hyperlink r:id="rId26" w:history="1">
        <w:r w:rsidRPr="00CF34A8">
          <w:rPr>
            <w:rStyle w:val="Hyperlink"/>
            <w:rFonts w:ascii="Times New Roman" w:hAnsi="Times New Roman"/>
          </w:rPr>
          <w:t>https://doi.org/10.3162/036298007781699663</w:t>
        </w:r>
      </w:hyperlink>
      <w:r w:rsidRPr="00CF34A8">
        <w:rPr>
          <w:rFonts w:ascii="Times New Roman" w:hAnsi="Times New Roman"/>
        </w:rPr>
        <w:t>.</w:t>
      </w:r>
    </w:p>
    <w:p w14:paraId="02EE19DD" w14:textId="77777777" w:rsidR="0082521E" w:rsidRPr="00485A60" w:rsidRDefault="0082521E" w:rsidP="0082521E">
      <w:pPr>
        <w:rPr>
          <w:rFonts w:ascii="Times New Roman" w:hAnsi="Times New Roman"/>
        </w:rPr>
      </w:pPr>
    </w:p>
    <w:p w14:paraId="331362C1" w14:textId="77777777" w:rsidR="00CF34A8" w:rsidRPr="00CF34A8" w:rsidRDefault="00CF34A8" w:rsidP="00CF34A8">
      <w:pPr>
        <w:rPr>
          <w:rFonts w:ascii="Times New Roman" w:hAnsi="Times New Roman"/>
        </w:rPr>
      </w:pPr>
      <w:proofErr w:type="spellStart"/>
      <w:r w:rsidRPr="00CF34A8">
        <w:rPr>
          <w:rFonts w:ascii="Times New Roman" w:hAnsi="Times New Roman"/>
        </w:rPr>
        <w:t>Gilens</w:t>
      </w:r>
      <w:proofErr w:type="spellEnd"/>
      <w:r w:rsidRPr="00CF34A8">
        <w:rPr>
          <w:rFonts w:ascii="Times New Roman" w:hAnsi="Times New Roman"/>
        </w:rPr>
        <w:t xml:space="preserve">, M. “Inequality and Democratic Responsiveness.” </w:t>
      </w:r>
      <w:r w:rsidRPr="00CF34A8">
        <w:rPr>
          <w:rFonts w:ascii="Times New Roman" w:hAnsi="Times New Roman"/>
          <w:i/>
          <w:iCs/>
        </w:rPr>
        <w:t>Public Opinion Quarterly</w:t>
      </w:r>
      <w:r w:rsidRPr="00CF34A8">
        <w:rPr>
          <w:rFonts w:ascii="Times New Roman" w:hAnsi="Times New Roman"/>
        </w:rPr>
        <w:t xml:space="preserve"> 69, no. 5 (January 1, 2005): 778–96. </w:t>
      </w:r>
      <w:hyperlink r:id="rId27" w:history="1">
        <w:r w:rsidRPr="00CF34A8">
          <w:rPr>
            <w:rStyle w:val="Hyperlink"/>
            <w:rFonts w:ascii="Times New Roman" w:hAnsi="Times New Roman"/>
          </w:rPr>
          <w:t>https://doi.org/10.1093/poq/nfi058</w:t>
        </w:r>
      </w:hyperlink>
      <w:r w:rsidRPr="00CF34A8">
        <w:rPr>
          <w:rFonts w:ascii="Times New Roman" w:hAnsi="Times New Roman"/>
        </w:rPr>
        <w:t>.</w:t>
      </w:r>
    </w:p>
    <w:p w14:paraId="03726192" w14:textId="77777777" w:rsidR="0082521E" w:rsidRPr="00485A60" w:rsidRDefault="0082521E" w:rsidP="0082521E">
      <w:pPr>
        <w:rPr>
          <w:rFonts w:ascii="Times New Roman" w:hAnsi="Times New Roman"/>
        </w:rPr>
      </w:pPr>
    </w:p>
    <w:p w14:paraId="62A97095" w14:textId="77777777" w:rsidR="00703537" w:rsidRPr="00703537" w:rsidRDefault="00703537" w:rsidP="00703537">
      <w:pPr>
        <w:rPr>
          <w:rFonts w:ascii="Times New Roman" w:hAnsi="Times New Roman"/>
        </w:rPr>
      </w:pPr>
      <w:r w:rsidRPr="00703537">
        <w:rPr>
          <w:rFonts w:ascii="Times New Roman" w:hAnsi="Times New Roman"/>
        </w:rPr>
        <w:t xml:space="preserve">Gillion, Daniel Q. </w:t>
      </w:r>
      <w:r w:rsidRPr="00703537">
        <w:rPr>
          <w:rFonts w:ascii="Times New Roman" w:hAnsi="Times New Roman"/>
          <w:i/>
          <w:iCs/>
        </w:rPr>
        <w:t>Governing with Words: The Political Dialogue on Race, Rights, and Immigration in America</w:t>
      </w:r>
      <w:r w:rsidRPr="00703537">
        <w:rPr>
          <w:rFonts w:ascii="Times New Roman" w:hAnsi="Times New Roman"/>
        </w:rPr>
        <w:t>. New York: Cambridge University Press, 2016.</w:t>
      </w:r>
    </w:p>
    <w:p w14:paraId="1EB14388" w14:textId="77777777" w:rsidR="0082521E" w:rsidRPr="00485A60" w:rsidRDefault="0082521E" w:rsidP="0082521E">
      <w:pPr>
        <w:rPr>
          <w:rFonts w:ascii="Times New Roman" w:hAnsi="Times New Roman"/>
        </w:rPr>
      </w:pPr>
    </w:p>
    <w:p w14:paraId="5511804A" w14:textId="4D1C3E58" w:rsidR="0082521E" w:rsidRDefault="00703537" w:rsidP="0082521E">
      <w:pPr>
        <w:rPr>
          <w:rFonts w:ascii="Times New Roman" w:hAnsi="Times New Roman"/>
        </w:rPr>
      </w:pPr>
      <w:r w:rsidRPr="00703537">
        <w:rPr>
          <w:rFonts w:ascii="Times New Roman" w:hAnsi="Times New Roman"/>
        </w:rPr>
        <w:t xml:space="preserve">Lemi, Danielle Casarez, and Nadia E. Brown. "Who is Empowering Who: Exploring the Causal Relationship Between Descriptive Representation and Black Empowerment." </w:t>
      </w:r>
      <w:r w:rsidRPr="00703537">
        <w:rPr>
          <w:rFonts w:ascii="Times New Roman" w:hAnsi="Times New Roman"/>
          <w:i/>
          <w:iCs/>
        </w:rPr>
        <w:t>Politics, Groups, and Identities</w:t>
      </w:r>
      <w:r w:rsidRPr="00703537">
        <w:rPr>
          <w:rFonts w:ascii="Times New Roman" w:hAnsi="Times New Roman"/>
        </w:rPr>
        <w:t xml:space="preserve"> 7, no. 2 (2019): 444-453. </w:t>
      </w:r>
      <w:hyperlink r:id="rId28" w:history="1">
        <w:r w:rsidRPr="00703537">
          <w:rPr>
            <w:rStyle w:val="Hyperlink"/>
            <w:rFonts w:ascii="Times New Roman" w:hAnsi="Times New Roman"/>
          </w:rPr>
          <w:t>https://doi.org/10.1080/21565503.2019.1573247</w:t>
        </w:r>
      </w:hyperlink>
    </w:p>
    <w:p w14:paraId="226610A4" w14:textId="77777777" w:rsidR="00703537" w:rsidRPr="00485A60" w:rsidRDefault="00703537" w:rsidP="0082521E">
      <w:pPr>
        <w:rPr>
          <w:rFonts w:ascii="Times New Roman" w:hAnsi="Times New Roman"/>
        </w:rPr>
      </w:pPr>
    </w:p>
    <w:p w14:paraId="3678FDBA" w14:textId="11BB13E1" w:rsidR="0082521E" w:rsidRDefault="00703537" w:rsidP="0082521E">
      <w:pPr>
        <w:rPr>
          <w:rFonts w:asciiTheme="majorHAnsi" w:hAnsiTheme="majorHAnsi" w:cstheme="minorHAnsi"/>
          <w:sz w:val="21"/>
          <w:szCs w:val="21"/>
        </w:rPr>
      </w:pPr>
      <w:r w:rsidRPr="00703537">
        <w:rPr>
          <w:rFonts w:asciiTheme="majorHAnsi" w:hAnsiTheme="majorHAnsi" w:cstheme="minorHAnsi"/>
          <w:sz w:val="21"/>
          <w:szCs w:val="21"/>
        </w:rPr>
        <w:t xml:space="preserve">Greenhill, Brian, Layna Mosley, and Aseem Prakash. "Trade-Based Diffusion of Labor Rights: A Panel Study, 1986-2002." </w:t>
      </w:r>
      <w:r w:rsidRPr="00703537">
        <w:rPr>
          <w:rFonts w:asciiTheme="majorHAnsi" w:hAnsiTheme="majorHAnsi" w:cstheme="minorHAnsi"/>
          <w:i/>
          <w:iCs/>
          <w:sz w:val="21"/>
          <w:szCs w:val="21"/>
        </w:rPr>
        <w:t>American Political Science Review</w:t>
      </w:r>
      <w:r w:rsidRPr="00703537">
        <w:rPr>
          <w:rFonts w:asciiTheme="majorHAnsi" w:hAnsiTheme="majorHAnsi" w:cstheme="minorHAnsi"/>
          <w:sz w:val="21"/>
          <w:szCs w:val="21"/>
        </w:rPr>
        <w:t xml:space="preserve"> 103, no. 4 (2009): 669-690.</w:t>
      </w:r>
    </w:p>
    <w:p w14:paraId="71D81A9C" w14:textId="77777777" w:rsidR="00703537" w:rsidRPr="00485A60" w:rsidRDefault="00703537" w:rsidP="0082521E">
      <w:pPr>
        <w:rPr>
          <w:rFonts w:ascii="Times New Roman" w:hAnsi="Times New Roman"/>
        </w:rPr>
      </w:pPr>
    </w:p>
    <w:p w14:paraId="5B6B12C0" w14:textId="66B67A44" w:rsidR="0082521E" w:rsidRDefault="00DD6492" w:rsidP="0082521E">
      <w:pPr>
        <w:rPr>
          <w:rFonts w:ascii="Times New Roman" w:hAnsi="Times New Roman"/>
        </w:rPr>
      </w:pPr>
      <w:r w:rsidRPr="00DD6492">
        <w:rPr>
          <w:rFonts w:ascii="Times New Roman" w:hAnsi="Times New Roman"/>
        </w:rPr>
        <w:t xml:space="preserve">Grimmer, Justin, and Brandon M. Stewart. "Text as Data: The Promise and Pitfalls of Automatic Content Analysis Methods for Political Texts." </w:t>
      </w:r>
      <w:r w:rsidRPr="00DD6492">
        <w:rPr>
          <w:rFonts w:ascii="Times New Roman" w:hAnsi="Times New Roman"/>
          <w:i/>
          <w:iCs/>
        </w:rPr>
        <w:t>Political Analysis</w:t>
      </w:r>
      <w:r w:rsidRPr="00DD6492">
        <w:rPr>
          <w:rFonts w:ascii="Times New Roman" w:hAnsi="Times New Roman"/>
        </w:rPr>
        <w:t xml:space="preserve"> 21, no. 3 (Summer 2013): 267-297.</w:t>
      </w:r>
    </w:p>
    <w:p w14:paraId="723F8BB5" w14:textId="77777777" w:rsidR="00DD6492" w:rsidRPr="00485A60" w:rsidRDefault="00DD6492" w:rsidP="0082521E">
      <w:pPr>
        <w:rPr>
          <w:rFonts w:ascii="Times New Roman" w:hAnsi="Times New Roman"/>
        </w:rPr>
      </w:pPr>
    </w:p>
    <w:p w14:paraId="6BF76C55" w14:textId="141A051C" w:rsidR="0082521E" w:rsidRDefault="00DD6492" w:rsidP="0082521E">
      <w:pPr>
        <w:rPr>
          <w:rFonts w:ascii="Times New Roman" w:hAnsi="Times New Roman"/>
        </w:rPr>
      </w:pPr>
      <w:proofErr w:type="spellStart"/>
      <w:r w:rsidRPr="00DD6492">
        <w:rPr>
          <w:rFonts w:ascii="Times New Roman" w:hAnsi="Times New Roman"/>
        </w:rPr>
        <w:t>Grofman</w:t>
      </w:r>
      <w:proofErr w:type="spellEnd"/>
      <w:r w:rsidRPr="00DD6492">
        <w:rPr>
          <w:rFonts w:ascii="Times New Roman" w:hAnsi="Times New Roman"/>
        </w:rPr>
        <w:t xml:space="preserve">, Bernard, and Lisa Handley. "Black Representation in Southern State Legislatures: The Effect of the One Person/One Vote Principle." </w:t>
      </w:r>
      <w:r w:rsidRPr="00DD6492">
        <w:rPr>
          <w:rFonts w:ascii="Times New Roman" w:hAnsi="Times New Roman"/>
          <w:i/>
          <w:iCs/>
        </w:rPr>
        <w:t>Legislative Studies Quarterly</w:t>
      </w:r>
      <w:r w:rsidRPr="00DD6492">
        <w:rPr>
          <w:rFonts w:ascii="Times New Roman" w:hAnsi="Times New Roman"/>
        </w:rPr>
        <w:t xml:space="preserve"> 16, no. 1 (February 1991): 111-128.</w:t>
      </w:r>
    </w:p>
    <w:p w14:paraId="0CDFCF19" w14:textId="77777777" w:rsidR="00DD6492" w:rsidRDefault="00DD6492" w:rsidP="0082521E">
      <w:pPr>
        <w:rPr>
          <w:rFonts w:ascii="Times New Roman" w:hAnsi="Times New Roman"/>
        </w:rPr>
      </w:pPr>
    </w:p>
    <w:p w14:paraId="39293063" w14:textId="77777777" w:rsidR="00CF34A8" w:rsidRPr="00CF34A8" w:rsidRDefault="00CF34A8" w:rsidP="00CF34A8">
      <w:pPr>
        <w:rPr>
          <w:rFonts w:ascii="Times New Roman" w:hAnsi="Times New Roman"/>
        </w:rPr>
      </w:pPr>
      <w:r w:rsidRPr="00CF34A8">
        <w:rPr>
          <w:rFonts w:ascii="Times New Roman" w:hAnsi="Times New Roman"/>
        </w:rPr>
        <w:t xml:space="preserve">Grose, Christian R. “Disentangling Constituency and Legislator Effects in Legislative Representation: Black Legislators or Black Districts?” </w:t>
      </w:r>
      <w:r w:rsidRPr="00CF34A8">
        <w:rPr>
          <w:rFonts w:ascii="Times New Roman" w:hAnsi="Times New Roman"/>
          <w:i/>
          <w:iCs/>
        </w:rPr>
        <w:t>Social Science Quarterly</w:t>
      </w:r>
      <w:r w:rsidRPr="00CF34A8">
        <w:rPr>
          <w:rFonts w:ascii="Times New Roman" w:hAnsi="Times New Roman"/>
        </w:rPr>
        <w:t xml:space="preserve"> 86, no. 2 (2005): 427–43. </w:t>
      </w:r>
      <w:hyperlink r:id="rId29" w:history="1">
        <w:r w:rsidRPr="00CF34A8">
          <w:rPr>
            <w:rStyle w:val="Hyperlink"/>
            <w:rFonts w:ascii="Times New Roman" w:hAnsi="Times New Roman"/>
          </w:rPr>
          <w:t>https://doi.org/10.1111/j.0038-4941.2005.00311.x</w:t>
        </w:r>
      </w:hyperlink>
      <w:r w:rsidRPr="00CF34A8">
        <w:rPr>
          <w:rFonts w:ascii="Times New Roman" w:hAnsi="Times New Roman"/>
        </w:rPr>
        <w:t>.</w:t>
      </w:r>
    </w:p>
    <w:p w14:paraId="396A6B89" w14:textId="77777777" w:rsidR="00CF34A8" w:rsidRPr="00485A60" w:rsidRDefault="00CF34A8" w:rsidP="0082521E">
      <w:pPr>
        <w:rPr>
          <w:rFonts w:ascii="Times New Roman" w:hAnsi="Times New Roman"/>
        </w:rPr>
      </w:pPr>
    </w:p>
    <w:p w14:paraId="0010D557" w14:textId="77777777" w:rsidR="00DD6492" w:rsidRPr="00DD6492" w:rsidRDefault="00DD6492" w:rsidP="00DD6492">
      <w:pPr>
        <w:rPr>
          <w:rFonts w:ascii="Times New Roman" w:hAnsi="Times New Roman"/>
        </w:rPr>
      </w:pPr>
      <w:r w:rsidRPr="00DD6492">
        <w:rPr>
          <w:rFonts w:ascii="Times New Roman" w:hAnsi="Times New Roman"/>
        </w:rPr>
        <w:t xml:space="preserve">Grose, Christian R. </w:t>
      </w:r>
      <w:r w:rsidRPr="00DD6492">
        <w:rPr>
          <w:rFonts w:ascii="Times New Roman" w:hAnsi="Times New Roman"/>
          <w:i/>
          <w:iCs/>
        </w:rPr>
        <w:t>Congress in Black and White: Race and Representation in Washington and at Home</w:t>
      </w:r>
      <w:r w:rsidRPr="00DD6492">
        <w:rPr>
          <w:rFonts w:ascii="Times New Roman" w:hAnsi="Times New Roman"/>
        </w:rPr>
        <w:t>. Cambridge: Cambridge University Press, 2011.</w:t>
      </w:r>
    </w:p>
    <w:p w14:paraId="4458A759" w14:textId="77777777" w:rsidR="0082521E" w:rsidRDefault="0082521E" w:rsidP="0082521E">
      <w:pPr>
        <w:rPr>
          <w:rFonts w:ascii="Times New Roman" w:hAnsi="Times New Roman"/>
        </w:rPr>
      </w:pPr>
    </w:p>
    <w:p w14:paraId="279CDB04" w14:textId="4823459D" w:rsidR="006C7333" w:rsidRDefault="006C7333" w:rsidP="0082521E">
      <w:pPr>
        <w:rPr>
          <w:rFonts w:ascii="Times New Roman" w:hAnsi="Times New Roman"/>
        </w:rPr>
      </w:pPr>
      <w:r w:rsidRPr="006C7333">
        <w:rPr>
          <w:rFonts w:ascii="Times New Roman" w:hAnsi="Times New Roman"/>
        </w:rPr>
        <w:t>Hansen, Eric R., and Christopher J. Clark. “Diversity in Party Leadership in State Legislatures.” 2020. State Politics and Policy Quarterly 20(1): 81-107.</w:t>
      </w:r>
    </w:p>
    <w:p w14:paraId="044D86D0" w14:textId="77777777" w:rsidR="006C7333" w:rsidRPr="00485A60" w:rsidRDefault="006C7333" w:rsidP="0082521E">
      <w:pPr>
        <w:rPr>
          <w:rFonts w:ascii="Times New Roman" w:hAnsi="Times New Roman"/>
        </w:rPr>
      </w:pPr>
    </w:p>
    <w:p w14:paraId="0D800E71" w14:textId="6D4C0977" w:rsidR="0082521E" w:rsidRDefault="00DD6492" w:rsidP="0082521E">
      <w:pPr>
        <w:rPr>
          <w:rFonts w:ascii="Times New Roman" w:hAnsi="Times New Roman"/>
        </w:rPr>
      </w:pPr>
      <w:r w:rsidRPr="00DD6492">
        <w:rPr>
          <w:rFonts w:ascii="Times New Roman" w:hAnsi="Times New Roman"/>
        </w:rPr>
        <w:t xml:space="preserve">Hawkesworth, Mary. "Congressional Enactments of Race-Gender: Toward a Theory of Raced-Gendered Institutions." </w:t>
      </w:r>
      <w:r w:rsidRPr="00DD6492">
        <w:rPr>
          <w:rFonts w:ascii="Times New Roman" w:hAnsi="Times New Roman"/>
          <w:i/>
          <w:iCs/>
        </w:rPr>
        <w:t>American Political Science Review</w:t>
      </w:r>
      <w:r w:rsidRPr="00DD6492">
        <w:rPr>
          <w:rFonts w:ascii="Times New Roman" w:hAnsi="Times New Roman"/>
        </w:rPr>
        <w:t xml:space="preserve"> 97, no. 4 (November 2003): 529-550. </w:t>
      </w:r>
      <w:hyperlink r:id="rId30" w:history="1">
        <w:r w:rsidRPr="00DD6492">
          <w:rPr>
            <w:rStyle w:val="Hyperlink"/>
            <w:rFonts w:ascii="Times New Roman" w:hAnsi="Times New Roman"/>
          </w:rPr>
          <w:t>https://doi.org/10.1017/S0003055403000868</w:t>
        </w:r>
      </w:hyperlink>
    </w:p>
    <w:p w14:paraId="73B4A37A" w14:textId="77777777" w:rsidR="0082521E" w:rsidRPr="00485A60" w:rsidRDefault="0082521E" w:rsidP="0082521E">
      <w:pPr>
        <w:rPr>
          <w:rFonts w:ascii="Times New Roman" w:hAnsi="Times New Roman"/>
        </w:rPr>
      </w:pPr>
    </w:p>
    <w:p w14:paraId="2802CC98" w14:textId="43806C15" w:rsidR="0082521E" w:rsidRDefault="00E60F23" w:rsidP="0082521E">
      <w:pPr>
        <w:rPr>
          <w:rFonts w:ascii="Times New Roman" w:hAnsi="Times New Roman"/>
        </w:rPr>
      </w:pPr>
      <w:r w:rsidRPr="00E60F23">
        <w:rPr>
          <w:rFonts w:ascii="Times New Roman" w:hAnsi="Times New Roman"/>
        </w:rPr>
        <w:t xml:space="preserve">Valentino, Nicholas A., and Vincent L. Hutchings. "The Centrality of Race in American Politics." </w:t>
      </w:r>
      <w:r w:rsidRPr="00E60F23">
        <w:rPr>
          <w:rFonts w:ascii="Times New Roman" w:hAnsi="Times New Roman"/>
          <w:i/>
          <w:iCs/>
        </w:rPr>
        <w:t>American Political Science Review</w:t>
      </w:r>
      <w:r w:rsidRPr="00E60F23">
        <w:rPr>
          <w:rFonts w:ascii="Times New Roman" w:hAnsi="Times New Roman"/>
        </w:rPr>
        <w:t xml:space="preserve"> 92, no. 2 (June 1998): 381-396.</w:t>
      </w:r>
    </w:p>
    <w:p w14:paraId="7ED21718" w14:textId="77777777" w:rsidR="00E60F23" w:rsidRDefault="00E60F23" w:rsidP="0082521E">
      <w:pPr>
        <w:rPr>
          <w:rFonts w:ascii="Times New Roman" w:hAnsi="Times New Roman"/>
        </w:rPr>
      </w:pPr>
    </w:p>
    <w:p w14:paraId="50944CB3" w14:textId="77777777" w:rsidR="009A18BF" w:rsidRDefault="009A18BF" w:rsidP="0082521E">
      <w:pPr>
        <w:rPr>
          <w:rFonts w:ascii="Times New Roman" w:hAnsi="Times New Roman"/>
        </w:rPr>
      </w:pPr>
      <w:r w:rsidRPr="009A18BF">
        <w:rPr>
          <w:rFonts w:ascii="Times New Roman" w:hAnsi="Times New Roman"/>
        </w:rPr>
        <w:t>Prison Policy Initiative. "Nowhere to Go: Homelessness among Formerly Incarcerated People." Prison Policy Initiative, 2018.</w:t>
      </w:r>
    </w:p>
    <w:p w14:paraId="6DA991A8" w14:textId="77777777" w:rsidR="0082521E" w:rsidRDefault="0082521E" w:rsidP="0082521E">
      <w:pPr>
        <w:rPr>
          <w:rFonts w:ascii="Times New Roman" w:hAnsi="Times New Roman"/>
        </w:rPr>
      </w:pPr>
    </w:p>
    <w:p w14:paraId="55312B0E" w14:textId="06DDA366" w:rsidR="00694FBB" w:rsidRDefault="00694FBB" w:rsidP="0082521E">
      <w:pPr>
        <w:rPr>
          <w:rFonts w:ascii="Times New Roman" w:hAnsi="Times New Roman"/>
        </w:rPr>
      </w:pPr>
      <w:r w:rsidRPr="00694FBB">
        <w:rPr>
          <w:rFonts w:ascii="Times New Roman" w:hAnsi="Times New Roman"/>
        </w:rPr>
        <w:t>King, G. (1991). Constituency service and incumbency advantage. </w:t>
      </w:r>
      <w:r w:rsidRPr="00694FBB">
        <w:rPr>
          <w:rFonts w:ascii="Times New Roman" w:hAnsi="Times New Roman"/>
          <w:i/>
          <w:iCs/>
        </w:rPr>
        <w:t>British Journal of Political Science</w:t>
      </w:r>
      <w:r w:rsidRPr="00694FBB">
        <w:rPr>
          <w:rFonts w:ascii="Times New Roman" w:hAnsi="Times New Roman"/>
        </w:rPr>
        <w:t>, </w:t>
      </w:r>
      <w:r w:rsidRPr="00694FBB">
        <w:rPr>
          <w:rFonts w:ascii="Times New Roman" w:hAnsi="Times New Roman"/>
          <w:i/>
          <w:iCs/>
        </w:rPr>
        <w:t>21</w:t>
      </w:r>
      <w:r w:rsidRPr="00694FBB">
        <w:rPr>
          <w:rFonts w:ascii="Times New Roman" w:hAnsi="Times New Roman"/>
        </w:rPr>
        <w:t>(1), 119–128. </w:t>
      </w:r>
      <w:hyperlink r:id="rId31" w:history="1">
        <w:r w:rsidRPr="00151806">
          <w:rPr>
            <w:rStyle w:val="Hyperlink"/>
            <w:rFonts w:ascii="Times New Roman" w:hAnsi="Times New Roman"/>
          </w:rPr>
          <w:t>https://doi.org/10.1017/s0007123400006062</w:t>
        </w:r>
      </w:hyperlink>
    </w:p>
    <w:p w14:paraId="02BF71F3" w14:textId="77777777" w:rsidR="00694FBB" w:rsidRPr="00485A60" w:rsidRDefault="00694FBB" w:rsidP="0082521E">
      <w:pPr>
        <w:rPr>
          <w:rFonts w:ascii="Times New Roman" w:hAnsi="Times New Roman"/>
        </w:rPr>
      </w:pPr>
    </w:p>
    <w:p w14:paraId="192BA011" w14:textId="0486A8D7" w:rsidR="0082521E" w:rsidRDefault="00E60F23" w:rsidP="0082521E">
      <w:pPr>
        <w:rPr>
          <w:rFonts w:ascii="Times New Roman" w:hAnsi="Times New Roman"/>
        </w:rPr>
      </w:pPr>
      <w:r w:rsidRPr="00E60F23">
        <w:rPr>
          <w:rFonts w:ascii="Times New Roman" w:hAnsi="Times New Roman"/>
        </w:rPr>
        <w:t xml:space="preserve">King-Meadows, Tyson, and Thomas F. Schaller. </w:t>
      </w:r>
      <w:r w:rsidRPr="00E60F23">
        <w:rPr>
          <w:rFonts w:ascii="Times New Roman" w:hAnsi="Times New Roman"/>
          <w:i/>
          <w:iCs/>
        </w:rPr>
        <w:t>Devolution and Black State Legislators: Challenges and Choices in the Twenty-First Century</w:t>
      </w:r>
      <w:r w:rsidRPr="00E60F23">
        <w:rPr>
          <w:rFonts w:ascii="Times New Roman" w:hAnsi="Times New Roman"/>
        </w:rPr>
        <w:t>. Albany: State University of New York Press, 2006.</w:t>
      </w:r>
    </w:p>
    <w:p w14:paraId="18313052" w14:textId="77777777" w:rsidR="00E60F23" w:rsidRPr="00485A60" w:rsidRDefault="00E60F23" w:rsidP="0082521E">
      <w:pPr>
        <w:rPr>
          <w:rFonts w:ascii="Times New Roman" w:hAnsi="Times New Roman"/>
        </w:rPr>
      </w:pPr>
    </w:p>
    <w:p w14:paraId="0E69D8D0" w14:textId="6BCDA86F" w:rsidR="0082521E" w:rsidRDefault="00224D0A" w:rsidP="0082521E">
      <w:pPr>
        <w:rPr>
          <w:rFonts w:ascii="Times New Roman" w:hAnsi="Times New Roman"/>
        </w:rPr>
      </w:pPr>
      <w:r w:rsidRPr="00224D0A">
        <w:rPr>
          <w:rFonts w:ascii="Times New Roman" w:hAnsi="Times New Roman"/>
        </w:rPr>
        <w:t xml:space="preserve">Kingdon, John W. "Politicians' Beliefs about Voters." </w:t>
      </w:r>
      <w:r w:rsidRPr="00224D0A">
        <w:rPr>
          <w:rFonts w:ascii="Times New Roman" w:hAnsi="Times New Roman"/>
          <w:i/>
          <w:iCs/>
        </w:rPr>
        <w:t>American Political Science Review</w:t>
      </w:r>
      <w:r w:rsidRPr="00224D0A">
        <w:rPr>
          <w:rFonts w:ascii="Times New Roman" w:hAnsi="Times New Roman"/>
        </w:rPr>
        <w:t xml:space="preserve"> 61, no. 1 (March 1967): 137-145.</w:t>
      </w:r>
    </w:p>
    <w:p w14:paraId="53B48133" w14:textId="77777777" w:rsidR="00224D0A" w:rsidRPr="00485A60" w:rsidRDefault="00224D0A" w:rsidP="0082521E">
      <w:pPr>
        <w:rPr>
          <w:rFonts w:ascii="Times New Roman" w:hAnsi="Times New Roman"/>
        </w:rPr>
      </w:pPr>
    </w:p>
    <w:p w14:paraId="1C6E3801" w14:textId="382F3964" w:rsidR="0082521E" w:rsidRDefault="00E60F23" w:rsidP="0082521E">
      <w:pPr>
        <w:rPr>
          <w:rFonts w:ascii="Times New Roman" w:hAnsi="Times New Roman"/>
        </w:rPr>
      </w:pPr>
      <w:r w:rsidRPr="00E60F23">
        <w:rPr>
          <w:rFonts w:ascii="Times New Roman" w:hAnsi="Times New Roman"/>
        </w:rPr>
        <w:t xml:space="preserve">Kingdon, John W. </w:t>
      </w:r>
      <w:r w:rsidRPr="00E60F23">
        <w:rPr>
          <w:rFonts w:ascii="Times New Roman" w:hAnsi="Times New Roman"/>
          <w:i/>
          <w:iCs/>
        </w:rPr>
        <w:t>Agendas, Alternatives, and Public Policies</w:t>
      </w:r>
      <w:r w:rsidRPr="00E60F23">
        <w:rPr>
          <w:rFonts w:ascii="Times New Roman" w:hAnsi="Times New Roman"/>
        </w:rPr>
        <w:t>. Boston: Little, Brown, 1984.</w:t>
      </w:r>
    </w:p>
    <w:p w14:paraId="26DA0B75" w14:textId="77777777" w:rsidR="00E60F23" w:rsidRPr="00485A60" w:rsidRDefault="00E60F23" w:rsidP="0082521E">
      <w:pPr>
        <w:rPr>
          <w:rFonts w:ascii="Times New Roman" w:hAnsi="Times New Roman"/>
        </w:rPr>
      </w:pPr>
    </w:p>
    <w:p w14:paraId="51A4EEA1" w14:textId="69B55087" w:rsidR="0082521E" w:rsidRDefault="00E60F23" w:rsidP="0082521E">
      <w:pPr>
        <w:rPr>
          <w:rFonts w:ascii="Times New Roman" w:hAnsi="Times New Roman"/>
        </w:rPr>
      </w:pPr>
      <w:r w:rsidRPr="00E60F23">
        <w:rPr>
          <w:rFonts w:ascii="Times New Roman" w:hAnsi="Times New Roman"/>
        </w:rPr>
        <w:t xml:space="preserve">Fox, Richard L., and Jennifer L. Lawless. "To Run or Not to Run for Office: Explaining Nascent Political Ambition." </w:t>
      </w:r>
      <w:r w:rsidRPr="00E60F23">
        <w:rPr>
          <w:rFonts w:ascii="Times New Roman" w:hAnsi="Times New Roman"/>
          <w:i/>
          <w:iCs/>
        </w:rPr>
        <w:t>American Journal of Political Science</w:t>
      </w:r>
      <w:r w:rsidRPr="00E60F23">
        <w:rPr>
          <w:rFonts w:ascii="Times New Roman" w:hAnsi="Times New Roman"/>
        </w:rPr>
        <w:t xml:space="preserve"> 49, no. 3 (July 2005): 642-659.</w:t>
      </w:r>
    </w:p>
    <w:p w14:paraId="5CB6D54B" w14:textId="77777777" w:rsidR="00E60F23" w:rsidRPr="00485A60" w:rsidRDefault="00E60F23" w:rsidP="0082521E">
      <w:pPr>
        <w:rPr>
          <w:rFonts w:ascii="Times New Roman" w:hAnsi="Times New Roman"/>
        </w:rPr>
      </w:pPr>
    </w:p>
    <w:p w14:paraId="661DE992" w14:textId="0B3E9BEE" w:rsidR="0082521E" w:rsidRDefault="00E60F23" w:rsidP="0082521E">
      <w:pPr>
        <w:rPr>
          <w:rFonts w:ascii="Times New Roman" w:hAnsi="Times New Roman"/>
        </w:rPr>
      </w:pPr>
      <w:r w:rsidRPr="00E60F23">
        <w:rPr>
          <w:rFonts w:ascii="Times New Roman" w:hAnsi="Times New Roman"/>
        </w:rPr>
        <w:t xml:space="preserve">Lax, Jeffrey R., and Justin H. Phillips. "The Democratic Deficit in the States." </w:t>
      </w:r>
      <w:r w:rsidRPr="00E60F23">
        <w:rPr>
          <w:rFonts w:ascii="Times New Roman" w:hAnsi="Times New Roman"/>
          <w:i/>
          <w:iCs/>
        </w:rPr>
        <w:t>American Journal of Political Science</w:t>
      </w:r>
      <w:r w:rsidRPr="00E60F23">
        <w:rPr>
          <w:rFonts w:ascii="Times New Roman" w:hAnsi="Times New Roman"/>
        </w:rPr>
        <w:t xml:space="preserve"> 56, no. 1 (January 2012): 148-166. </w:t>
      </w:r>
      <w:hyperlink r:id="rId32" w:history="1">
        <w:r w:rsidRPr="00E60F23">
          <w:rPr>
            <w:rStyle w:val="Hyperlink"/>
            <w:rFonts w:ascii="Times New Roman" w:hAnsi="Times New Roman"/>
          </w:rPr>
          <w:t>https://doi.org/10.1111/j.1540-5907.2011.00537.x</w:t>
        </w:r>
      </w:hyperlink>
    </w:p>
    <w:p w14:paraId="758A24E8" w14:textId="77777777" w:rsidR="00E60F23" w:rsidRPr="00485A60" w:rsidRDefault="00E60F23" w:rsidP="0082521E">
      <w:pPr>
        <w:rPr>
          <w:rFonts w:ascii="Times New Roman" w:hAnsi="Times New Roman"/>
        </w:rPr>
      </w:pPr>
    </w:p>
    <w:p w14:paraId="525075F9" w14:textId="240BEAB4" w:rsidR="00CF34A8" w:rsidRPr="00485A60" w:rsidRDefault="009A18BF" w:rsidP="0082521E">
      <w:pPr>
        <w:rPr>
          <w:rFonts w:ascii="Times New Roman" w:hAnsi="Times New Roman"/>
        </w:rPr>
      </w:pPr>
      <w:r w:rsidRPr="009A18BF">
        <w:rPr>
          <w:rFonts w:ascii="Times New Roman" w:hAnsi="Times New Roman"/>
        </w:rPr>
        <w:t xml:space="preserve">Lee, Hedwig, Lauren C. Porter, and Megan Comfort. "Consequences of Family Member Incarceration: Impacts on Civic Participation and Perceptions of the Legitimacy and Fairness of Government." </w:t>
      </w:r>
      <w:r w:rsidRPr="009A18BF">
        <w:rPr>
          <w:rFonts w:ascii="Times New Roman" w:hAnsi="Times New Roman"/>
          <w:i/>
          <w:iCs/>
        </w:rPr>
        <w:t>The Annals of the American Academy of Political and Social Science</w:t>
      </w:r>
      <w:r w:rsidRPr="009A18BF">
        <w:rPr>
          <w:rFonts w:ascii="Times New Roman" w:hAnsi="Times New Roman"/>
        </w:rPr>
        <w:t xml:space="preserve"> 651, no. 1 (January 2014): 44-73.</w:t>
      </w:r>
    </w:p>
    <w:p w14:paraId="5C791DAF" w14:textId="77777777" w:rsidR="009A18BF" w:rsidRDefault="009A18BF" w:rsidP="0082521E">
      <w:pPr>
        <w:rPr>
          <w:rFonts w:ascii="Times New Roman" w:hAnsi="Times New Roman"/>
        </w:rPr>
      </w:pPr>
    </w:p>
    <w:p w14:paraId="7CADA49B" w14:textId="34848F45" w:rsidR="0082521E" w:rsidRDefault="009A18BF" w:rsidP="0082521E">
      <w:pPr>
        <w:rPr>
          <w:rFonts w:ascii="Times New Roman" w:hAnsi="Times New Roman"/>
        </w:rPr>
      </w:pPr>
      <w:r w:rsidRPr="009A18BF">
        <w:rPr>
          <w:rFonts w:ascii="Times New Roman" w:hAnsi="Times New Roman"/>
        </w:rPr>
        <w:t xml:space="preserve">Lerman, Amy E., and Vesla M. Weaver. </w:t>
      </w:r>
      <w:r w:rsidRPr="009A18BF">
        <w:rPr>
          <w:rFonts w:ascii="Times New Roman" w:hAnsi="Times New Roman"/>
          <w:i/>
          <w:iCs/>
        </w:rPr>
        <w:t>Arresting Citizenship: The Democratic Consequences of American Crime Control</w:t>
      </w:r>
      <w:r w:rsidRPr="009A18BF">
        <w:rPr>
          <w:rFonts w:ascii="Times New Roman" w:hAnsi="Times New Roman"/>
        </w:rPr>
        <w:t>. Chicago: University of Chicago Press, 2015</w:t>
      </w:r>
    </w:p>
    <w:p w14:paraId="71B7B11A" w14:textId="77777777" w:rsidR="009A18BF" w:rsidRPr="00485A60" w:rsidRDefault="009A18BF" w:rsidP="0082521E">
      <w:pPr>
        <w:rPr>
          <w:rFonts w:ascii="Times New Roman" w:hAnsi="Times New Roman"/>
        </w:rPr>
      </w:pPr>
    </w:p>
    <w:p w14:paraId="46FF4F6A" w14:textId="17E2458E" w:rsidR="0082521E" w:rsidRDefault="009A18BF" w:rsidP="0082521E">
      <w:pPr>
        <w:rPr>
          <w:rFonts w:ascii="Times New Roman" w:hAnsi="Times New Roman"/>
        </w:rPr>
      </w:pPr>
      <w:r w:rsidRPr="009A18BF">
        <w:rPr>
          <w:rFonts w:ascii="Times New Roman" w:hAnsi="Times New Roman"/>
        </w:rPr>
        <w:t>Looney, Adam, and Nicholas Turner. "Work Opportunity Before and After Incarceration." Washington, DC: Brookings Institution, 2018.</w:t>
      </w:r>
    </w:p>
    <w:p w14:paraId="6013A2BF" w14:textId="77777777" w:rsidR="009A18BF" w:rsidRPr="00485A60" w:rsidRDefault="009A18BF" w:rsidP="0082521E">
      <w:pPr>
        <w:rPr>
          <w:rFonts w:ascii="Times New Roman" w:hAnsi="Times New Roman"/>
        </w:rPr>
      </w:pPr>
    </w:p>
    <w:p w14:paraId="121CC16C" w14:textId="508B7F89" w:rsidR="00CF34A8" w:rsidRDefault="009A18BF" w:rsidP="0082521E">
      <w:pPr>
        <w:rPr>
          <w:rFonts w:ascii="Times New Roman" w:hAnsi="Times New Roman"/>
        </w:rPr>
      </w:pPr>
      <w:r w:rsidRPr="009A18BF">
        <w:rPr>
          <w:rFonts w:ascii="Times New Roman" w:hAnsi="Times New Roman"/>
        </w:rPr>
        <w:t xml:space="preserve">Lublin, David. "Racial Redistricting and </w:t>
      </w:r>
      <w:proofErr w:type="gramStart"/>
      <w:r w:rsidRPr="009A18BF">
        <w:rPr>
          <w:rFonts w:ascii="Times New Roman" w:hAnsi="Times New Roman"/>
        </w:rPr>
        <w:t>African-American</w:t>
      </w:r>
      <w:proofErr w:type="gramEnd"/>
      <w:r w:rsidRPr="009A18BF">
        <w:rPr>
          <w:rFonts w:ascii="Times New Roman" w:hAnsi="Times New Roman"/>
        </w:rPr>
        <w:t xml:space="preserve"> Representation: A Critique of 'Do Majority-Minority Districts Maximize Substantive Black Representation in Congress?'" </w:t>
      </w:r>
      <w:r w:rsidRPr="009A18BF">
        <w:rPr>
          <w:rFonts w:ascii="Times New Roman" w:hAnsi="Times New Roman"/>
          <w:i/>
          <w:iCs/>
        </w:rPr>
        <w:t>American Political Science Review</w:t>
      </w:r>
      <w:r w:rsidRPr="009A18BF">
        <w:rPr>
          <w:rFonts w:ascii="Times New Roman" w:hAnsi="Times New Roman"/>
        </w:rPr>
        <w:t xml:space="preserve"> 93, no. 1 (March 1999): 183-186.</w:t>
      </w:r>
    </w:p>
    <w:p w14:paraId="7A2CC880" w14:textId="77777777" w:rsidR="009A18BF" w:rsidRDefault="009A18BF" w:rsidP="0082521E">
      <w:pPr>
        <w:rPr>
          <w:rFonts w:ascii="Times New Roman" w:hAnsi="Times New Roman"/>
        </w:rPr>
      </w:pPr>
    </w:p>
    <w:p w14:paraId="29463EE2" w14:textId="24C6D02B" w:rsidR="0082521E" w:rsidRDefault="009A18BF" w:rsidP="0082521E">
      <w:pPr>
        <w:rPr>
          <w:rFonts w:ascii="Times New Roman" w:hAnsi="Times New Roman"/>
        </w:rPr>
      </w:pPr>
      <w:r w:rsidRPr="009A18BF">
        <w:rPr>
          <w:rFonts w:ascii="Times New Roman" w:hAnsi="Times New Roman"/>
        </w:rPr>
        <w:t xml:space="preserve">Mansbridge, Jane. "Should Blacks Represent Blacks and Women Represent Women? A Contingent 'Yes.'" </w:t>
      </w:r>
      <w:r w:rsidRPr="009A18BF">
        <w:rPr>
          <w:rFonts w:ascii="Times New Roman" w:hAnsi="Times New Roman"/>
          <w:i/>
          <w:iCs/>
        </w:rPr>
        <w:t>The Journal of Politics</w:t>
      </w:r>
      <w:r w:rsidRPr="009A18BF">
        <w:rPr>
          <w:rFonts w:ascii="Times New Roman" w:hAnsi="Times New Roman"/>
        </w:rPr>
        <w:t xml:space="preserve"> 61, no. 3 (August 1999): 628-657.</w:t>
      </w:r>
    </w:p>
    <w:p w14:paraId="4CDBBBF7" w14:textId="77777777" w:rsidR="009A18BF" w:rsidRPr="00485A60" w:rsidRDefault="009A18BF" w:rsidP="0082521E">
      <w:pPr>
        <w:rPr>
          <w:rFonts w:ascii="Times New Roman" w:hAnsi="Times New Roman"/>
        </w:rPr>
      </w:pPr>
    </w:p>
    <w:p w14:paraId="06E7358D" w14:textId="53864E4E" w:rsidR="0082521E" w:rsidRPr="00485A60" w:rsidRDefault="00E60F23" w:rsidP="0082521E">
      <w:pPr>
        <w:rPr>
          <w:rFonts w:ascii="Times New Roman" w:hAnsi="Times New Roman"/>
        </w:rPr>
      </w:pPr>
      <w:r w:rsidRPr="00E60F23">
        <w:rPr>
          <w:rFonts w:ascii="Times New Roman" w:hAnsi="Times New Roman"/>
        </w:rPr>
        <w:t>Maruschak, Laura M., Jennifer Bronson, and Mariel Alper. "Parents in Prison and Their Minor Children: Survey of Prison Inmates, 2016." Washington, DC: U.S. Department of Justice, Bureau of Justice Statistics, 2021. NCJ 252645.</w:t>
      </w:r>
    </w:p>
    <w:p w14:paraId="6EFE26B4" w14:textId="77777777" w:rsidR="0082521E" w:rsidRPr="00485A60" w:rsidRDefault="0082521E" w:rsidP="0082521E">
      <w:pPr>
        <w:rPr>
          <w:rFonts w:ascii="Times New Roman" w:hAnsi="Times New Roman"/>
        </w:rPr>
      </w:pPr>
    </w:p>
    <w:p w14:paraId="0955A2AD" w14:textId="3015FEB5" w:rsidR="0082521E" w:rsidRDefault="00E60F23" w:rsidP="0082521E">
      <w:pPr>
        <w:rPr>
          <w:rFonts w:ascii="Times New Roman" w:hAnsi="Times New Roman"/>
        </w:rPr>
      </w:pPr>
      <w:r w:rsidRPr="00E60F23">
        <w:rPr>
          <w:rFonts w:ascii="Times New Roman" w:hAnsi="Times New Roman"/>
        </w:rPr>
        <w:t xml:space="preserve">McClain, Paula D., and Jessica D. Johnson Carew. </w:t>
      </w:r>
      <w:r w:rsidRPr="00E60F23">
        <w:rPr>
          <w:rFonts w:ascii="Times New Roman" w:hAnsi="Times New Roman"/>
          <w:i/>
          <w:iCs/>
        </w:rPr>
        <w:t>Can We All Get Along? Racial and Ethnic Minorities in American Politics</w:t>
      </w:r>
      <w:r w:rsidRPr="00E60F23">
        <w:rPr>
          <w:rFonts w:ascii="Times New Roman" w:hAnsi="Times New Roman"/>
        </w:rPr>
        <w:t>. 7th ed. New York: Routledge, 2017.</w:t>
      </w:r>
    </w:p>
    <w:p w14:paraId="4DE70A76" w14:textId="77777777" w:rsidR="00E60F23" w:rsidRPr="00485A60" w:rsidRDefault="00E60F23" w:rsidP="0082521E">
      <w:pPr>
        <w:rPr>
          <w:rFonts w:ascii="Times New Roman" w:hAnsi="Times New Roman"/>
        </w:rPr>
      </w:pPr>
    </w:p>
    <w:p w14:paraId="1F446D7D" w14:textId="2B0A6859" w:rsidR="0082521E" w:rsidRDefault="009A18BF" w:rsidP="0082521E">
      <w:pPr>
        <w:rPr>
          <w:rFonts w:ascii="Times New Roman" w:hAnsi="Times New Roman"/>
        </w:rPr>
      </w:pPr>
      <w:r w:rsidRPr="009A18BF">
        <w:rPr>
          <w:rFonts w:ascii="Times New Roman" w:hAnsi="Times New Roman"/>
        </w:rPr>
        <w:t xml:space="preserve">Michener, Jamila. </w:t>
      </w:r>
      <w:r w:rsidRPr="009A18BF">
        <w:rPr>
          <w:rFonts w:ascii="Times New Roman" w:hAnsi="Times New Roman"/>
          <w:i/>
          <w:iCs/>
        </w:rPr>
        <w:t>Fragmented Democracy: Medicaid, Federalism, and Unequal Politics</w:t>
      </w:r>
      <w:r w:rsidRPr="009A18BF">
        <w:rPr>
          <w:rFonts w:ascii="Times New Roman" w:hAnsi="Times New Roman"/>
        </w:rPr>
        <w:t>. Cambridge: Cambridge University Press, 2018.</w:t>
      </w:r>
    </w:p>
    <w:p w14:paraId="52A3D176" w14:textId="77777777" w:rsidR="009A18BF" w:rsidRDefault="009A18BF" w:rsidP="0082521E">
      <w:pPr>
        <w:rPr>
          <w:rFonts w:ascii="Times New Roman" w:hAnsi="Times New Roman"/>
        </w:rPr>
      </w:pPr>
    </w:p>
    <w:p w14:paraId="084AD129" w14:textId="4063E061" w:rsidR="0082521E" w:rsidRPr="00485A60" w:rsidRDefault="009A18BF" w:rsidP="0082521E">
      <w:pPr>
        <w:rPr>
          <w:rFonts w:ascii="Times New Roman" w:hAnsi="Times New Roman"/>
        </w:rPr>
      </w:pPr>
      <w:r w:rsidRPr="009A18BF">
        <w:rPr>
          <w:rFonts w:ascii="Times New Roman" w:hAnsi="Times New Roman"/>
        </w:rPr>
        <w:t xml:space="preserve">Miller, Warren E., and Donald E. Stokes. "Constituency Influence in Congress." </w:t>
      </w:r>
      <w:r w:rsidRPr="009A18BF">
        <w:rPr>
          <w:rFonts w:ascii="Times New Roman" w:hAnsi="Times New Roman"/>
          <w:i/>
          <w:iCs/>
        </w:rPr>
        <w:t>American Political Science Review</w:t>
      </w:r>
      <w:r w:rsidRPr="009A18BF">
        <w:rPr>
          <w:rFonts w:ascii="Times New Roman" w:hAnsi="Times New Roman"/>
        </w:rPr>
        <w:t xml:space="preserve"> 57, no. 1 (March 1963): 45-56.</w:t>
      </w:r>
    </w:p>
    <w:p w14:paraId="4429E696" w14:textId="77777777" w:rsidR="009A18BF" w:rsidRDefault="009A18BF" w:rsidP="0082521E">
      <w:pPr>
        <w:rPr>
          <w:rFonts w:ascii="Times New Roman" w:hAnsi="Times New Roman"/>
        </w:rPr>
      </w:pPr>
    </w:p>
    <w:p w14:paraId="6BD4F642" w14:textId="6431B441" w:rsidR="0082521E" w:rsidRDefault="009A18BF" w:rsidP="0082521E">
      <w:pPr>
        <w:rPr>
          <w:rFonts w:ascii="Times New Roman" w:hAnsi="Times New Roman"/>
        </w:rPr>
      </w:pPr>
      <w:r w:rsidRPr="009A18BF">
        <w:rPr>
          <w:rFonts w:ascii="Times New Roman" w:hAnsi="Times New Roman"/>
        </w:rPr>
        <w:t xml:space="preserve">Miler, Kristina C. </w:t>
      </w:r>
      <w:r w:rsidRPr="009A18BF">
        <w:rPr>
          <w:rFonts w:ascii="Times New Roman" w:hAnsi="Times New Roman"/>
          <w:i/>
          <w:iCs/>
        </w:rPr>
        <w:t>Constituency Representation in Congress: The View from Capitol Hill</w:t>
      </w:r>
      <w:r w:rsidRPr="009A18BF">
        <w:rPr>
          <w:rFonts w:ascii="Times New Roman" w:hAnsi="Times New Roman"/>
        </w:rPr>
        <w:t>. Cambridge: Cambridge University Press, 2010.</w:t>
      </w:r>
    </w:p>
    <w:p w14:paraId="47D167C8" w14:textId="77777777" w:rsidR="009A18BF" w:rsidRPr="00485A60" w:rsidRDefault="009A18BF" w:rsidP="0082521E">
      <w:pPr>
        <w:rPr>
          <w:rFonts w:ascii="Times New Roman" w:hAnsi="Times New Roman"/>
        </w:rPr>
      </w:pPr>
    </w:p>
    <w:p w14:paraId="59E65FF4" w14:textId="77777777" w:rsidR="009A18BF" w:rsidRDefault="009A18BF" w:rsidP="0082521E">
      <w:pPr>
        <w:rPr>
          <w:rFonts w:ascii="Times New Roman" w:hAnsi="Times New Roman"/>
        </w:rPr>
      </w:pPr>
      <w:r w:rsidRPr="009A18BF">
        <w:rPr>
          <w:rFonts w:ascii="Times New Roman" w:hAnsi="Times New Roman"/>
        </w:rPr>
        <w:t xml:space="preserve">Owens, Michael Leo, and Hannah L. Walker. "The Civic Voluntarism of 'Custodial Citizens': Involuntary Criminal Justice Contact, Associational Life, and Political Participation." </w:t>
      </w:r>
      <w:r w:rsidRPr="009A18BF">
        <w:rPr>
          <w:rFonts w:ascii="Times New Roman" w:hAnsi="Times New Roman"/>
          <w:i/>
          <w:iCs/>
        </w:rPr>
        <w:t>Perspectives on Politics</w:t>
      </w:r>
      <w:r w:rsidRPr="009A18BF">
        <w:rPr>
          <w:rFonts w:ascii="Times New Roman" w:hAnsi="Times New Roman"/>
        </w:rPr>
        <w:t xml:space="preserve"> 16, no. 4 (December 2018): 990-1013.</w:t>
      </w:r>
    </w:p>
    <w:p w14:paraId="5D849156" w14:textId="77777777" w:rsidR="009A18BF" w:rsidRDefault="009A18BF" w:rsidP="0082521E">
      <w:pPr>
        <w:rPr>
          <w:rFonts w:ascii="Times New Roman" w:hAnsi="Times New Roman"/>
        </w:rPr>
      </w:pPr>
    </w:p>
    <w:p w14:paraId="69447675" w14:textId="41C876AB" w:rsidR="0082521E" w:rsidRPr="00485A60" w:rsidRDefault="0082521E" w:rsidP="0082521E">
      <w:pPr>
        <w:rPr>
          <w:rFonts w:ascii="Times New Roman" w:hAnsi="Times New Roman"/>
        </w:rPr>
      </w:pPr>
      <w:r w:rsidRPr="00485A60">
        <w:rPr>
          <w:rFonts w:ascii="Times New Roman" w:hAnsi="Times New Roman"/>
        </w:rPr>
        <w:t xml:space="preserve">Palmer, B., &amp; Simon, D. (2008). </w:t>
      </w:r>
    </w:p>
    <w:p w14:paraId="02814E49" w14:textId="77777777" w:rsidR="0082521E" w:rsidRPr="00485A60" w:rsidRDefault="0082521E" w:rsidP="0082521E">
      <w:pPr>
        <w:rPr>
          <w:rFonts w:ascii="Times New Roman" w:hAnsi="Times New Roman"/>
        </w:rPr>
      </w:pPr>
    </w:p>
    <w:p w14:paraId="12A1F9A3" w14:textId="5ACCC4B0" w:rsidR="0082521E" w:rsidRDefault="00E60F23" w:rsidP="0082521E">
      <w:pPr>
        <w:rPr>
          <w:rFonts w:ascii="Times New Roman" w:hAnsi="Times New Roman"/>
        </w:rPr>
      </w:pPr>
      <w:r w:rsidRPr="00E60F23">
        <w:rPr>
          <w:rFonts w:ascii="Times New Roman" w:hAnsi="Times New Roman"/>
        </w:rPr>
        <w:t xml:space="preserve">Pettigrew, Stephen. "The Racial Gap in Wait Times: Why Minority Precincts Are Underserved by Local Election Officials." </w:t>
      </w:r>
      <w:r w:rsidRPr="00E60F23">
        <w:rPr>
          <w:rFonts w:ascii="Times New Roman" w:hAnsi="Times New Roman"/>
          <w:i/>
          <w:iCs/>
        </w:rPr>
        <w:t>Political Science Quarterly</w:t>
      </w:r>
      <w:r w:rsidRPr="00E60F23">
        <w:rPr>
          <w:rFonts w:ascii="Times New Roman" w:hAnsi="Times New Roman"/>
        </w:rPr>
        <w:t xml:space="preserve"> 132, no. 3 (2017): 527-547. </w:t>
      </w:r>
      <w:hyperlink r:id="rId33" w:history="1">
        <w:r w:rsidRPr="00E60F23">
          <w:rPr>
            <w:rStyle w:val="Hyperlink"/>
            <w:rFonts w:ascii="Times New Roman" w:hAnsi="Times New Roman"/>
          </w:rPr>
          <w:t>https://doi.org/10.1002/polq.12657</w:t>
        </w:r>
      </w:hyperlink>
    </w:p>
    <w:p w14:paraId="7ACDF41B" w14:textId="77777777" w:rsidR="00E60F23" w:rsidRPr="00485A60" w:rsidRDefault="00E60F23" w:rsidP="0082521E">
      <w:pPr>
        <w:rPr>
          <w:rFonts w:ascii="Times New Roman" w:hAnsi="Times New Roman"/>
        </w:rPr>
      </w:pPr>
    </w:p>
    <w:p w14:paraId="780C3178" w14:textId="08A39924" w:rsidR="0082521E" w:rsidRDefault="009A18BF" w:rsidP="0082521E">
      <w:pPr>
        <w:rPr>
          <w:rFonts w:ascii="Times New Roman" w:hAnsi="Times New Roman"/>
        </w:rPr>
      </w:pPr>
      <w:r w:rsidRPr="009A18BF">
        <w:rPr>
          <w:rFonts w:ascii="Times New Roman" w:hAnsi="Times New Roman"/>
        </w:rPr>
        <w:t xml:space="preserve">Pitkin, Hanna Fenichel. </w:t>
      </w:r>
      <w:r w:rsidRPr="009A18BF">
        <w:rPr>
          <w:rFonts w:ascii="Times New Roman" w:hAnsi="Times New Roman"/>
          <w:i/>
          <w:iCs/>
        </w:rPr>
        <w:t>The Concept of Representation</w:t>
      </w:r>
      <w:r w:rsidRPr="009A18BF">
        <w:rPr>
          <w:rFonts w:ascii="Times New Roman" w:hAnsi="Times New Roman"/>
        </w:rPr>
        <w:t>. Berkeley: University of California Press, 1967</w:t>
      </w:r>
    </w:p>
    <w:p w14:paraId="7AFC4A8F" w14:textId="2ABFE81F" w:rsidR="00E60F23" w:rsidRPr="00485A60" w:rsidRDefault="00E60F23" w:rsidP="0082521E">
      <w:pPr>
        <w:rPr>
          <w:rFonts w:ascii="Times New Roman" w:hAnsi="Times New Roman"/>
        </w:rPr>
      </w:pPr>
      <w:proofErr w:type="spellStart"/>
      <w:r w:rsidRPr="00E60F23">
        <w:rPr>
          <w:rFonts w:ascii="Times New Roman" w:hAnsi="Times New Roman"/>
        </w:rPr>
        <w:t>Preuhs</w:t>
      </w:r>
      <w:proofErr w:type="spellEnd"/>
      <w:r w:rsidRPr="00E60F23">
        <w:rPr>
          <w:rFonts w:ascii="Times New Roman" w:hAnsi="Times New Roman"/>
        </w:rPr>
        <w:t xml:space="preserve">, Robert R. "The Conditional Effects of Minority Descriptive Representation: Black Legislators and Policy Influence in the American States." </w:t>
      </w:r>
      <w:r w:rsidRPr="00E60F23">
        <w:rPr>
          <w:rFonts w:ascii="Times New Roman" w:hAnsi="Times New Roman"/>
          <w:i/>
          <w:iCs/>
        </w:rPr>
        <w:t>Journal of Politics</w:t>
      </w:r>
      <w:r w:rsidRPr="00E60F23">
        <w:rPr>
          <w:rFonts w:ascii="Times New Roman" w:hAnsi="Times New Roman"/>
        </w:rPr>
        <w:t xml:space="preserve"> 68, no. 3 (August 2006): 585-599. </w:t>
      </w:r>
      <w:hyperlink r:id="rId34" w:history="1">
        <w:r w:rsidRPr="00E60F23">
          <w:rPr>
            <w:rStyle w:val="Hyperlink"/>
            <w:rFonts w:ascii="Times New Roman" w:hAnsi="Times New Roman"/>
          </w:rPr>
          <w:t>https://doi.org/10.1111/j.1468-2508.2006.00447.x</w:t>
        </w:r>
      </w:hyperlink>
    </w:p>
    <w:p w14:paraId="390E2C1D" w14:textId="77777777" w:rsidR="00DD6492" w:rsidRDefault="00DD6492" w:rsidP="0082521E">
      <w:pPr>
        <w:rPr>
          <w:rFonts w:ascii="Times New Roman" w:hAnsi="Times New Roman"/>
        </w:rPr>
      </w:pPr>
    </w:p>
    <w:p w14:paraId="5E099BE4" w14:textId="52F5C187" w:rsidR="0082521E" w:rsidRPr="00485A60" w:rsidRDefault="00DD6492" w:rsidP="0082521E">
      <w:pPr>
        <w:rPr>
          <w:rFonts w:ascii="Times New Roman" w:hAnsi="Times New Roman"/>
        </w:rPr>
      </w:pPr>
      <w:r w:rsidRPr="00DD6492">
        <w:rPr>
          <w:rFonts w:ascii="Times New Roman" w:hAnsi="Times New Roman"/>
        </w:rPr>
        <w:t xml:space="preserve">Reingold, Beth, Kerry L. Haynie, and Kirsten Widner. "Gender, Race/Ethnicity, and Representation in State Legislatures." In </w:t>
      </w:r>
      <w:r w:rsidRPr="00DD6492">
        <w:rPr>
          <w:rFonts w:ascii="Times New Roman" w:hAnsi="Times New Roman"/>
          <w:i/>
          <w:iCs/>
        </w:rPr>
        <w:t>Race, Gender, and Political Representation: Toward a More Intersectional Approach</w:t>
      </w:r>
      <w:r w:rsidRPr="00DD6492">
        <w:rPr>
          <w:rFonts w:ascii="Times New Roman" w:hAnsi="Times New Roman"/>
        </w:rPr>
        <w:t>. Oxford: Oxford University Press, 2019.</w:t>
      </w:r>
    </w:p>
    <w:p w14:paraId="133DB7BE" w14:textId="77777777" w:rsidR="00DD6492" w:rsidRDefault="00DD6492" w:rsidP="002E6116">
      <w:pPr>
        <w:rPr>
          <w:rFonts w:ascii="Times New Roman" w:hAnsi="Times New Roman"/>
        </w:rPr>
      </w:pPr>
    </w:p>
    <w:p w14:paraId="0A9E1856" w14:textId="7171AF4E" w:rsidR="0082521E" w:rsidRDefault="009A18BF" w:rsidP="0082521E">
      <w:pPr>
        <w:rPr>
          <w:rFonts w:ascii="Times New Roman" w:hAnsi="Times New Roman"/>
        </w:rPr>
      </w:pPr>
      <w:r w:rsidRPr="009A18BF">
        <w:rPr>
          <w:rFonts w:ascii="Times New Roman" w:hAnsi="Times New Roman"/>
        </w:rPr>
        <w:t xml:space="preserve">Remster, Brianna, and Rory Kramer. "Shifting Power: The Impact of Incarceration on Political Representation." </w:t>
      </w:r>
      <w:r w:rsidRPr="009A18BF">
        <w:rPr>
          <w:rFonts w:ascii="Times New Roman" w:hAnsi="Times New Roman"/>
          <w:i/>
          <w:iCs/>
        </w:rPr>
        <w:t>Du Bois Review: Social Science Research on Race</w:t>
      </w:r>
      <w:r w:rsidRPr="009A18BF">
        <w:rPr>
          <w:rFonts w:ascii="Times New Roman" w:hAnsi="Times New Roman"/>
        </w:rPr>
        <w:t xml:space="preserve"> 15, no. 2 (Fall 2018): 417-439."</w:t>
      </w:r>
    </w:p>
    <w:p w14:paraId="7B3539A1" w14:textId="77777777" w:rsidR="009A18BF" w:rsidRPr="00485A60" w:rsidRDefault="009A18BF" w:rsidP="0082521E">
      <w:pPr>
        <w:rPr>
          <w:rFonts w:ascii="Times New Roman" w:hAnsi="Times New Roman"/>
        </w:rPr>
      </w:pPr>
    </w:p>
    <w:p w14:paraId="35B618D6" w14:textId="42246630" w:rsidR="0082521E" w:rsidRPr="00485A60" w:rsidRDefault="00DD6492" w:rsidP="0082521E">
      <w:pPr>
        <w:rPr>
          <w:rFonts w:ascii="Times New Roman" w:hAnsi="Times New Roman"/>
        </w:rPr>
      </w:pPr>
      <w:proofErr w:type="spellStart"/>
      <w:r w:rsidRPr="00DD6492">
        <w:rPr>
          <w:rFonts w:ascii="Times New Roman" w:hAnsi="Times New Roman"/>
        </w:rPr>
        <w:t>Sanbonmatsu</w:t>
      </w:r>
      <w:proofErr w:type="spellEnd"/>
      <w:r w:rsidRPr="00DD6492">
        <w:rPr>
          <w:rFonts w:ascii="Times New Roman" w:hAnsi="Times New Roman"/>
        </w:rPr>
        <w:t xml:space="preserve">, Kira. "Political Parties and the Recruitment of Women to State Legislatures." </w:t>
      </w:r>
      <w:r w:rsidRPr="00DD6492">
        <w:rPr>
          <w:rFonts w:ascii="Times New Roman" w:hAnsi="Times New Roman"/>
          <w:i/>
          <w:iCs/>
        </w:rPr>
        <w:t>The Journal of Politics</w:t>
      </w:r>
      <w:r w:rsidRPr="00DD6492">
        <w:rPr>
          <w:rFonts w:ascii="Times New Roman" w:hAnsi="Times New Roman"/>
        </w:rPr>
        <w:t xml:space="preserve"> 64, no. 3 (August 2002): 791-809. </w:t>
      </w:r>
      <w:hyperlink r:id="rId35" w:history="1">
        <w:r w:rsidRPr="00DD6492">
          <w:rPr>
            <w:rStyle w:val="Hyperlink"/>
            <w:rFonts w:ascii="Times New Roman" w:hAnsi="Times New Roman"/>
          </w:rPr>
          <w:t>https://doi.org/10.1111/0022-3816.00146</w:t>
        </w:r>
      </w:hyperlink>
    </w:p>
    <w:p w14:paraId="0ED5C23C" w14:textId="77777777" w:rsidR="00DD6492" w:rsidRDefault="00DD6492" w:rsidP="0082521E">
      <w:pPr>
        <w:rPr>
          <w:rFonts w:ascii="Times New Roman" w:hAnsi="Times New Roman"/>
        </w:rPr>
      </w:pPr>
    </w:p>
    <w:p w14:paraId="26B177B4" w14:textId="4756B11E" w:rsidR="0082521E" w:rsidRDefault="009A18BF" w:rsidP="0082521E">
      <w:pPr>
        <w:rPr>
          <w:rFonts w:ascii="Times New Roman" w:hAnsi="Times New Roman"/>
        </w:rPr>
      </w:pPr>
      <w:proofErr w:type="spellStart"/>
      <w:r w:rsidRPr="009A18BF">
        <w:rPr>
          <w:rFonts w:ascii="Times New Roman" w:hAnsi="Times New Roman"/>
        </w:rPr>
        <w:t>Sanbonmatsu</w:t>
      </w:r>
      <w:proofErr w:type="spellEnd"/>
      <w:r w:rsidRPr="009A18BF">
        <w:rPr>
          <w:rFonts w:ascii="Times New Roman" w:hAnsi="Times New Roman"/>
        </w:rPr>
        <w:t xml:space="preserve">, Kira. "Do Parties Know That 'Women Win'? Party Leader Beliefs about Women's Electoral Chances." </w:t>
      </w:r>
      <w:r w:rsidRPr="009A18BF">
        <w:rPr>
          <w:rFonts w:ascii="Times New Roman" w:hAnsi="Times New Roman"/>
          <w:i/>
          <w:iCs/>
        </w:rPr>
        <w:t>Politics &amp; Gender</w:t>
      </w:r>
      <w:r w:rsidRPr="009A18BF">
        <w:rPr>
          <w:rFonts w:ascii="Times New Roman" w:hAnsi="Times New Roman"/>
        </w:rPr>
        <w:t xml:space="preserve"> 2, no. 4 (December 2006): 431-450</w:t>
      </w:r>
    </w:p>
    <w:p w14:paraId="77065410" w14:textId="77777777" w:rsidR="009A18BF" w:rsidRPr="00485A60" w:rsidRDefault="009A18BF" w:rsidP="0082521E">
      <w:pPr>
        <w:rPr>
          <w:rFonts w:ascii="Times New Roman" w:hAnsi="Times New Roman"/>
        </w:rPr>
      </w:pPr>
    </w:p>
    <w:p w14:paraId="0D39AB57" w14:textId="7EFD9A42" w:rsidR="0082521E" w:rsidRDefault="00DC03A3" w:rsidP="0082521E">
      <w:pPr>
        <w:rPr>
          <w:rFonts w:ascii="Times New Roman" w:hAnsi="Times New Roman"/>
        </w:rPr>
      </w:pPr>
      <w:r>
        <w:rPr>
          <w:rFonts w:ascii="Times New Roman" w:hAnsi="Times New Roman"/>
        </w:rPr>
        <w:t>Sapiro, V. “</w:t>
      </w:r>
      <w:r w:rsidR="00DD6492" w:rsidRPr="00DD6492">
        <w:rPr>
          <w:rFonts w:ascii="Times New Roman" w:hAnsi="Times New Roman"/>
        </w:rPr>
        <w:t xml:space="preserve">If U.S. Senator Baker Were a Woman: An Experimental Study of Candidate Images." </w:t>
      </w:r>
      <w:r w:rsidR="00DD6492" w:rsidRPr="00DD6492">
        <w:rPr>
          <w:rFonts w:ascii="Times New Roman" w:hAnsi="Times New Roman"/>
          <w:i/>
          <w:iCs/>
        </w:rPr>
        <w:t>Political Psychology</w:t>
      </w:r>
      <w:r w:rsidR="00DD6492" w:rsidRPr="00DD6492">
        <w:rPr>
          <w:rFonts w:ascii="Times New Roman" w:hAnsi="Times New Roman"/>
        </w:rPr>
        <w:t xml:space="preserve"> 3, no. 1/2 (1981-1982): 61-83.</w:t>
      </w:r>
    </w:p>
    <w:p w14:paraId="314A21F3" w14:textId="77777777" w:rsidR="00DD6492" w:rsidRDefault="00DD6492" w:rsidP="0082521E">
      <w:pPr>
        <w:rPr>
          <w:rFonts w:ascii="Times New Roman" w:hAnsi="Times New Roman"/>
        </w:rPr>
      </w:pPr>
    </w:p>
    <w:p w14:paraId="2C7446D3" w14:textId="04E03DFF" w:rsidR="00DC03A3" w:rsidRPr="00DC03A3" w:rsidRDefault="00DC03A3" w:rsidP="0082521E">
      <w:pPr>
        <w:rPr>
          <w:rFonts w:ascii="Times New Roman" w:hAnsi="Times New Roman"/>
        </w:rPr>
      </w:pPr>
      <w:r>
        <w:rPr>
          <w:rFonts w:ascii="Times New Roman" w:hAnsi="Times New Roman"/>
        </w:rPr>
        <w:t xml:space="preserve">Sapiro, Virginia. “When Are Interests Interesting? The Problem of Political Representation of Women.” </w:t>
      </w:r>
      <w:r>
        <w:rPr>
          <w:rFonts w:ascii="Times New Roman" w:hAnsi="Times New Roman"/>
          <w:i/>
          <w:iCs/>
        </w:rPr>
        <w:t>American Political Science Review</w:t>
      </w:r>
      <w:r>
        <w:rPr>
          <w:rFonts w:ascii="Times New Roman" w:hAnsi="Times New Roman"/>
        </w:rPr>
        <w:t xml:space="preserve"> 75, no 3. (September 2981): 701-716.</w:t>
      </w:r>
    </w:p>
    <w:p w14:paraId="1846EF5A" w14:textId="77777777" w:rsidR="00DC03A3" w:rsidRDefault="00DC03A3" w:rsidP="0082521E">
      <w:pPr>
        <w:rPr>
          <w:rFonts w:ascii="Times New Roman" w:hAnsi="Times New Roman"/>
        </w:rPr>
      </w:pPr>
    </w:p>
    <w:p w14:paraId="0D3D2DDC" w14:textId="7480463F" w:rsidR="0082521E" w:rsidRDefault="009A18BF" w:rsidP="0082521E">
      <w:pPr>
        <w:rPr>
          <w:rFonts w:ascii="Times New Roman" w:hAnsi="Times New Roman"/>
          <w:szCs w:val="22"/>
        </w:rPr>
      </w:pPr>
      <w:r w:rsidRPr="009A18BF">
        <w:rPr>
          <w:rFonts w:ascii="Times New Roman" w:hAnsi="Times New Roman"/>
          <w:szCs w:val="22"/>
        </w:rPr>
        <w:t xml:space="preserve">Schneider, Anne, and Helen Ingram. "Social Construction of Target Populations: Implications for Politics and Policy." </w:t>
      </w:r>
      <w:r w:rsidRPr="009A18BF">
        <w:rPr>
          <w:rFonts w:ascii="Times New Roman" w:hAnsi="Times New Roman"/>
          <w:i/>
          <w:iCs/>
          <w:szCs w:val="22"/>
        </w:rPr>
        <w:t>American Political Science Review</w:t>
      </w:r>
      <w:r w:rsidRPr="009A18BF">
        <w:rPr>
          <w:rFonts w:ascii="Times New Roman" w:hAnsi="Times New Roman"/>
          <w:szCs w:val="22"/>
        </w:rPr>
        <w:t xml:space="preserve"> 87, no. 2 (June 1993): 334-347.</w:t>
      </w:r>
    </w:p>
    <w:p w14:paraId="3B7E09D9" w14:textId="77777777" w:rsidR="009A18BF" w:rsidRPr="00485A60" w:rsidRDefault="009A18BF" w:rsidP="0082521E">
      <w:pPr>
        <w:rPr>
          <w:rFonts w:ascii="Times New Roman" w:hAnsi="Times New Roman"/>
        </w:rPr>
      </w:pPr>
    </w:p>
    <w:p w14:paraId="63F1F340" w14:textId="7D7F83E0" w:rsidR="0082521E" w:rsidRDefault="00DD6492" w:rsidP="0082521E">
      <w:pPr>
        <w:rPr>
          <w:rFonts w:ascii="Times New Roman" w:hAnsi="Times New Roman"/>
        </w:rPr>
      </w:pPr>
      <w:r w:rsidRPr="00DD6492">
        <w:rPr>
          <w:rFonts w:ascii="Times New Roman" w:hAnsi="Times New Roman"/>
        </w:rPr>
        <w:t xml:space="preserve">Seltzer, Richard, Jody Newman, and Melissa Voorhees Leighton. </w:t>
      </w:r>
      <w:r w:rsidRPr="00DD6492">
        <w:rPr>
          <w:rFonts w:ascii="Times New Roman" w:hAnsi="Times New Roman"/>
          <w:i/>
          <w:iCs/>
        </w:rPr>
        <w:t>Sex as a Political Variable: Women as Candidates and Voters in U.S. Elections</w:t>
      </w:r>
      <w:r w:rsidRPr="00DD6492">
        <w:rPr>
          <w:rFonts w:ascii="Times New Roman" w:hAnsi="Times New Roman"/>
        </w:rPr>
        <w:t>. Boulder: Lynne Rienner Publishers, 1997.</w:t>
      </w:r>
    </w:p>
    <w:p w14:paraId="1400C836" w14:textId="77777777" w:rsidR="00DD6492" w:rsidRPr="00485A60" w:rsidRDefault="00DD6492" w:rsidP="0082521E">
      <w:pPr>
        <w:rPr>
          <w:rFonts w:ascii="Times New Roman" w:hAnsi="Times New Roman"/>
        </w:rPr>
      </w:pPr>
    </w:p>
    <w:p w14:paraId="31ABEA5E" w14:textId="4FAB04AF" w:rsidR="0082521E" w:rsidRDefault="00DD6492" w:rsidP="0082521E">
      <w:pPr>
        <w:rPr>
          <w:rFonts w:ascii="Times New Roman" w:hAnsi="Times New Roman"/>
        </w:rPr>
      </w:pPr>
      <w:r w:rsidRPr="00DD6492">
        <w:rPr>
          <w:rFonts w:ascii="Times New Roman" w:hAnsi="Times New Roman"/>
        </w:rPr>
        <w:t xml:space="preserve">Shirley, Kenneth E., and Andrew Gelman. "Hierarchical Models for Estimating State and Demographic Trends in US Death Penalty Public Opinion." </w:t>
      </w:r>
      <w:r w:rsidRPr="00DD6492">
        <w:rPr>
          <w:rFonts w:ascii="Times New Roman" w:hAnsi="Times New Roman"/>
          <w:i/>
          <w:iCs/>
        </w:rPr>
        <w:t>Journal of the Royal Statistical Society: Series A (Statistics in Society)</w:t>
      </w:r>
      <w:r w:rsidRPr="00DD6492">
        <w:rPr>
          <w:rFonts w:ascii="Times New Roman" w:hAnsi="Times New Roman"/>
        </w:rPr>
        <w:t xml:space="preserve"> 178, no. 1 (2015): 1-28.</w:t>
      </w:r>
    </w:p>
    <w:p w14:paraId="663F161B" w14:textId="77777777" w:rsidR="00DD6492" w:rsidRPr="00485A60" w:rsidRDefault="00DD6492" w:rsidP="0082521E">
      <w:pPr>
        <w:rPr>
          <w:rFonts w:ascii="Times New Roman" w:hAnsi="Times New Roman"/>
        </w:rPr>
      </w:pPr>
    </w:p>
    <w:p w14:paraId="73B119E9" w14:textId="7BB18EC7" w:rsidR="0082521E" w:rsidRDefault="00DD6492" w:rsidP="0082521E">
      <w:pPr>
        <w:rPr>
          <w:rFonts w:ascii="Times New Roman" w:hAnsi="Times New Roman"/>
        </w:rPr>
      </w:pPr>
      <w:r w:rsidRPr="00DD6492">
        <w:rPr>
          <w:rFonts w:ascii="Times New Roman" w:hAnsi="Times New Roman"/>
        </w:rPr>
        <w:t xml:space="preserve">Smiley, CalvinJohn, and David Fakunle. "From 'Brute' to 'Thug:' The Demonization and Criminalization of Unarmed Black Male Victims in America." </w:t>
      </w:r>
      <w:r w:rsidRPr="00DD6492">
        <w:rPr>
          <w:rFonts w:ascii="Times New Roman" w:hAnsi="Times New Roman"/>
          <w:i/>
          <w:iCs/>
        </w:rPr>
        <w:t>Journal of Human Behavior in the Social Environment</w:t>
      </w:r>
      <w:r w:rsidRPr="00DD6492">
        <w:rPr>
          <w:rFonts w:ascii="Times New Roman" w:hAnsi="Times New Roman"/>
        </w:rPr>
        <w:t xml:space="preserve"> 26, no. 3-4 (2016): 350-366. </w:t>
      </w:r>
      <w:hyperlink r:id="rId36" w:history="1">
        <w:r w:rsidRPr="00DD6492">
          <w:rPr>
            <w:rStyle w:val="Hyperlink"/>
            <w:rFonts w:ascii="Times New Roman" w:hAnsi="Times New Roman"/>
          </w:rPr>
          <w:t>https://doi.org/10.1080/10911359.2015.1129256</w:t>
        </w:r>
      </w:hyperlink>
    </w:p>
    <w:p w14:paraId="60A923E8" w14:textId="77777777" w:rsidR="00DD6492" w:rsidRPr="00485A60" w:rsidRDefault="00DD6492" w:rsidP="0082521E">
      <w:pPr>
        <w:rPr>
          <w:rFonts w:ascii="Times New Roman" w:hAnsi="Times New Roman"/>
        </w:rPr>
      </w:pPr>
    </w:p>
    <w:p w14:paraId="5146A272" w14:textId="1C7E6FB2" w:rsidR="0082521E" w:rsidRDefault="00DD6492" w:rsidP="0082521E">
      <w:pPr>
        <w:rPr>
          <w:rFonts w:ascii="Times New Roman" w:hAnsi="Times New Roman"/>
        </w:rPr>
      </w:pPr>
      <w:r w:rsidRPr="00DD6492">
        <w:rPr>
          <w:rFonts w:ascii="Times New Roman" w:hAnsi="Times New Roman"/>
        </w:rPr>
        <w:t xml:space="preserve">Squire, Peverill. "Legislative Professionalization and Membership Diversity in State Legislatures." </w:t>
      </w:r>
      <w:r w:rsidRPr="00DD6492">
        <w:rPr>
          <w:rFonts w:ascii="Times New Roman" w:hAnsi="Times New Roman"/>
          <w:i/>
          <w:iCs/>
        </w:rPr>
        <w:t>Legislative Studies Quarterly</w:t>
      </w:r>
      <w:r w:rsidRPr="00DD6492">
        <w:rPr>
          <w:rFonts w:ascii="Times New Roman" w:hAnsi="Times New Roman"/>
        </w:rPr>
        <w:t xml:space="preserve"> 17, no. 1 (February 1992): 69-79.</w:t>
      </w:r>
    </w:p>
    <w:p w14:paraId="68B6374F" w14:textId="77777777" w:rsidR="00DD6492" w:rsidRPr="00485A60" w:rsidRDefault="00DD6492" w:rsidP="0082521E">
      <w:pPr>
        <w:rPr>
          <w:rFonts w:ascii="Times New Roman" w:hAnsi="Times New Roman"/>
        </w:rPr>
      </w:pPr>
    </w:p>
    <w:p w14:paraId="3B2C0C87" w14:textId="7645EFB6" w:rsidR="0082521E" w:rsidRDefault="00E60F23" w:rsidP="0082521E">
      <w:pPr>
        <w:rPr>
          <w:rFonts w:ascii="Times New Roman" w:hAnsi="Times New Roman"/>
        </w:rPr>
      </w:pPr>
      <w:r w:rsidRPr="00E60F23">
        <w:rPr>
          <w:rFonts w:ascii="Times New Roman" w:hAnsi="Times New Roman"/>
        </w:rPr>
        <w:t xml:space="preserve">Tate, Katherine. "Black Opinion on the Legitimacy of Racial Redistricting and Minority-Majority Districts." </w:t>
      </w:r>
      <w:r w:rsidRPr="00E60F23">
        <w:rPr>
          <w:rFonts w:ascii="Times New Roman" w:hAnsi="Times New Roman"/>
          <w:i/>
          <w:iCs/>
        </w:rPr>
        <w:t>American Political Science Review</w:t>
      </w:r>
      <w:r w:rsidRPr="00E60F23">
        <w:rPr>
          <w:rFonts w:ascii="Times New Roman" w:hAnsi="Times New Roman"/>
        </w:rPr>
        <w:t xml:space="preserve"> 97, no. 1 (February 2003): 45-56.</w:t>
      </w:r>
    </w:p>
    <w:p w14:paraId="2A2B6F76" w14:textId="77777777" w:rsidR="00676E62" w:rsidRDefault="00676E62" w:rsidP="0082521E">
      <w:pPr>
        <w:rPr>
          <w:rFonts w:ascii="Times New Roman" w:hAnsi="Times New Roman"/>
        </w:rPr>
      </w:pPr>
    </w:p>
    <w:p w14:paraId="569CEB24" w14:textId="1D2EDEF0" w:rsidR="00E60F23" w:rsidRPr="00485A60" w:rsidRDefault="00E60F23" w:rsidP="0082521E">
      <w:pPr>
        <w:rPr>
          <w:rFonts w:ascii="Times New Roman" w:hAnsi="Times New Roman"/>
        </w:rPr>
      </w:pPr>
      <w:r w:rsidRPr="00E60F23">
        <w:rPr>
          <w:rFonts w:ascii="Times New Roman" w:hAnsi="Times New Roman"/>
        </w:rPr>
        <w:t xml:space="preserve">Tate, Katherine. </w:t>
      </w:r>
      <w:r w:rsidRPr="00E60F23">
        <w:rPr>
          <w:rFonts w:ascii="Times New Roman" w:hAnsi="Times New Roman"/>
          <w:i/>
          <w:iCs/>
        </w:rPr>
        <w:t>Black Faces in the Mirror: African Americans and Their Representatives in the U.S. Congress</w:t>
      </w:r>
      <w:r w:rsidRPr="00E60F23">
        <w:rPr>
          <w:rFonts w:ascii="Times New Roman" w:hAnsi="Times New Roman"/>
        </w:rPr>
        <w:t>. Princeton: Princeton University Press, 2003.</w:t>
      </w:r>
    </w:p>
    <w:p w14:paraId="5162D3C1" w14:textId="77777777" w:rsidR="009A18BF" w:rsidRDefault="009A18BF" w:rsidP="0082521E">
      <w:pPr>
        <w:rPr>
          <w:rFonts w:ascii="Times New Roman" w:hAnsi="Times New Roman"/>
        </w:rPr>
      </w:pPr>
    </w:p>
    <w:p w14:paraId="4AFBBE09" w14:textId="57627FFC" w:rsidR="0082521E" w:rsidRPr="00485A60" w:rsidRDefault="009A18BF" w:rsidP="0082521E">
      <w:pPr>
        <w:rPr>
          <w:rFonts w:ascii="Times New Roman" w:hAnsi="Times New Roman"/>
        </w:rPr>
      </w:pPr>
      <w:r w:rsidRPr="009A18BF">
        <w:rPr>
          <w:rFonts w:ascii="Times New Roman" w:hAnsi="Times New Roman"/>
        </w:rPr>
        <w:t xml:space="preserve">Taylor, Charles. "The Politics of Recognition." In </w:t>
      </w:r>
      <w:r w:rsidRPr="009A18BF">
        <w:rPr>
          <w:rFonts w:ascii="Times New Roman" w:hAnsi="Times New Roman"/>
          <w:i/>
          <w:iCs/>
        </w:rPr>
        <w:t>Multiculturalism: Examining the Politics of Recognition</w:t>
      </w:r>
      <w:r w:rsidRPr="009A18BF">
        <w:rPr>
          <w:rFonts w:ascii="Times New Roman" w:hAnsi="Times New Roman"/>
        </w:rPr>
        <w:t>, edited by Amy Gutmann, 25-73. Princeton: Princeton University Press, 1992.</w:t>
      </w:r>
    </w:p>
    <w:p w14:paraId="0871B092" w14:textId="10926D4F" w:rsidR="0082521E" w:rsidRPr="00485A60" w:rsidRDefault="00E60F23" w:rsidP="0082521E">
      <w:pPr>
        <w:rPr>
          <w:rFonts w:ascii="Times New Roman" w:hAnsi="Times New Roman"/>
        </w:rPr>
      </w:pPr>
      <w:r w:rsidRPr="00E60F23">
        <w:rPr>
          <w:rFonts w:ascii="Times New Roman" w:hAnsi="Times New Roman"/>
        </w:rPr>
        <w:lastRenderedPageBreak/>
        <w:t xml:space="preserve">Thorpe, Rebecca U. "Perverse Politics: The Persistence of Mass Imprisonment in the Twenty-First Century." </w:t>
      </w:r>
      <w:r w:rsidRPr="00E60F23">
        <w:rPr>
          <w:rFonts w:ascii="Times New Roman" w:hAnsi="Times New Roman"/>
          <w:i/>
          <w:iCs/>
        </w:rPr>
        <w:t>Perspectives on Politics</w:t>
      </w:r>
      <w:r w:rsidRPr="00E60F23">
        <w:rPr>
          <w:rFonts w:ascii="Times New Roman" w:hAnsi="Times New Roman"/>
        </w:rPr>
        <w:t xml:space="preserve"> 13, no. 3 (September 2015): 618-637. </w:t>
      </w:r>
      <w:hyperlink r:id="rId37" w:history="1">
        <w:r w:rsidRPr="00E60F23">
          <w:rPr>
            <w:rStyle w:val="Hyperlink"/>
            <w:rFonts w:ascii="Times New Roman" w:hAnsi="Times New Roman"/>
          </w:rPr>
          <w:t>https://doi.org/10.1017/S1537592715001218</w:t>
        </w:r>
      </w:hyperlink>
    </w:p>
    <w:p w14:paraId="5BBE4555" w14:textId="77777777" w:rsidR="00E60F23" w:rsidRDefault="00E60F23" w:rsidP="0082521E">
      <w:pPr>
        <w:rPr>
          <w:rFonts w:ascii="Times New Roman" w:hAnsi="Times New Roman"/>
        </w:rPr>
      </w:pPr>
    </w:p>
    <w:p w14:paraId="7982461F" w14:textId="3F9BB109" w:rsidR="0082521E" w:rsidRDefault="00E60F23" w:rsidP="0082521E">
      <w:pPr>
        <w:rPr>
          <w:rFonts w:ascii="Times New Roman" w:hAnsi="Times New Roman"/>
        </w:rPr>
      </w:pPr>
      <w:r w:rsidRPr="00E60F23">
        <w:rPr>
          <w:rFonts w:ascii="Times New Roman" w:hAnsi="Times New Roman"/>
        </w:rPr>
        <w:t xml:space="preserve">Trounstine, Jessica, and Melody E. </w:t>
      </w:r>
      <w:proofErr w:type="spellStart"/>
      <w:r w:rsidRPr="00E60F23">
        <w:rPr>
          <w:rFonts w:ascii="Times New Roman" w:hAnsi="Times New Roman"/>
        </w:rPr>
        <w:t>Valdini</w:t>
      </w:r>
      <w:proofErr w:type="spellEnd"/>
      <w:r w:rsidRPr="00E60F23">
        <w:rPr>
          <w:rFonts w:ascii="Times New Roman" w:hAnsi="Times New Roman"/>
        </w:rPr>
        <w:t xml:space="preserve">. "The Context Matters: The Effects of Single-Member versus At-Large Districts on City Council Diversity." </w:t>
      </w:r>
      <w:r w:rsidRPr="00E60F23">
        <w:rPr>
          <w:rFonts w:ascii="Times New Roman" w:hAnsi="Times New Roman"/>
          <w:i/>
          <w:iCs/>
        </w:rPr>
        <w:t>American Journal of Political Science</w:t>
      </w:r>
      <w:r w:rsidRPr="00E60F23">
        <w:rPr>
          <w:rFonts w:ascii="Times New Roman" w:hAnsi="Times New Roman"/>
        </w:rPr>
        <w:t xml:space="preserve"> 52, no. 3 (July 2008): 554-569.</w:t>
      </w:r>
    </w:p>
    <w:p w14:paraId="0B70E3E7" w14:textId="77777777" w:rsidR="00E60F23" w:rsidRPr="00485A60" w:rsidRDefault="00E60F23" w:rsidP="0082521E">
      <w:pPr>
        <w:rPr>
          <w:rFonts w:ascii="Times New Roman" w:hAnsi="Times New Roman"/>
        </w:rPr>
      </w:pPr>
    </w:p>
    <w:p w14:paraId="5C981E03" w14:textId="05C5383F" w:rsidR="0082521E" w:rsidRDefault="009A18BF" w:rsidP="0082521E">
      <w:pPr>
        <w:rPr>
          <w:rFonts w:ascii="Times New Roman" w:hAnsi="Times New Roman"/>
        </w:rPr>
      </w:pPr>
      <w:proofErr w:type="spellStart"/>
      <w:r>
        <w:rPr>
          <w:rFonts w:ascii="Times New Roman" w:hAnsi="Times New Roman"/>
        </w:rPr>
        <w:t>U</w:t>
      </w:r>
      <w:r w:rsidRPr="009A18BF">
        <w:rPr>
          <w:rFonts w:ascii="Times New Roman" w:hAnsi="Times New Roman"/>
        </w:rPr>
        <w:t>ggen</w:t>
      </w:r>
      <w:proofErr w:type="spellEnd"/>
      <w:r w:rsidRPr="009A18BF">
        <w:rPr>
          <w:rFonts w:ascii="Times New Roman" w:hAnsi="Times New Roman"/>
        </w:rPr>
        <w:t xml:space="preserve">, Christopher, and Jeff Manza. "Democratic Contraction? Political Consequences of Felon Disenfranchisement in the United States." </w:t>
      </w:r>
      <w:r w:rsidRPr="009A18BF">
        <w:rPr>
          <w:rFonts w:ascii="Times New Roman" w:hAnsi="Times New Roman"/>
          <w:i/>
          <w:iCs/>
        </w:rPr>
        <w:t>American Sociological Review</w:t>
      </w:r>
      <w:r w:rsidRPr="009A18BF">
        <w:rPr>
          <w:rFonts w:ascii="Times New Roman" w:hAnsi="Times New Roman"/>
        </w:rPr>
        <w:t xml:space="preserve"> 67, no. 6 (December 2002): 777-803.</w:t>
      </w:r>
    </w:p>
    <w:p w14:paraId="231C8B13" w14:textId="77777777" w:rsidR="009A18BF" w:rsidRDefault="009A18BF" w:rsidP="0082521E">
      <w:pPr>
        <w:rPr>
          <w:rFonts w:ascii="Times New Roman" w:hAnsi="Times New Roman"/>
        </w:rPr>
      </w:pPr>
    </w:p>
    <w:p w14:paraId="4EB425AC" w14:textId="4D6644FE" w:rsidR="0082521E" w:rsidRDefault="009A18BF" w:rsidP="009A18BF">
      <w:pPr>
        <w:rPr>
          <w:rFonts w:ascii="Times New Roman" w:hAnsi="Times New Roman"/>
          <w:szCs w:val="22"/>
        </w:rPr>
      </w:pPr>
      <w:proofErr w:type="spellStart"/>
      <w:r w:rsidRPr="009A18BF">
        <w:rPr>
          <w:rFonts w:ascii="Times New Roman" w:hAnsi="Times New Roman"/>
          <w:szCs w:val="22"/>
        </w:rPr>
        <w:t>Uggen</w:t>
      </w:r>
      <w:proofErr w:type="spellEnd"/>
      <w:r w:rsidRPr="009A18BF">
        <w:rPr>
          <w:rFonts w:ascii="Times New Roman" w:hAnsi="Times New Roman"/>
          <w:szCs w:val="22"/>
        </w:rPr>
        <w:t xml:space="preserve">, Christopher, and Jeff Manza. </w:t>
      </w:r>
      <w:r w:rsidRPr="009A18BF">
        <w:rPr>
          <w:rFonts w:ascii="Times New Roman" w:hAnsi="Times New Roman"/>
          <w:i/>
          <w:iCs/>
          <w:szCs w:val="22"/>
        </w:rPr>
        <w:t>Locked Out: Felon Disenfranchisement and American Democracy</w:t>
      </w:r>
      <w:r w:rsidRPr="009A18BF">
        <w:rPr>
          <w:rFonts w:ascii="Times New Roman" w:hAnsi="Times New Roman"/>
          <w:szCs w:val="22"/>
        </w:rPr>
        <w:t>. Oxford: Oxford University Press, 2006.</w:t>
      </w:r>
    </w:p>
    <w:p w14:paraId="283A47C1" w14:textId="77777777" w:rsidR="009A18BF" w:rsidRDefault="009A18BF" w:rsidP="009A18BF">
      <w:pPr>
        <w:rPr>
          <w:rFonts w:ascii="Times New Roman" w:hAnsi="Times New Roman"/>
          <w:szCs w:val="22"/>
        </w:rPr>
      </w:pPr>
    </w:p>
    <w:p w14:paraId="4772CEB2" w14:textId="7E488F37" w:rsidR="0082521E" w:rsidRDefault="009A18BF" w:rsidP="0082521E">
      <w:pPr>
        <w:rPr>
          <w:rFonts w:ascii="Times New Roman" w:hAnsi="Times New Roman"/>
          <w:szCs w:val="22"/>
        </w:rPr>
      </w:pPr>
      <w:r w:rsidRPr="009A18BF">
        <w:rPr>
          <w:rFonts w:ascii="Times New Roman" w:hAnsi="Times New Roman"/>
          <w:szCs w:val="22"/>
        </w:rPr>
        <w:t xml:space="preserve">Wacquant, Loïc. </w:t>
      </w:r>
      <w:r w:rsidRPr="009A18BF">
        <w:rPr>
          <w:rFonts w:ascii="Times New Roman" w:hAnsi="Times New Roman"/>
          <w:i/>
          <w:iCs/>
          <w:szCs w:val="22"/>
        </w:rPr>
        <w:t>Punishing the Poor: The Neoliberal Government of Social Insecurity</w:t>
      </w:r>
      <w:r w:rsidRPr="009A18BF">
        <w:rPr>
          <w:rFonts w:ascii="Times New Roman" w:hAnsi="Times New Roman"/>
          <w:szCs w:val="22"/>
        </w:rPr>
        <w:t>. Durham: Duke University Press, 2009.</w:t>
      </w:r>
    </w:p>
    <w:p w14:paraId="3CE60849" w14:textId="77777777" w:rsidR="009A18BF" w:rsidRPr="00485A60" w:rsidRDefault="009A18BF" w:rsidP="0082521E">
      <w:pPr>
        <w:rPr>
          <w:rFonts w:ascii="Times New Roman" w:hAnsi="Times New Roman"/>
        </w:rPr>
      </w:pPr>
    </w:p>
    <w:p w14:paraId="53275AB5" w14:textId="77777777" w:rsidR="006E6132" w:rsidRPr="006E6132" w:rsidRDefault="006E6132" w:rsidP="006E6132">
      <w:pPr>
        <w:rPr>
          <w:rFonts w:ascii="Times New Roman" w:hAnsi="Times New Roman"/>
        </w:rPr>
      </w:pPr>
      <w:r w:rsidRPr="006E6132">
        <w:rPr>
          <w:rFonts w:ascii="Times New Roman" w:hAnsi="Times New Roman"/>
        </w:rPr>
        <w:t xml:space="preserve">Wagner, Peter. "Breaking the Census: Redistricting in an Era of Mass Incarceration." </w:t>
      </w:r>
      <w:r w:rsidRPr="006E6132">
        <w:rPr>
          <w:rFonts w:ascii="Times New Roman" w:hAnsi="Times New Roman"/>
          <w:i/>
          <w:iCs/>
        </w:rPr>
        <w:t>Prison Policy Initiative</w:t>
      </w:r>
      <w:r w:rsidRPr="006E6132">
        <w:rPr>
          <w:rFonts w:ascii="Times New Roman" w:hAnsi="Times New Roman"/>
        </w:rPr>
        <w:t xml:space="preserve"> (April 2012): 1-25.</w:t>
      </w:r>
    </w:p>
    <w:p w14:paraId="63A23225" w14:textId="77777777" w:rsidR="0082521E" w:rsidRPr="00485A60" w:rsidRDefault="0082521E" w:rsidP="0082521E">
      <w:pPr>
        <w:rPr>
          <w:rFonts w:ascii="Times New Roman" w:hAnsi="Times New Roman"/>
        </w:rPr>
      </w:pPr>
    </w:p>
    <w:p w14:paraId="59BD13B2" w14:textId="77777777" w:rsidR="002E6116" w:rsidRPr="002E6116" w:rsidRDefault="002E6116" w:rsidP="002E6116">
      <w:pPr>
        <w:rPr>
          <w:rFonts w:ascii="Times New Roman" w:hAnsi="Times New Roman"/>
        </w:rPr>
      </w:pPr>
      <w:r w:rsidRPr="002E6116">
        <w:rPr>
          <w:rFonts w:ascii="Times New Roman" w:hAnsi="Times New Roman"/>
        </w:rPr>
        <w:t xml:space="preserve">Walker, Hannah L. “Targeted: The Mobilizing Effect of Perceptions of Unfair Policing Practices.” </w:t>
      </w:r>
      <w:r w:rsidRPr="002E6116">
        <w:rPr>
          <w:rFonts w:ascii="Times New Roman" w:hAnsi="Times New Roman"/>
          <w:i/>
          <w:iCs/>
        </w:rPr>
        <w:t>The Journal of Politics</w:t>
      </w:r>
      <w:r w:rsidRPr="002E6116">
        <w:rPr>
          <w:rFonts w:ascii="Times New Roman" w:hAnsi="Times New Roman"/>
        </w:rPr>
        <w:t xml:space="preserve"> 82, no. 1 (January 2020): 119–34. </w:t>
      </w:r>
      <w:hyperlink r:id="rId38" w:history="1">
        <w:r w:rsidRPr="002E6116">
          <w:rPr>
            <w:rStyle w:val="Hyperlink"/>
            <w:rFonts w:ascii="Times New Roman" w:hAnsi="Times New Roman"/>
          </w:rPr>
          <w:t>https://doi.org/10.1086/705684</w:t>
        </w:r>
      </w:hyperlink>
      <w:r w:rsidRPr="002E6116">
        <w:rPr>
          <w:rFonts w:ascii="Times New Roman" w:hAnsi="Times New Roman"/>
        </w:rPr>
        <w:t>.</w:t>
      </w:r>
    </w:p>
    <w:p w14:paraId="76DBC2BA" w14:textId="77777777" w:rsidR="0082521E" w:rsidRDefault="0082521E" w:rsidP="0082521E">
      <w:pPr>
        <w:rPr>
          <w:rFonts w:ascii="Times New Roman" w:hAnsi="Times New Roman"/>
        </w:rPr>
      </w:pPr>
    </w:p>
    <w:p w14:paraId="29E88F3A" w14:textId="631F936D" w:rsidR="00E60F23" w:rsidRDefault="00E60F23" w:rsidP="0082521E">
      <w:pPr>
        <w:rPr>
          <w:rFonts w:ascii="Times New Roman" w:hAnsi="Times New Roman"/>
        </w:rPr>
      </w:pPr>
      <w:r w:rsidRPr="00E60F23">
        <w:rPr>
          <w:rFonts w:ascii="Times New Roman" w:hAnsi="Times New Roman"/>
        </w:rPr>
        <w:t xml:space="preserve">Walker, Hannah L., Rebecca U. Thorpe, Emily K. Christensen, and J.P. Anderson. "The Hidden Subsidies of Rural Prisons: Race, Space and the Politics of Cumulative Disadvantage." </w:t>
      </w:r>
      <w:r w:rsidRPr="00E60F23">
        <w:rPr>
          <w:rFonts w:ascii="Times New Roman" w:hAnsi="Times New Roman"/>
          <w:i/>
          <w:iCs/>
        </w:rPr>
        <w:t>Punishment &amp; Society</w:t>
      </w:r>
      <w:r w:rsidRPr="00E60F23">
        <w:rPr>
          <w:rFonts w:ascii="Times New Roman" w:hAnsi="Times New Roman"/>
        </w:rPr>
        <w:t xml:space="preserve"> 18, no. 4 (2016): 459-482. </w:t>
      </w:r>
      <w:hyperlink r:id="rId39" w:history="1">
        <w:r w:rsidRPr="00E60F23">
          <w:rPr>
            <w:rStyle w:val="Hyperlink"/>
            <w:rFonts w:ascii="Times New Roman" w:hAnsi="Times New Roman"/>
          </w:rPr>
          <w:t>https://doi.org/10.1177/1462474516660694</w:t>
        </w:r>
      </w:hyperlink>
    </w:p>
    <w:p w14:paraId="53138F31" w14:textId="77777777" w:rsidR="00E60F23" w:rsidRPr="00485A60" w:rsidRDefault="00E60F23" w:rsidP="0082521E">
      <w:pPr>
        <w:rPr>
          <w:rFonts w:ascii="Times New Roman" w:hAnsi="Times New Roman"/>
        </w:rPr>
      </w:pPr>
    </w:p>
    <w:p w14:paraId="55311D4C" w14:textId="5BD06E84" w:rsidR="0082521E" w:rsidRDefault="006E6132" w:rsidP="0082521E">
      <w:pPr>
        <w:rPr>
          <w:rFonts w:ascii="Times New Roman" w:hAnsi="Times New Roman"/>
        </w:rPr>
      </w:pPr>
      <w:r w:rsidRPr="006E6132">
        <w:rPr>
          <w:rFonts w:ascii="Times New Roman" w:hAnsi="Times New Roman"/>
        </w:rPr>
        <w:t xml:space="preserve">White, Ariel. "Misdemeanor Disenfranchisement? The Demobilizing Effects of Brief Jail Spells on Potential Voters." </w:t>
      </w:r>
      <w:r w:rsidRPr="006E6132">
        <w:rPr>
          <w:rFonts w:ascii="Times New Roman" w:hAnsi="Times New Roman"/>
          <w:i/>
          <w:iCs/>
        </w:rPr>
        <w:t>American Political Science Review</w:t>
      </w:r>
      <w:r w:rsidRPr="006E6132">
        <w:rPr>
          <w:rFonts w:ascii="Times New Roman" w:hAnsi="Times New Roman"/>
        </w:rPr>
        <w:t xml:space="preserve"> 113, no. 2 (May 2019): 311-324. </w:t>
      </w:r>
      <w:hyperlink r:id="rId40" w:history="1">
        <w:r w:rsidRPr="006E6132">
          <w:rPr>
            <w:rStyle w:val="Hyperlink"/>
            <w:rFonts w:ascii="Times New Roman" w:hAnsi="Times New Roman"/>
          </w:rPr>
          <w:t>https://doi.org/10.1017/S000305541800093X</w:t>
        </w:r>
      </w:hyperlink>
    </w:p>
    <w:p w14:paraId="23DC8D3A" w14:textId="77777777" w:rsidR="006E6132" w:rsidRPr="00485A60" w:rsidRDefault="006E6132" w:rsidP="0082521E">
      <w:pPr>
        <w:rPr>
          <w:rFonts w:ascii="Times New Roman" w:hAnsi="Times New Roman"/>
        </w:rPr>
      </w:pPr>
    </w:p>
    <w:p w14:paraId="58EF6D8A" w14:textId="09FED417" w:rsidR="0082521E" w:rsidRPr="00485A60" w:rsidRDefault="006E6132" w:rsidP="0082521E">
      <w:pPr>
        <w:rPr>
          <w:rFonts w:ascii="Times New Roman" w:hAnsi="Times New Roman"/>
        </w:rPr>
      </w:pPr>
      <w:r w:rsidRPr="006E6132">
        <w:rPr>
          <w:rFonts w:ascii="Times New Roman" w:hAnsi="Times New Roman"/>
        </w:rPr>
        <w:t xml:space="preserve">Wolff, Nancy, Cyndi Blitz, Jing Shi, Ronet Bachman, and Jane A. Siegel. "Sexual Violence Inside Prison: Rates of Victimization." </w:t>
      </w:r>
      <w:r w:rsidRPr="006E6132">
        <w:rPr>
          <w:rFonts w:ascii="Times New Roman" w:hAnsi="Times New Roman"/>
          <w:i/>
          <w:iCs/>
        </w:rPr>
        <w:t>Journal of Urban Health</w:t>
      </w:r>
      <w:r w:rsidRPr="006E6132">
        <w:rPr>
          <w:rFonts w:ascii="Times New Roman" w:hAnsi="Times New Roman"/>
        </w:rPr>
        <w:t xml:space="preserve"> 83, no. 5 (September 2006): 835-848. </w:t>
      </w:r>
      <w:hyperlink r:id="rId41" w:history="1">
        <w:r w:rsidRPr="006E6132">
          <w:rPr>
            <w:rStyle w:val="Hyperlink"/>
            <w:rFonts w:ascii="Times New Roman" w:hAnsi="Times New Roman"/>
          </w:rPr>
          <w:t>https://doi.org/10.1007/s11524-006-9065-2</w:t>
        </w:r>
      </w:hyperlink>
    </w:p>
    <w:p w14:paraId="41A3FE87" w14:textId="77777777" w:rsidR="00676E62" w:rsidRDefault="00676E62" w:rsidP="006E6132">
      <w:pPr>
        <w:rPr>
          <w:rFonts w:ascii="Times New Roman" w:hAnsi="Times New Roman"/>
        </w:rPr>
      </w:pPr>
    </w:p>
    <w:p w14:paraId="304A3EC4" w14:textId="183DFD66" w:rsidR="0082521E" w:rsidRPr="006E6132" w:rsidRDefault="0082521E" w:rsidP="006E6132">
      <w:pPr>
        <w:rPr>
          <w:rFonts w:ascii="Times New Roman" w:hAnsi="Times New Roman"/>
        </w:rPr>
      </w:pPr>
    </w:p>
    <w:sectPr w:rsidR="0082521E" w:rsidRPr="006E6132" w:rsidSect="007F674C">
      <w:headerReference w:type="first" r:id="rId4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11-04T16:04:00Z" w:initials="KM">
    <w:p w14:paraId="5ECE90B1" w14:textId="77777777" w:rsidR="00447A3D" w:rsidRDefault="00447A3D" w:rsidP="00447A3D">
      <w:r>
        <w:rPr>
          <w:rStyle w:val="CommentReference"/>
        </w:rPr>
        <w:annotationRef/>
      </w:r>
      <w:r>
        <w:rPr>
          <w:sz w:val="20"/>
          <w:szCs w:val="20"/>
        </w:rPr>
        <w:t>untouched draft saved in icloud -&gt; 902 legislators</w:t>
      </w:r>
    </w:p>
  </w:comment>
  <w:comment w:id="1" w:author="Kristina Mensik" w:date="2025-11-04T16:05:00Z" w:initials="KM">
    <w:p w14:paraId="486C04E7" w14:textId="77777777" w:rsidR="00575F7B" w:rsidRDefault="00575F7B" w:rsidP="00575F7B">
      <w:r>
        <w:rPr>
          <w:rStyle w:val="CommentReference"/>
        </w:rPr>
        <w:annotationRef/>
      </w:r>
      <w:r>
        <w:rPr>
          <w:sz w:val="20"/>
          <w:szCs w:val="20"/>
        </w:rPr>
        <w:t>critical mass &amp; tokenization (Harris judges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E90B1" w15:done="0"/>
  <w15:commentEx w15:paraId="486C0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BB0DD1" w16cex:dateUtc="2025-11-04T21:04:00Z"/>
  <w16cex:commentExtensible w16cex:durableId="0B401E8F" w16cex:dateUtc="2025-11-04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E90B1" w16cid:durableId="67BB0DD1"/>
  <w16cid:commentId w16cid:paraId="486C04E7" w16cid:durableId="0B401E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3EAC7" w14:textId="77777777" w:rsidR="00AE54E6" w:rsidRDefault="00AE54E6" w:rsidP="007F674C">
      <w:r>
        <w:separator/>
      </w:r>
    </w:p>
  </w:endnote>
  <w:endnote w:type="continuationSeparator" w:id="0">
    <w:p w14:paraId="701F4121" w14:textId="77777777" w:rsidR="00AE54E6" w:rsidRDefault="00AE54E6" w:rsidP="007F6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73E12" w14:textId="77777777" w:rsidR="00AE54E6" w:rsidRDefault="00AE54E6" w:rsidP="007F674C">
      <w:r>
        <w:separator/>
      </w:r>
    </w:p>
  </w:footnote>
  <w:footnote w:type="continuationSeparator" w:id="0">
    <w:p w14:paraId="2033868A" w14:textId="77777777" w:rsidR="00AE54E6" w:rsidRDefault="00AE54E6" w:rsidP="007F674C">
      <w:r>
        <w:continuationSeparator/>
      </w:r>
    </w:p>
  </w:footnote>
  <w:footnote w:id="1">
    <w:p w14:paraId="19B5A1C5" w14:textId="77777777" w:rsidR="00252BEC" w:rsidRDefault="00252BEC" w:rsidP="00252BEC">
      <w:pPr>
        <w:ind w:firstLine="720"/>
        <w:rPr>
          <w:rFonts w:ascii="Times New Roman" w:hAnsi="Times New Roman"/>
          <w:sz w:val="24"/>
        </w:rPr>
      </w:pPr>
      <w:r>
        <w:rPr>
          <w:rStyle w:val="FootnoteReference"/>
        </w:rPr>
        <w:footnoteRef/>
      </w:r>
      <w:r>
        <w:t xml:space="preserve"> </w:t>
      </w:r>
      <w:r>
        <w:rPr>
          <w:rFonts w:ascii="Times New Roman" w:hAnsi="Times New Roman"/>
          <w:sz w:val="24"/>
        </w:rPr>
        <w:t xml:space="preserve">Senator Finegold is a white Democrat. His district at the time was constituted by three towns and a city: Andover, </w:t>
      </w:r>
      <w:r w:rsidRPr="00953873">
        <w:rPr>
          <w:rFonts w:ascii="Times New Roman" w:hAnsi="Times New Roman"/>
          <w:sz w:val="24"/>
        </w:rPr>
        <w:t>and one of Massachusetts’ wealthiest and whitest towns</w:t>
      </w:r>
      <w:r>
        <w:rPr>
          <w:rFonts w:ascii="Times New Roman" w:hAnsi="Times New Roman"/>
          <w:sz w:val="24"/>
        </w:rPr>
        <w:t xml:space="preserve"> (91% white, 6% Asian); Tewksbury and Dracut – also white (96.4% and 88% white, respective), albeit somewhat more working-class; and Lawrence. </w:t>
      </w:r>
      <w:r w:rsidRPr="00953873">
        <w:rPr>
          <w:rFonts w:ascii="Times New Roman" w:hAnsi="Times New Roman"/>
          <w:sz w:val="24"/>
        </w:rPr>
        <w:t>Lawrence is over 81% Hispanic and mixed-race, 2% Black</w:t>
      </w:r>
      <w:r>
        <w:rPr>
          <w:rFonts w:ascii="Times New Roman" w:hAnsi="Times New Roman"/>
          <w:sz w:val="24"/>
        </w:rPr>
        <w:t xml:space="preserve">, and </w:t>
      </w:r>
      <w:r w:rsidRPr="00953873">
        <w:rPr>
          <w:rFonts w:ascii="Times New Roman" w:hAnsi="Times New Roman"/>
          <w:sz w:val="24"/>
        </w:rPr>
        <w:t>12% white</w:t>
      </w:r>
      <w:r>
        <w:rPr>
          <w:rFonts w:ascii="Times New Roman" w:hAnsi="Times New Roman"/>
          <w:sz w:val="24"/>
        </w:rPr>
        <w:t xml:space="preserve">. In stark contrast to the rest of his district, it’s </w:t>
      </w:r>
      <w:r w:rsidRPr="00953873">
        <w:rPr>
          <w:rFonts w:ascii="Times New Roman" w:hAnsi="Times New Roman"/>
          <w:sz w:val="24"/>
        </w:rPr>
        <w:t xml:space="preserve">Massachusetts’ second-poorest municipality </w:t>
      </w:r>
      <w:r>
        <w:rPr>
          <w:rFonts w:ascii="Times New Roman" w:hAnsi="Times New Roman"/>
          <w:sz w:val="24"/>
        </w:rPr>
        <w:t>whose</w:t>
      </w:r>
      <w:r w:rsidRPr="00953873">
        <w:rPr>
          <w:rFonts w:ascii="Times New Roman" w:hAnsi="Times New Roman"/>
          <w:sz w:val="24"/>
        </w:rPr>
        <w:t xml:space="preserve"> 90,000 residents</w:t>
      </w:r>
      <w:r>
        <w:rPr>
          <w:rFonts w:ascii="Times New Roman" w:hAnsi="Times New Roman"/>
          <w:sz w:val="24"/>
        </w:rPr>
        <w:t xml:space="preserve"> average</w:t>
      </w:r>
      <w:r w:rsidRPr="00953873">
        <w:rPr>
          <w:rFonts w:ascii="Times New Roman" w:hAnsi="Times New Roman"/>
          <w:sz w:val="24"/>
        </w:rPr>
        <w:t xml:space="preserve"> per-capita income is less a quarter of Andover’s.</w:t>
      </w:r>
      <w:r>
        <w:rPr>
          <w:rFonts w:ascii="Times New Roman" w:hAnsi="Times New Roman"/>
          <w:sz w:val="24"/>
        </w:rPr>
        <w:t xml:space="preserve"> It was the only municipality in his district with a prison or jail – in this case, a mixed-status correctional center. </w:t>
      </w:r>
    </w:p>
    <w:p w14:paraId="6CA79945" w14:textId="680BBC56" w:rsidR="00252BEC" w:rsidRDefault="00252BEC">
      <w:pPr>
        <w:pStyle w:val="FootnoteText"/>
      </w:pPr>
    </w:p>
  </w:footnote>
  <w:footnote w:id="2">
    <w:p w14:paraId="624D6A47" w14:textId="43B40B97" w:rsidR="000C315E" w:rsidRDefault="000C315E">
      <w:pPr>
        <w:pStyle w:val="FootnoteText"/>
      </w:pPr>
      <w:r>
        <w:rPr>
          <w:rStyle w:val="FootnoteReference"/>
        </w:rPr>
        <w:footnoteRef/>
      </w:r>
      <w:r>
        <w:t xml:space="preserve"> People serving felony convictions are eligible to vote in Maine, Vermont, and D.C.  In all states, those incarcerated pre-trial and most incarcerated on misdemeanors remain eligible, though very few jails make it possible to vote (</w:t>
      </w:r>
      <w:hyperlink r:id="rId1" w:history="1">
        <w:r w:rsidRPr="000C315E">
          <w:rPr>
            <w:rStyle w:val="Hyperlink"/>
          </w:rPr>
          <w:t>Sentencing Project, 2024).</w:t>
        </w:r>
      </w:hyperlink>
      <w:r>
        <w:t xml:space="preserve"> </w:t>
      </w:r>
    </w:p>
  </w:footnote>
  <w:footnote w:id="3">
    <w:p w14:paraId="4E389C43" w14:textId="0386B6B2" w:rsidR="0030191A" w:rsidRPr="00745C48" w:rsidRDefault="00745C48" w:rsidP="0030191A">
      <w:pPr>
        <w:pStyle w:val="FootnoteText"/>
        <w:rPr>
          <w:sz w:val="18"/>
          <w:szCs w:val="18"/>
        </w:rPr>
      </w:pPr>
      <w:r>
        <w:rPr>
          <w:rStyle w:val="FootnoteReference"/>
        </w:rPr>
        <w:footnoteRef/>
      </w:r>
      <w:r>
        <w:t xml:space="preserve"> </w:t>
      </w:r>
      <w:r w:rsidRPr="0030191A">
        <w:rPr>
          <w:sz w:val="18"/>
          <w:szCs w:val="18"/>
        </w:rPr>
        <w:t xml:space="preserve">This reform was long overdue. For four consecutive decades starting in the 1970s, Latino and Asian activists sued the legislature for drawing district lines that violated people of color’s rights. Then in 2000, </w:t>
      </w:r>
      <w:r w:rsidR="0030191A">
        <w:rPr>
          <w:sz w:val="18"/>
          <w:szCs w:val="18"/>
        </w:rPr>
        <w:t xml:space="preserve">a lawsuit that among other things, charged the legislature of diluting Black power in the then-speaker’s district by removing predominantly Black and adding predominantly white precincts. The speaker (Finneran) was ultimately found guilty of obstructing justice after denying the charges and forced to resign. </w:t>
      </w:r>
    </w:p>
    <w:p w14:paraId="585798A0" w14:textId="47B39F36" w:rsidR="00745C48" w:rsidRPr="00745C48" w:rsidRDefault="00745C48" w:rsidP="00745C48">
      <w:pPr>
        <w:pStyle w:val="FootnoteText"/>
        <w:rPr>
          <w:sz w:val="18"/>
          <w:szCs w:val="18"/>
        </w:rPr>
      </w:pPr>
    </w:p>
    <w:p w14:paraId="338728F6" w14:textId="77777777" w:rsidR="00745C48" w:rsidRPr="00745C48" w:rsidRDefault="00745C48" w:rsidP="00745C48">
      <w:pPr>
        <w:pStyle w:val="FootnoteText"/>
        <w:rPr>
          <w:sz w:val="18"/>
          <w:szCs w:val="18"/>
        </w:rPr>
      </w:pPr>
    </w:p>
    <w:p w14:paraId="76DF4A50" w14:textId="633B425A" w:rsidR="00745C48" w:rsidRDefault="00745C4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A47E" w14:textId="550EDAB3" w:rsidR="007F674C" w:rsidRDefault="007F674C">
    <w:pPr>
      <w:pStyle w:val="Header"/>
      <w:rPr>
        <w:rFonts w:ascii="Times New Roman" w:hAnsi="Times New Roman"/>
      </w:rPr>
    </w:pPr>
    <w:r>
      <w:rPr>
        <w:rFonts w:ascii="Times New Roman" w:hAnsi="Times New Roman"/>
      </w:rPr>
      <w:t>10.29.24</w:t>
    </w:r>
  </w:p>
  <w:p w14:paraId="428C92E1" w14:textId="3C65BC1A" w:rsidR="007F674C" w:rsidRDefault="007F674C">
    <w:pPr>
      <w:pStyle w:val="Header"/>
      <w:rPr>
        <w:rFonts w:ascii="Times New Roman" w:hAnsi="Times New Roman"/>
      </w:rPr>
    </w:pPr>
    <w:r>
      <w:rPr>
        <w:rFonts w:ascii="Times New Roman" w:hAnsi="Times New Roman"/>
      </w:rPr>
      <w:t>Kristina Mensik</w:t>
    </w:r>
  </w:p>
  <w:p w14:paraId="7B937899" w14:textId="4AF9B395" w:rsidR="007F674C" w:rsidRPr="007F674C" w:rsidRDefault="00256BA3">
    <w:pPr>
      <w:pStyle w:val="Header"/>
      <w:rPr>
        <w:rFonts w:ascii="Times New Roman" w:hAnsi="Times New Roman"/>
      </w:rPr>
    </w:pPr>
    <w:r>
      <w:rPr>
        <w:rFonts w:ascii="Times New Roman" w:hAnsi="Times New Roman"/>
      </w:rPr>
      <w:t xml:space="preserve">RAP | Bunche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0763"/>
    <w:multiLevelType w:val="hybridMultilevel"/>
    <w:tmpl w:val="3C7E266E"/>
    <w:lvl w:ilvl="0" w:tplc="2E90A526">
      <w:numFmt w:val="bullet"/>
      <w:lvlText w:val=""/>
      <w:lvlJc w:val="left"/>
      <w:pPr>
        <w:ind w:left="420" w:hanging="360"/>
      </w:pPr>
      <w:rPr>
        <w:rFonts w:ascii="Wingdings" w:eastAsia="Times New Roman" w:hAnsi="Wingdings" w:cs="Times New Roman"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15D24789"/>
    <w:multiLevelType w:val="multilevel"/>
    <w:tmpl w:val="0F14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D2B76"/>
    <w:multiLevelType w:val="hybridMultilevel"/>
    <w:tmpl w:val="2E7E06C0"/>
    <w:lvl w:ilvl="0" w:tplc="0DD85AAE">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36757"/>
    <w:multiLevelType w:val="hybridMultilevel"/>
    <w:tmpl w:val="8578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94453"/>
    <w:multiLevelType w:val="hybridMultilevel"/>
    <w:tmpl w:val="CAF81F6A"/>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2270C9"/>
    <w:multiLevelType w:val="hybridMultilevel"/>
    <w:tmpl w:val="BA68DA0A"/>
    <w:lvl w:ilvl="0" w:tplc="3C0613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95C14"/>
    <w:multiLevelType w:val="hybridMultilevel"/>
    <w:tmpl w:val="AD4A64A6"/>
    <w:lvl w:ilvl="0" w:tplc="BAD066B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1E03F7"/>
    <w:multiLevelType w:val="hybridMultilevel"/>
    <w:tmpl w:val="A846313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A67339"/>
    <w:multiLevelType w:val="multilevel"/>
    <w:tmpl w:val="452A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F6200"/>
    <w:multiLevelType w:val="hybridMultilevel"/>
    <w:tmpl w:val="F1BC4B24"/>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83D33"/>
    <w:multiLevelType w:val="hybridMultilevel"/>
    <w:tmpl w:val="0CEAD732"/>
    <w:lvl w:ilvl="0" w:tplc="1CAE873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F2A69"/>
    <w:multiLevelType w:val="hybridMultilevel"/>
    <w:tmpl w:val="90D47B46"/>
    <w:lvl w:ilvl="0" w:tplc="E536D4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B97EBE"/>
    <w:multiLevelType w:val="multilevel"/>
    <w:tmpl w:val="1B9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2588C"/>
    <w:multiLevelType w:val="hybridMultilevel"/>
    <w:tmpl w:val="6C0A3D40"/>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3724FD"/>
    <w:multiLevelType w:val="hybridMultilevel"/>
    <w:tmpl w:val="73809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C52460"/>
    <w:multiLevelType w:val="hybridMultilevel"/>
    <w:tmpl w:val="6E0E9A1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DD2817"/>
    <w:multiLevelType w:val="hybridMultilevel"/>
    <w:tmpl w:val="97C4BC2A"/>
    <w:lvl w:ilvl="0" w:tplc="652254E0">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63915"/>
    <w:multiLevelType w:val="hybridMultilevel"/>
    <w:tmpl w:val="3A96DAB2"/>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6279C"/>
    <w:multiLevelType w:val="hybridMultilevel"/>
    <w:tmpl w:val="6AB4DDF4"/>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9C1592"/>
    <w:multiLevelType w:val="hybridMultilevel"/>
    <w:tmpl w:val="A8044D5E"/>
    <w:lvl w:ilvl="0" w:tplc="4A30A1E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9B77B7E"/>
    <w:multiLevelType w:val="hybridMultilevel"/>
    <w:tmpl w:val="ED68751C"/>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A77329"/>
    <w:multiLevelType w:val="hybridMultilevel"/>
    <w:tmpl w:val="77BCDC5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115AC5"/>
    <w:multiLevelType w:val="hybridMultilevel"/>
    <w:tmpl w:val="EAB60D32"/>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1E0366"/>
    <w:multiLevelType w:val="hybridMultilevel"/>
    <w:tmpl w:val="1ECA7BB2"/>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F25079"/>
    <w:multiLevelType w:val="hybridMultilevel"/>
    <w:tmpl w:val="1024766E"/>
    <w:lvl w:ilvl="0" w:tplc="38C44264">
      <w:start w:val="1"/>
      <w:numFmt w:val="bullet"/>
      <w:lvlText w:val="—"/>
      <w:lvlJc w:val="left"/>
      <w:pPr>
        <w:ind w:left="1140" w:hanging="360"/>
      </w:pPr>
      <w:rPr>
        <w:rFonts w:ascii="d" w:hAnsi="d"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5" w15:restartNumberingAfterBreak="0">
    <w:nsid w:val="73A307B0"/>
    <w:multiLevelType w:val="hybridMultilevel"/>
    <w:tmpl w:val="7A8A8C6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DB4BEE"/>
    <w:multiLevelType w:val="hybridMultilevel"/>
    <w:tmpl w:val="5C7A1E1C"/>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1686">
    <w:abstractNumId w:val="5"/>
  </w:num>
  <w:num w:numId="2" w16cid:durableId="866598216">
    <w:abstractNumId w:val="13"/>
  </w:num>
  <w:num w:numId="3" w16cid:durableId="1346395000">
    <w:abstractNumId w:val="20"/>
  </w:num>
  <w:num w:numId="4" w16cid:durableId="1065835310">
    <w:abstractNumId w:val="25"/>
  </w:num>
  <w:num w:numId="5" w16cid:durableId="1071856057">
    <w:abstractNumId w:val="3"/>
  </w:num>
  <w:num w:numId="6" w16cid:durableId="1282957533">
    <w:abstractNumId w:val="14"/>
  </w:num>
  <w:num w:numId="7" w16cid:durableId="1591550378">
    <w:abstractNumId w:val="16"/>
  </w:num>
  <w:num w:numId="8" w16cid:durableId="923683955">
    <w:abstractNumId w:val="0"/>
  </w:num>
  <w:num w:numId="9" w16cid:durableId="1509175646">
    <w:abstractNumId w:val="9"/>
  </w:num>
  <w:num w:numId="10" w16cid:durableId="1048064277">
    <w:abstractNumId w:val="19"/>
  </w:num>
  <w:num w:numId="11" w16cid:durableId="322003110">
    <w:abstractNumId w:val="2"/>
  </w:num>
  <w:num w:numId="12" w16cid:durableId="1230531342">
    <w:abstractNumId w:val="17"/>
  </w:num>
  <w:num w:numId="13" w16cid:durableId="1796217202">
    <w:abstractNumId w:val="18"/>
  </w:num>
  <w:num w:numId="14" w16cid:durableId="1336222949">
    <w:abstractNumId w:val="4"/>
  </w:num>
  <w:num w:numId="15" w16cid:durableId="188572447">
    <w:abstractNumId w:val="24"/>
  </w:num>
  <w:num w:numId="16" w16cid:durableId="567762088">
    <w:abstractNumId w:val="23"/>
  </w:num>
  <w:num w:numId="17" w16cid:durableId="1109280856">
    <w:abstractNumId w:val="10"/>
  </w:num>
  <w:num w:numId="18" w16cid:durableId="3020728">
    <w:abstractNumId w:val="8"/>
  </w:num>
  <w:num w:numId="19" w16cid:durableId="1856578660">
    <w:abstractNumId w:val="12"/>
  </w:num>
  <w:num w:numId="20" w16cid:durableId="1131023486">
    <w:abstractNumId w:val="26"/>
  </w:num>
  <w:num w:numId="21" w16cid:durableId="730076663">
    <w:abstractNumId w:val="1"/>
  </w:num>
  <w:num w:numId="22" w16cid:durableId="932981771">
    <w:abstractNumId w:val="21"/>
  </w:num>
  <w:num w:numId="23" w16cid:durableId="1426532536">
    <w:abstractNumId w:val="6"/>
  </w:num>
  <w:num w:numId="24" w16cid:durableId="1772429694">
    <w:abstractNumId w:val="7"/>
  </w:num>
  <w:num w:numId="25" w16cid:durableId="95374189">
    <w:abstractNumId w:val="22"/>
  </w:num>
  <w:num w:numId="26" w16cid:durableId="1952929312">
    <w:abstractNumId w:val="15"/>
  </w:num>
  <w:num w:numId="27" w16cid:durableId="70860731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12"/>
    <w:rsid w:val="0000145B"/>
    <w:rsid w:val="00001F87"/>
    <w:rsid w:val="00004B39"/>
    <w:rsid w:val="000160A0"/>
    <w:rsid w:val="000165B8"/>
    <w:rsid w:val="00022097"/>
    <w:rsid w:val="00025BE6"/>
    <w:rsid w:val="000306ED"/>
    <w:rsid w:val="00030A8C"/>
    <w:rsid w:val="00032ED9"/>
    <w:rsid w:val="0003722D"/>
    <w:rsid w:val="00037BF8"/>
    <w:rsid w:val="00045160"/>
    <w:rsid w:val="00047AF4"/>
    <w:rsid w:val="000567DA"/>
    <w:rsid w:val="00060CBE"/>
    <w:rsid w:val="0006430A"/>
    <w:rsid w:val="000666CE"/>
    <w:rsid w:val="00073DEA"/>
    <w:rsid w:val="00076385"/>
    <w:rsid w:val="00076A45"/>
    <w:rsid w:val="00081A99"/>
    <w:rsid w:val="00082EB4"/>
    <w:rsid w:val="00085C11"/>
    <w:rsid w:val="00086C4E"/>
    <w:rsid w:val="00087324"/>
    <w:rsid w:val="000A1D93"/>
    <w:rsid w:val="000B23D0"/>
    <w:rsid w:val="000B71B6"/>
    <w:rsid w:val="000C1731"/>
    <w:rsid w:val="000C315E"/>
    <w:rsid w:val="000C49C5"/>
    <w:rsid w:val="000D060A"/>
    <w:rsid w:val="000D232F"/>
    <w:rsid w:val="000D73B4"/>
    <w:rsid w:val="000E0CC4"/>
    <w:rsid w:val="000E2273"/>
    <w:rsid w:val="000E3854"/>
    <w:rsid w:val="000E4257"/>
    <w:rsid w:val="000E4915"/>
    <w:rsid w:val="000F2810"/>
    <w:rsid w:val="000F5217"/>
    <w:rsid w:val="000F7032"/>
    <w:rsid w:val="00102EC1"/>
    <w:rsid w:val="00104537"/>
    <w:rsid w:val="00112AFD"/>
    <w:rsid w:val="00114FF0"/>
    <w:rsid w:val="00116859"/>
    <w:rsid w:val="00122863"/>
    <w:rsid w:val="00124849"/>
    <w:rsid w:val="00125217"/>
    <w:rsid w:val="00125550"/>
    <w:rsid w:val="00127ADB"/>
    <w:rsid w:val="00130043"/>
    <w:rsid w:val="00130841"/>
    <w:rsid w:val="001348D5"/>
    <w:rsid w:val="0014529C"/>
    <w:rsid w:val="00154191"/>
    <w:rsid w:val="001548D9"/>
    <w:rsid w:val="001549A9"/>
    <w:rsid w:val="001610D3"/>
    <w:rsid w:val="001626CC"/>
    <w:rsid w:val="00166993"/>
    <w:rsid w:val="0016729F"/>
    <w:rsid w:val="0017051E"/>
    <w:rsid w:val="001736EB"/>
    <w:rsid w:val="00175750"/>
    <w:rsid w:val="00186ECB"/>
    <w:rsid w:val="00191358"/>
    <w:rsid w:val="0019256D"/>
    <w:rsid w:val="001A4786"/>
    <w:rsid w:val="001B0BFF"/>
    <w:rsid w:val="001B1EB7"/>
    <w:rsid w:val="001B2435"/>
    <w:rsid w:val="001C12FF"/>
    <w:rsid w:val="001C20E2"/>
    <w:rsid w:val="001C5E9D"/>
    <w:rsid w:val="001D0700"/>
    <w:rsid w:val="001D2BC2"/>
    <w:rsid w:val="001D7C0F"/>
    <w:rsid w:val="001F168A"/>
    <w:rsid w:val="001F484E"/>
    <w:rsid w:val="001F499D"/>
    <w:rsid w:val="001F5B84"/>
    <w:rsid w:val="00201AD6"/>
    <w:rsid w:val="002054C9"/>
    <w:rsid w:val="00206533"/>
    <w:rsid w:val="002131AE"/>
    <w:rsid w:val="0021602A"/>
    <w:rsid w:val="00224D0A"/>
    <w:rsid w:val="00225F9F"/>
    <w:rsid w:val="00231B05"/>
    <w:rsid w:val="00233885"/>
    <w:rsid w:val="00235286"/>
    <w:rsid w:val="00244529"/>
    <w:rsid w:val="00246E5A"/>
    <w:rsid w:val="00250029"/>
    <w:rsid w:val="00252BEC"/>
    <w:rsid w:val="00256025"/>
    <w:rsid w:val="00256BA3"/>
    <w:rsid w:val="00264DA6"/>
    <w:rsid w:val="00266D4D"/>
    <w:rsid w:val="002679E9"/>
    <w:rsid w:val="00274907"/>
    <w:rsid w:val="00283586"/>
    <w:rsid w:val="0028410C"/>
    <w:rsid w:val="00291F8D"/>
    <w:rsid w:val="002926A2"/>
    <w:rsid w:val="00297546"/>
    <w:rsid w:val="002A12FD"/>
    <w:rsid w:val="002A73C7"/>
    <w:rsid w:val="002B0F82"/>
    <w:rsid w:val="002B2365"/>
    <w:rsid w:val="002B30AD"/>
    <w:rsid w:val="002B492B"/>
    <w:rsid w:val="002C3D1D"/>
    <w:rsid w:val="002C64FC"/>
    <w:rsid w:val="002D71A9"/>
    <w:rsid w:val="002E3691"/>
    <w:rsid w:val="002E5A77"/>
    <w:rsid w:val="002E6116"/>
    <w:rsid w:val="002F4102"/>
    <w:rsid w:val="002F6609"/>
    <w:rsid w:val="002F6ADF"/>
    <w:rsid w:val="002F75ED"/>
    <w:rsid w:val="00300AE3"/>
    <w:rsid w:val="0030191A"/>
    <w:rsid w:val="003073C6"/>
    <w:rsid w:val="0030781C"/>
    <w:rsid w:val="003118B9"/>
    <w:rsid w:val="0031305C"/>
    <w:rsid w:val="00314490"/>
    <w:rsid w:val="00321B09"/>
    <w:rsid w:val="00324D4D"/>
    <w:rsid w:val="0033078E"/>
    <w:rsid w:val="003327B8"/>
    <w:rsid w:val="00332933"/>
    <w:rsid w:val="003404EE"/>
    <w:rsid w:val="003443C2"/>
    <w:rsid w:val="00345FBE"/>
    <w:rsid w:val="00347099"/>
    <w:rsid w:val="00347E04"/>
    <w:rsid w:val="003507D7"/>
    <w:rsid w:val="00351083"/>
    <w:rsid w:val="00352D4D"/>
    <w:rsid w:val="00353817"/>
    <w:rsid w:val="0035452B"/>
    <w:rsid w:val="00355979"/>
    <w:rsid w:val="0035677C"/>
    <w:rsid w:val="003617C5"/>
    <w:rsid w:val="00364B63"/>
    <w:rsid w:val="00373912"/>
    <w:rsid w:val="003744C8"/>
    <w:rsid w:val="00375255"/>
    <w:rsid w:val="003766CF"/>
    <w:rsid w:val="0038172E"/>
    <w:rsid w:val="0038248B"/>
    <w:rsid w:val="00384A5A"/>
    <w:rsid w:val="00393E8A"/>
    <w:rsid w:val="003A1545"/>
    <w:rsid w:val="003A7E16"/>
    <w:rsid w:val="003B6612"/>
    <w:rsid w:val="003B6C38"/>
    <w:rsid w:val="003C585B"/>
    <w:rsid w:val="003C7044"/>
    <w:rsid w:val="003D6392"/>
    <w:rsid w:val="003E1509"/>
    <w:rsid w:val="003E43D3"/>
    <w:rsid w:val="004013E8"/>
    <w:rsid w:val="00401C83"/>
    <w:rsid w:val="00404E0A"/>
    <w:rsid w:val="0040713C"/>
    <w:rsid w:val="00414446"/>
    <w:rsid w:val="00416A5B"/>
    <w:rsid w:val="00417D01"/>
    <w:rsid w:val="004205B2"/>
    <w:rsid w:val="00426C09"/>
    <w:rsid w:val="0043020F"/>
    <w:rsid w:val="00441258"/>
    <w:rsid w:val="0044237B"/>
    <w:rsid w:val="0044568F"/>
    <w:rsid w:val="00447A3D"/>
    <w:rsid w:val="004608B6"/>
    <w:rsid w:val="00466402"/>
    <w:rsid w:val="00470163"/>
    <w:rsid w:val="004719D0"/>
    <w:rsid w:val="00471DF8"/>
    <w:rsid w:val="0047276A"/>
    <w:rsid w:val="0047469F"/>
    <w:rsid w:val="0047480C"/>
    <w:rsid w:val="004764FC"/>
    <w:rsid w:val="00485BD3"/>
    <w:rsid w:val="00485EAB"/>
    <w:rsid w:val="00490C4B"/>
    <w:rsid w:val="00491D89"/>
    <w:rsid w:val="00497078"/>
    <w:rsid w:val="004A591C"/>
    <w:rsid w:val="004B715A"/>
    <w:rsid w:val="004C053D"/>
    <w:rsid w:val="004C1FB9"/>
    <w:rsid w:val="004C4AED"/>
    <w:rsid w:val="004D030E"/>
    <w:rsid w:val="004D2582"/>
    <w:rsid w:val="004D3AE3"/>
    <w:rsid w:val="004D47CB"/>
    <w:rsid w:val="004E5AE1"/>
    <w:rsid w:val="004E610C"/>
    <w:rsid w:val="004F1C90"/>
    <w:rsid w:val="004F3657"/>
    <w:rsid w:val="004F6910"/>
    <w:rsid w:val="004F7310"/>
    <w:rsid w:val="0050034E"/>
    <w:rsid w:val="00503832"/>
    <w:rsid w:val="0050599A"/>
    <w:rsid w:val="00507543"/>
    <w:rsid w:val="00510948"/>
    <w:rsid w:val="00510D4A"/>
    <w:rsid w:val="00513331"/>
    <w:rsid w:val="00514ADD"/>
    <w:rsid w:val="00515F1F"/>
    <w:rsid w:val="00516431"/>
    <w:rsid w:val="00523E04"/>
    <w:rsid w:val="00536C89"/>
    <w:rsid w:val="00537239"/>
    <w:rsid w:val="005377D8"/>
    <w:rsid w:val="005401C8"/>
    <w:rsid w:val="005433F6"/>
    <w:rsid w:val="00545DAE"/>
    <w:rsid w:val="00547C03"/>
    <w:rsid w:val="005500A2"/>
    <w:rsid w:val="00550C80"/>
    <w:rsid w:val="00553997"/>
    <w:rsid w:val="00555B93"/>
    <w:rsid w:val="00557ED0"/>
    <w:rsid w:val="005679CB"/>
    <w:rsid w:val="00570D7A"/>
    <w:rsid w:val="00575F7B"/>
    <w:rsid w:val="00576352"/>
    <w:rsid w:val="00577E2E"/>
    <w:rsid w:val="00577FD1"/>
    <w:rsid w:val="0058497C"/>
    <w:rsid w:val="00593A0A"/>
    <w:rsid w:val="00593E24"/>
    <w:rsid w:val="00595AE1"/>
    <w:rsid w:val="005A1B51"/>
    <w:rsid w:val="005A3876"/>
    <w:rsid w:val="005A69DD"/>
    <w:rsid w:val="005B2708"/>
    <w:rsid w:val="005B2A07"/>
    <w:rsid w:val="005B672F"/>
    <w:rsid w:val="005B76A6"/>
    <w:rsid w:val="005C21E8"/>
    <w:rsid w:val="005C2C44"/>
    <w:rsid w:val="005C5DBE"/>
    <w:rsid w:val="005C602E"/>
    <w:rsid w:val="005D2E30"/>
    <w:rsid w:val="005D6EB1"/>
    <w:rsid w:val="005E47DA"/>
    <w:rsid w:val="005F08A2"/>
    <w:rsid w:val="005F1525"/>
    <w:rsid w:val="00605073"/>
    <w:rsid w:val="006055FE"/>
    <w:rsid w:val="00606737"/>
    <w:rsid w:val="00611823"/>
    <w:rsid w:val="0061556C"/>
    <w:rsid w:val="0061617E"/>
    <w:rsid w:val="00621765"/>
    <w:rsid w:val="00625D0B"/>
    <w:rsid w:val="006361C8"/>
    <w:rsid w:val="00637CDE"/>
    <w:rsid w:val="006507A5"/>
    <w:rsid w:val="00652B8E"/>
    <w:rsid w:val="006537D8"/>
    <w:rsid w:val="00653CC4"/>
    <w:rsid w:val="00654D20"/>
    <w:rsid w:val="0065711A"/>
    <w:rsid w:val="006651AB"/>
    <w:rsid w:val="006661CA"/>
    <w:rsid w:val="00673452"/>
    <w:rsid w:val="00674FAC"/>
    <w:rsid w:val="00676E62"/>
    <w:rsid w:val="00681212"/>
    <w:rsid w:val="006832AB"/>
    <w:rsid w:val="0068592C"/>
    <w:rsid w:val="00692B49"/>
    <w:rsid w:val="006937A5"/>
    <w:rsid w:val="00694FBB"/>
    <w:rsid w:val="00696650"/>
    <w:rsid w:val="006B0AB9"/>
    <w:rsid w:val="006B20D0"/>
    <w:rsid w:val="006B4C34"/>
    <w:rsid w:val="006B5D69"/>
    <w:rsid w:val="006B5E11"/>
    <w:rsid w:val="006C6497"/>
    <w:rsid w:val="006C64A3"/>
    <w:rsid w:val="006C7333"/>
    <w:rsid w:val="006D28B6"/>
    <w:rsid w:val="006D3007"/>
    <w:rsid w:val="006D4DC2"/>
    <w:rsid w:val="006D55B4"/>
    <w:rsid w:val="006E17B6"/>
    <w:rsid w:val="006E1CDD"/>
    <w:rsid w:val="006E30FC"/>
    <w:rsid w:val="006E59B7"/>
    <w:rsid w:val="006E59C5"/>
    <w:rsid w:val="006E6132"/>
    <w:rsid w:val="006F07DC"/>
    <w:rsid w:val="006F1329"/>
    <w:rsid w:val="006F25D4"/>
    <w:rsid w:val="006F4AB5"/>
    <w:rsid w:val="006F75D5"/>
    <w:rsid w:val="00701B8E"/>
    <w:rsid w:val="00703537"/>
    <w:rsid w:val="00703833"/>
    <w:rsid w:val="00706C42"/>
    <w:rsid w:val="007102EE"/>
    <w:rsid w:val="00713D4A"/>
    <w:rsid w:val="007144B9"/>
    <w:rsid w:val="00720E58"/>
    <w:rsid w:val="007260E7"/>
    <w:rsid w:val="00737578"/>
    <w:rsid w:val="007403DC"/>
    <w:rsid w:val="0074211B"/>
    <w:rsid w:val="00743F83"/>
    <w:rsid w:val="00745C48"/>
    <w:rsid w:val="00746F36"/>
    <w:rsid w:val="00747497"/>
    <w:rsid w:val="00760C6C"/>
    <w:rsid w:val="007612F8"/>
    <w:rsid w:val="007702B6"/>
    <w:rsid w:val="00777F37"/>
    <w:rsid w:val="007844CF"/>
    <w:rsid w:val="00784513"/>
    <w:rsid w:val="0078459D"/>
    <w:rsid w:val="007916A0"/>
    <w:rsid w:val="00791D2F"/>
    <w:rsid w:val="00794768"/>
    <w:rsid w:val="00795A90"/>
    <w:rsid w:val="007A25B7"/>
    <w:rsid w:val="007A2BF8"/>
    <w:rsid w:val="007A6AB0"/>
    <w:rsid w:val="007B5797"/>
    <w:rsid w:val="007B5A50"/>
    <w:rsid w:val="007B7400"/>
    <w:rsid w:val="007C0F09"/>
    <w:rsid w:val="007C4B08"/>
    <w:rsid w:val="007C5C03"/>
    <w:rsid w:val="007C6820"/>
    <w:rsid w:val="007C784F"/>
    <w:rsid w:val="007C7BBD"/>
    <w:rsid w:val="007D03D6"/>
    <w:rsid w:val="007D343E"/>
    <w:rsid w:val="007D7B02"/>
    <w:rsid w:val="007E2A4F"/>
    <w:rsid w:val="007E5AEA"/>
    <w:rsid w:val="007E7635"/>
    <w:rsid w:val="007E7944"/>
    <w:rsid w:val="007F5D11"/>
    <w:rsid w:val="007F674C"/>
    <w:rsid w:val="00801E37"/>
    <w:rsid w:val="00811DF5"/>
    <w:rsid w:val="008164FA"/>
    <w:rsid w:val="00820571"/>
    <w:rsid w:val="0082521E"/>
    <w:rsid w:val="00836E81"/>
    <w:rsid w:val="00841DEA"/>
    <w:rsid w:val="00857181"/>
    <w:rsid w:val="00857AE8"/>
    <w:rsid w:val="00863D1C"/>
    <w:rsid w:val="00865B41"/>
    <w:rsid w:val="0086753D"/>
    <w:rsid w:val="00877A65"/>
    <w:rsid w:val="00880953"/>
    <w:rsid w:val="00880DEA"/>
    <w:rsid w:val="00881DDA"/>
    <w:rsid w:val="008879C5"/>
    <w:rsid w:val="00891166"/>
    <w:rsid w:val="00893E8C"/>
    <w:rsid w:val="008A583C"/>
    <w:rsid w:val="008A58E6"/>
    <w:rsid w:val="008A5980"/>
    <w:rsid w:val="008A5B66"/>
    <w:rsid w:val="008A7070"/>
    <w:rsid w:val="008B0337"/>
    <w:rsid w:val="008B6342"/>
    <w:rsid w:val="008C1E6E"/>
    <w:rsid w:val="008C3CBC"/>
    <w:rsid w:val="008C4724"/>
    <w:rsid w:val="008C50C3"/>
    <w:rsid w:val="008D2513"/>
    <w:rsid w:val="008D3EE4"/>
    <w:rsid w:val="008D6A1C"/>
    <w:rsid w:val="008E14ED"/>
    <w:rsid w:val="008E1525"/>
    <w:rsid w:val="008E22CB"/>
    <w:rsid w:val="008F147A"/>
    <w:rsid w:val="008F1AFF"/>
    <w:rsid w:val="008F2B19"/>
    <w:rsid w:val="008F7177"/>
    <w:rsid w:val="00900129"/>
    <w:rsid w:val="009006FC"/>
    <w:rsid w:val="00904FAD"/>
    <w:rsid w:val="0091151F"/>
    <w:rsid w:val="00913C5A"/>
    <w:rsid w:val="00931DCD"/>
    <w:rsid w:val="0093380C"/>
    <w:rsid w:val="0094028F"/>
    <w:rsid w:val="009410B8"/>
    <w:rsid w:val="0094327E"/>
    <w:rsid w:val="00944823"/>
    <w:rsid w:val="00947B45"/>
    <w:rsid w:val="0095054A"/>
    <w:rsid w:val="00953873"/>
    <w:rsid w:val="009548BE"/>
    <w:rsid w:val="00955946"/>
    <w:rsid w:val="00960ABD"/>
    <w:rsid w:val="00965533"/>
    <w:rsid w:val="00967766"/>
    <w:rsid w:val="0097128E"/>
    <w:rsid w:val="0097190B"/>
    <w:rsid w:val="009751EB"/>
    <w:rsid w:val="009804F0"/>
    <w:rsid w:val="009812A5"/>
    <w:rsid w:val="00990012"/>
    <w:rsid w:val="009A0B53"/>
    <w:rsid w:val="009A0BF3"/>
    <w:rsid w:val="009A18BF"/>
    <w:rsid w:val="009A7702"/>
    <w:rsid w:val="009B385F"/>
    <w:rsid w:val="009B6EF3"/>
    <w:rsid w:val="009C1374"/>
    <w:rsid w:val="009C2A4C"/>
    <w:rsid w:val="009C4638"/>
    <w:rsid w:val="009D51CA"/>
    <w:rsid w:val="009D56C0"/>
    <w:rsid w:val="009D5760"/>
    <w:rsid w:val="009D6EAD"/>
    <w:rsid w:val="009E069B"/>
    <w:rsid w:val="009E7C0A"/>
    <w:rsid w:val="009E7E8F"/>
    <w:rsid w:val="009F0496"/>
    <w:rsid w:val="009F206A"/>
    <w:rsid w:val="009F2A86"/>
    <w:rsid w:val="009F55DD"/>
    <w:rsid w:val="00A00D65"/>
    <w:rsid w:val="00A015EE"/>
    <w:rsid w:val="00A02025"/>
    <w:rsid w:val="00A05511"/>
    <w:rsid w:val="00A10698"/>
    <w:rsid w:val="00A15EC8"/>
    <w:rsid w:val="00A221DD"/>
    <w:rsid w:val="00A23C50"/>
    <w:rsid w:val="00A34086"/>
    <w:rsid w:val="00A379C8"/>
    <w:rsid w:val="00A41F08"/>
    <w:rsid w:val="00A45E1B"/>
    <w:rsid w:val="00A52253"/>
    <w:rsid w:val="00A54107"/>
    <w:rsid w:val="00A54BE3"/>
    <w:rsid w:val="00A554CA"/>
    <w:rsid w:val="00A61B8A"/>
    <w:rsid w:val="00A65D50"/>
    <w:rsid w:val="00A71605"/>
    <w:rsid w:val="00A75828"/>
    <w:rsid w:val="00A75E61"/>
    <w:rsid w:val="00A80D26"/>
    <w:rsid w:val="00A85E28"/>
    <w:rsid w:val="00A876C3"/>
    <w:rsid w:val="00A87C43"/>
    <w:rsid w:val="00A901EA"/>
    <w:rsid w:val="00A92767"/>
    <w:rsid w:val="00A93C35"/>
    <w:rsid w:val="00A9498F"/>
    <w:rsid w:val="00AA0BCC"/>
    <w:rsid w:val="00AA3A28"/>
    <w:rsid w:val="00AA55C4"/>
    <w:rsid w:val="00AA69A7"/>
    <w:rsid w:val="00AA7DC3"/>
    <w:rsid w:val="00AB1061"/>
    <w:rsid w:val="00AB6163"/>
    <w:rsid w:val="00AC0425"/>
    <w:rsid w:val="00AC19B6"/>
    <w:rsid w:val="00AC20B4"/>
    <w:rsid w:val="00AC350B"/>
    <w:rsid w:val="00AD0D2E"/>
    <w:rsid w:val="00AD42DC"/>
    <w:rsid w:val="00AD543D"/>
    <w:rsid w:val="00AD7821"/>
    <w:rsid w:val="00AE36AE"/>
    <w:rsid w:val="00AE54E6"/>
    <w:rsid w:val="00AF1FDF"/>
    <w:rsid w:val="00AF316D"/>
    <w:rsid w:val="00AF3AC2"/>
    <w:rsid w:val="00AF4CE2"/>
    <w:rsid w:val="00AF62C0"/>
    <w:rsid w:val="00B156E9"/>
    <w:rsid w:val="00B17AC8"/>
    <w:rsid w:val="00B20686"/>
    <w:rsid w:val="00B24B5C"/>
    <w:rsid w:val="00B320A8"/>
    <w:rsid w:val="00B34F73"/>
    <w:rsid w:val="00B42FDE"/>
    <w:rsid w:val="00B4366E"/>
    <w:rsid w:val="00B439D7"/>
    <w:rsid w:val="00B43A58"/>
    <w:rsid w:val="00B43CAF"/>
    <w:rsid w:val="00B454A7"/>
    <w:rsid w:val="00B526F3"/>
    <w:rsid w:val="00B529DC"/>
    <w:rsid w:val="00B55BE7"/>
    <w:rsid w:val="00B6035F"/>
    <w:rsid w:val="00B64CBC"/>
    <w:rsid w:val="00B67599"/>
    <w:rsid w:val="00B7232B"/>
    <w:rsid w:val="00B8368C"/>
    <w:rsid w:val="00B9358D"/>
    <w:rsid w:val="00B9430D"/>
    <w:rsid w:val="00B95652"/>
    <w:rsid w:val="00BA3EDA"/>
    <w:rsid w:val="00BA4AEF"/>
    <w:rsid w:val="00BB1364"/>
    <w:rsid w:val="00BB2F3D"/>
    <w:rsid w:val="00BB77BF"/>
    <w:rsid w:val="00BC0458"/>
    <w:rsid w:val="00BC0A74"/>
    <w:rsid w:val="00BC2D30"/>
    <w:rsid w:val="00BD21F5"/>
    <w:rsid w:val="00BD2212"/>
    <w:rsid w:val="00BD2BF8"/>
    <w:rsid w:val="00BD5953"/>
    <w:rsid w:val="00BE2FDD"/>
    <w:rsid w:val="00BE52C8"/>
    <w:rsid w:val="00BE73A5"/>
    <w:rsid w:val="00BE764A"/>
    <w:rsid w:val="00BE79FD"/>
    <w:rsid w:val="00BF5AE9"/>
    <w:rsid w:val="00C209B7"/>
    <w:rsid w:val="00C23633"/>
    <w:rsid w:val="00C25278"/>
    <w:rsid w:val="00C45E8C"/>
    <w:rsid w:val="00C4750A"/>
    <w:rsid w:val="00C51DA4"/>
    <w:rsid w:val="00C56164"/>
    <w:rsid w:val="00C65500"/>
    <w:rsid w:val="00C712D3"/>
    <w:rsid w:val="00C81515"/>
    <w:rsid w:val="00C90037"/>
    <w:rsid w:val="00C91C2D"/>
    <w:rsid w:val="00C92E98"/>
    <w:rsid w:val="00CA27C1"/>
    <w:rsid w:val="00CA77B8"/>
    <w:rsid w:val="00CB176F"/>
    <w:rsid w:val="00CB47FA"/>
    <w:rsid w:val="00CB7AB1"/>
    <w:rsid w:val="00CD1044"/>
    <w:rsid w:val="00CD10D5"/>
    <w:rsid w:val="00CD5847"/>
    <w:rsid w:val="00CE024C"/>
    <w:rsid w:val="00CE1F2D"/>
    <w:rsid w:val="00CF25EE"/>
    <w:rsid w:val="00CF30F3"/>
    <w:rsid w:val="00CF34A8"/>
    <w:rsid w:val="00CF4DC5"/>
    <w:rsid w:val="00CF530F"/>
    <w:rsid w:val="00D0117F"/>
    <w:rsid w:val="00D03511"/>
    <w:rsid w:val="00D16AE2"/>
    <w:rsid w:val="00D22906"/>
    <w:rsid w:val="00D25166"/>
    <w:rsid w:val="00D37A56"/>
    <w:rsid w:val="00D439D1"/>
    <w:rsid w:val="00D470C3"/>
    <w:rsid w:val="00D60814"/>
    <w:rsid w:val="00D60B04"/>
    <w:rsid w:val="00D63EDA"/>
    <w:rsid w:val="00D7474C"/>
    <w:rsid w:val="00D75E28"/>
    <w:rsid w:val="00D77453"/>
    <w:rsid w:val="00D81728"/>
    <w:rsid w:val="00D82C7E"/>
    <w:rsid w:val="00D86790"/>
    <w:rsid w:val="00D9303C"/>
    <w:rsid w:val="00DA2F80"/>
    <w:rsid w:val="00DA6A7D"/>
    <w:rsid w:val="00DB4412"/>
    <w:rsid w:val="00DC03A3"/>
    <w:rsid w:val="00DC16B2"/>
    <w:rsid w:val="00DC3A94"/>
    <w:rsid w:val="00DD3B17"/>
    <w:rsid w:val="00DD4446"/>
    <w:rsid w:val="00DD54AF"/>
    <w:rsid w:val="00DD5E54"/>
    <w:rsid w:val="00DD6492"/>
    <w:rsid w:val="00DE06C1"/>
    <w:rsid w:val="00DE1543"/>
    <w:rsid w:val="00DE1A73"/>
    <w:rsid w:val="00DE1B4E"/>
    <w:rsid w:val="00DE3ED1"/>
    <w:rsid w:val="00DE6841"/>
    <w:rsid w:val="00DF6373"/>
    <w:rsid w:val="00DF695A"/>
    <w:rsid w:val="00E00F6D"/>
    <w:rsid w:val="00E01A0C"/>
    <w:rsid w:val="00E01A90"/>
    <w:rsid w:val="00E01EE5"/>
    <w:rsid w:val="00E04209"/>
    <w:rsid w:val="00E1033B"/>
    <w:rsid w:val="00E11540"/>
    <w:rsid w:val="00E11DC7"/>
    <w:rsid w:val="00E20A1A"/>
    <w:rsid w:val="00E2662D"/>
    <w:rsid w:val="00E32C80"/>
    <w:rsid w:val="00E35368"/>
    <w:rsid w:val="00E375D3"/>
    <w:rsid w:val="00E451B4"/>
    <w:rsid w:val="00E46DAD"/>
    <w:rsid w:val="00E51703"/>
    <w:rsid w:val="00E51994"/>
    <w:rsid w:val="00E51F30"/>
    <w:rsid w:val="00E60F23"/>
    <w:rsid w:val="00E61A6A"/>
    <w:rsid w:val="00E655FB"/>
    <w:rsid w:val="00E70FF2"/>
    <w:rsid w:val="00E72186"/>
    <w:rsid w:val="00E75B4C"/>
    <w:rsid w:val="00E80012"/>
    <w:rsid w:val="00E86E38"/>
    <w:rsid w:val="00E94774"/>
    <w:rsid w:val="00E95DB7"/>
    <w:rsid w:val="00EA07E9"/>
    <w:rsid w:val="00EA2599"/>
    <w:rsid w:val="00EA27FF"/>
    <w:rsid w:val="00EA3D4B"/>
    <w:rsid w:val="00EA7C26"/>
    <w:rsid w:val="00EB0BAF"/>
    <w:rsid w:val="00EB7F8E"/>
    <w:rsid w:val="00EC19A3"/>
    <w:rsid w:val="00ED1175"/>
    <w:rsid w:val="00ED2CCB"/>
    <w:rsid w:val="00ED3E23"/>
    <w:rsid w:val="00ED4AEE"/>
    <w:rsid w:val="00ED7F81"/>
    <w:rsid w:val="00EE10DB"/>
    <w:rsid w:val="00EE13B4"/>
    <w:rsid w:val="00EE64A4"/>
    <w:rsid w:val="00EE6ED1"/>
    <w:rsid w:val="00EF17CA"/>
    <w:rsid w:val="00EF618E"/>
    <w:rsid w:val="00F02212"/>
    <w:rsid w:val="00F046C6"/>
    <w:rsid w:val="00F100E2"/>
    <w:rsid w:val="00F104E9"/>
    <w:rsid w:val="00F1054A"/>
    <w:rsid w:val="00F2058F"/>
    <w:rsid w:val="00F213C0"/>
    <w:rsid w:val="00F23F38"/>
    <w:rsid w:val="00F249B8"/>
    <w:rsid w:val="00F261D0"/>
    <w:rsid w:val="00F318B6"/>
    <w:rsid w:val="00F31C7A"/>
    <w:rsid w:val="00F337D5"/>
    <w:rsid w:val="00F33B5B"/>
    <w:rsid w:val="00F34DAD"/>
    <w:rsid w:val="00F40BA9"/>
    <w:rsid w:val="00F40FCB"/>
    <w:rsid w:val="00F43D32"/>
    <w:rsid w:val="00F44820"/>
    <w:rsid w:val="00F46C73"/>
    <w:rsid w:val="00F51C6D"/>
    <w:rsid w:val="00F5264B"/>
    <w:rsid w:val="00F531C5"/>
    <w:rsid w:val="00F5430D"/>
    <w:rsid w:val="00F55614"/>
    <w:rsid w:val="00F6438C"/>
    <w:rsid w:val="00F80189"/>
    <w:rsid w:val="00F801FA"/>
    <w:rsid w:val="00F8604B"/>
    <w:rsid w:val="00F866D0"/>
    <w:rsid w:val="00F90406"/>
    <w:rsid w:val="00F92E6A"/>
    <w:rsid w:val="00F9429C"/>
    <w:rsid w:val="00FA0027"/>
    <w:rsid w:val="00FA05D8"/>
    <w:rsid w:val="00FA2D88"/>
    <w:rsid w:val="00FA468C"/>
    <w:rsid w:val="00FA48BD"/>
    <w:rsid w:val="00FB02C3"/>
    <w:rsid w:val="00FB672E"/>
    <w:rsid w:val="00FC0898"/>
    <w:rsid w:val="00FC3F08"/>
    <w:rsid w:val="00FD0E63"/>
    <w:rsid w:val="00FD72E4"/>
    <w:rsid w:val="00FE0C56"/>
    <w:rsid w:val="00FE42E9"/>
    <w:rsid w:val="00FE4932"/>
    <w:rsid w:val="00FE4EBA"/>
    <w:rsid w:val="00FE5616"/>
    <w:rsid w:val="00FF4284"/>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03E7D9"/>
  <w15:chartTrackingRefBased/>
  <w15:docId w15:val="{32962969-DA5C-274E-B153-2E8574FB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990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900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0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00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00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00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00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00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34"/>
    <w:qFormat/>
    <w:rsid w:val="006E1CDD"/>
    <w:pPr>
      <w:spacing w:line="281" w:lineRule="exact"/>
      <w:ind w:left="2059" w:hanging="360"/>
    </w:pPr>
  </w:style>
  <w:style w:type="character" w:customStyle="1" w:styleId="Heading1Char">
    <w:name w:val="Heading 1 Char"/>
    <w:basedOn w:val="DefaultParagraphFont"/>
    <w:link w:val="Heading1"/>
    <w:uiPriority w:val="9"/>
    <w:rsid w:val="0099001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90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0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900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900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900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900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9001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900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0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0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00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90012"/>
    <w:rPr>
      <w:i/>
      <w:iCs/>
      <w:color w:val="0F4761" w:themeColor="accent1" w:themeShade="BF"/>
    </w:rPr>
  </w:style>
  <w:style w:type="paragraph" w:styleId="IntenseQuote">
    <w:name w:val="Intense Quote"/>
    <w:basedOn w:val="Normal"/>
    <w:next w:val="Normal"/>
    <w:link w:val="IntenseQuoteChar"/>
    <w:uiPriority w:val="30"/>
    <w:qFormat/>
    <w:rsid w:val="00990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0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90012"/>
    <w:rPr>
      <w:b/>
      <w:bCs/>
      <w:smallCaps/>
      <w:color w:val="0F4761" w:themeColor="accent1" w:themeShade="BF"/>
      <w:spacing w:val="5"/>
    </w:rPr>
  </w:style>
  <w:style w:type="paragraph" w:styleId="Header">
    <w:name w:val="header"/>
    <w:basedOn w:val="Normal"/>
    <w:link w:val="HeaderChar"/>
    <w:uiPriority w:val="99"/>
    <w:unhideWhenUsed/>
    <w:rsid w:val="007F674C"/>
    <w:pPr>
      <w:tabs>
        <w:tab w:val="center" w:pos="4680"/>
        <w:tab w:val="right" w:pos="9360"/>
      </w:tabs>
    </w:pPr>
  </w:style>
  <w:style w:type="character" w:customStyle="1" w:styleId="HeaderChar">
    <w:name w:val="Header Char"/>
    <w:basedOn w:val="DefaultParagraphFont"/>
    <w:link w:val="Header"/>
    <w:uiPriority w:val="99"/>
    <w:rsid w:val="007F674C"/>
    <w:rPr>
      <w:rFonts w:ascii="Open Sans" w:hAnsi="Open Sans" w:cs="Times New Roman"/>
      <w:sz w:val="22"/>
    </w:rPr>
  </w:style>
  <w:style w:type="paragraph" w:styleId="Footer">
    <w:name w:val="footer"/>
    <w:basedOn w:val="Normal"/>
    <w:link w:val="FooterChar"/>
    <w:uiPriority w:val="99"/>
    <w:unhideWhenUsed/>
    <w:rsid w:val="007F674C"/>
    <w:pPr>
      <w:tabs>
        <w:tab w:val="center" w:pos="4680"/>
        <w:tab w:val="right" w:pos="9360"/>
      </w:tabs>
    </w:pPr>
  </w:style>
  <w:style w:type="character" w:customStyle="1" w:styleId="FooterChar">
    <w:name w:val="Footer Char"/>
    <w:basedOn w:val="DefaultParagraphFont"/>
    <w:link w:val="Footer"/>
    <w:uiPriority w:val="99"/>
    <w:rsid w:val="007F674C"/>
    <w:rPr>
      <w:rFonts w:ascii="Open Sans" w:hAnsi="Open Sans" w:cs="Times New Roman"/>
      <w:sz w:val="22"/>
    </w:rPr>
  </w:style>
  <w:style w:type="character" w:styleId="Hyperlink">
    <w:name w:val="Hyperlink"/>
    <w:basedOn w:val="DefaultParagraphFont"/>
    <w:uiPriority w:val="99"/>
    <w:unhideWhenUsed/>
    <w:rsid w:val="00DF6373"/>
    <w:rPr>
      <w:color w:val="467886" w:themeColor="hyperlink"/>
      <w:u w:val="single"/>
    </w:rPr>
  </w:style>
  <w:style w:type="paragraph" w:styleId="FootnoteText">
    <w:name w:val="footnote text"/>
    <w:basedOn w:val="Normal"/>
    <w:link w:val="FootnoteTextChar"/>
    <w:uiPriority w:val="99"/>
    <w:unhideWhenUsed/>
    <w:rsid w:val="006661CA"/>
    <w:rPr>
      <w:sz w:val="20"/>
      <w:szCs w:val="20"/>
    </w:rPr>
  </w:style>
  <w:style w:type="character" w:customStyle="1" w:styleId="FootnoteTextChar">
    <w:name w:val="Footnote Text Char"/>
    <w:basedOn w:val="DefaultParagraphFont"/>
    <w:link w:val="FootnoteText"/>
    <w:uiPriority w:val="99"/>
    <w:rsid w:val="006661CA"/>
    <w:rPr>
      <w:rFonts w:ascii="Open Sans" w:hAnsi="Open Sans" w:cs="Times New Roman"/>
      <w:sz w:val="20"/>
      <w:szCs w:val="20"/>
    </w:rPr>
  </w:style>
  <w:style w:type="character" w:styleId="FootnoteReference">
    <w:name w:val="footnote reference"/>
    <w:basedOn w:val="DefaultParagraphFont"/>
    <w:uiPriority w:val="99"/>
    <w:semiHidden/>
    <w:unhideWhenUsed/>
    <w:rsid w:val="006661CA"/>
    <w:rPr>
      <w:vertAlign w:val="superscript"/>
    </w:rPr>
  </w:style>
  <w:style w:type="character" w:styleId="UnresolvedMention">
    <w:name w:val="Unresolved Mention"/>
    <w:basedOn w:val="DefaultParagraphFont"/>
    <w:uiPriority w:val="99"/>
    <w:semiHidden/>
    <w:unhideWhenUsed/>
    <w:rsid w:val="001736EB"/>
    <w:rPr>
      <w:color w:val="605E5C"/>
      <w:shd w:val="clear" w:color="auto" w:fill="E1DFDD"/>
    </w:rPr>
  </w:style>
  <w:style w:type="character" w:styleId="CommentReference">
    <w:name w:val="annotation reference"/>
    <w:basedOn w:val="DefaultParagraphFont"/>
    <w:uiPriority w:val="99"/>
    <w:semiHidden/>
    <w:unhideWhenUsed/>
    <w:rsid w:val="00266D4D"/>
    <w:rPr>
      <w:sz w:val="16"/>
      <w:szCs w:val="16"/>
    </w:rPr>
  </w:style>
  <w:style w:type="paragraph" w:styleId="CommentText">
    <w:name w:val="annotation text"/>
    <w:basedOn w:val="Normal"/>
    <w:link w:val="CommentTextChar"/>
    <w:uiPriority w:val="99"/>
    <w:semiHidden/>
    <w:unhideWhenUsed/>
    <w:rsid w:val="00266D4D"/>
    <w:rPr>
      <w:sz w:val="20"/>
      <w:szCs w:val="20"/>
    </w:rPr>
  </w:style>
  <w:style w:type="character" w:customStyle="1" w:styleId="CommentTextChar">
    <w:name w:val="Comment Text Char"/>
    <w:basedOn w:val="DefaultParagraphFont"/>
    <w:link w:val="CommentText"/>
    <w:uiPriority w:val="99"/>
    <w:semiHidden/>
    <w:rsid w:val="00266D4D"/>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266D4D"/>
    <w:rPr>
      <w:b/>
      <w:bCs/>
    </w:rPr>
  </w:style>
  <w:style w:type="character" w:customStyle="1" w:styleId="CommentSubjectChar">
    <w:name w:val="Comment Subject Char"/>
    <w:basedOn w:val="CommentTextChar"/>
    <w:link w:val="CommentSubject"/>
    <w:uiPriority w:val="99"/>
    <w:semiHidden/>
    <w:rsid w:val="00266D4D"/>
    <w:rPr>
      <w:rFonts w:ascii="Open Sans" w:hAnsi="Open Sans" w:cs="Times New Roman"/>
      <w:b/>
      <w:bCs/>
      <w:sz w:val="20"/>
      <w:szCs w:val="20"/>
    </w:rPr>
  </w:style>
  <w:style w:type="paragraph" w:styleId="Revision">
    <w:name w:val="Revision"/>
    <w:hidden/>
    <w:uiPriority w:val="99"/>
    <w:semiHidden/>
    <w:rsid w:val="002B2365"/>
    <w:rPr>
      <w:rFonts w:ascii="Open Sans" w:hAnsi="Open Sans" w:cs="Times New Roman"/>
      <w:sz w:val="22"/>
    </w:rPr>
  </w:style>
  <w:style w:type="character" w:styleId="FollowedHyperlink">
    <w:name w:val="FollowedHyperlink"/>
    <w:basedOn w:val="DefaultParagraphFont"/>
    <w:uiPriority w:val="99"/>
    <w:semiHidden/>
    <w:unhideWhenUsed/>
    <w:rsid w:val="00A41F08"/>
    <w:rPr>
      <w:color w:val="96607D" w:themeColor="followedHyperlink"/>
      <w:u w:val="single"/>
    </w:rPr>
  </w:style>
  <w:style w:type="paragraph" w:styleId="NormalWeb">
    <w:name w:val="Normal (Web)"/>
    <w:basedOn w:val="Normal"/>
    <w:uiPriority w:val="99"/>
    <w:semiHidden/>
    <w:unhideWhenUsed/>
    <w:rsid w:val="00745C4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202">
      <w:bodyDiv w:val="1"/>
      <w:marLeft w:val="0"/>
      <w:marRight w:val="0"/>
      <w:marTop w:val="0"/>
      <w:marBottom w:val="0"/>
      <w:divBdr>
        <w:top w:val="none" w:sz="0" w:space="0" w:color="auto"/>
        <w:left w:val="none" w:sz="0" w:space="0" w:color="auto"/>
        <w:bottom w:val="none" w:sz="0" w:space="0" w:color="auto"/>
        <w:right w:val="none" w:sz="0" w:space="0" w:color="auto"/>
      </w:divBdr>
      <w:divsChild>
        <w:div w:id="240022589">
          <w:marLeft w:val="480"/>
          <w:marRight w:val="0"/>
          <w:marTop w:val="0"/>
          <w:marBottom w:val="0"/>
          <w:divBdr>
            <w:top w:val="none" w:sz="0" w:space="0" w:color="auto"/>
            <w:left w:val="none" w:sz="0" w:space="0" w:color="auto"/>
            <w:bottom w:val="none" w:sz="0" w:space="0" w:color="auto"/>
            <w:right w:val="none" w:sz="0" w:space="0" w:color="auto"/>
          </w:divBdr>
          <w:divsChild>
            <w:div w:id="2683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072">
      <w:bodyDiv w:val="1"/>
      <w:marLeft w:val="0"/>
      <w:marRight w:val="0"/>
      <w:marTop w:val="0"/>
      <w:marBottom w:val="0"/>
      <w:divBdr>
        <w:top w:val="none" w:sz="0" w:space="0" w:color="auto"/>
        <w:left w:val="none" w:sz="0" w:space="0" w:color="auto"/>
        <w:bottom w:val="none" w:sz="0" w:space="0" w:color="auto"/>
        <w:right w:val="none" w:sz="0" w:space="0" w:color="auto"/>
      </w:divBdr>
    </w:div>
    <w:div w:id="171724379">
      <w:bodyDiv w:val="1"/>
      <w:marLeft w:val="0"/>
      <w:marRight w:val="0"/>
      <w:marTop w:val="0"/>
      <w:marBottom w:val="0"/>
      <w:divBdr>
        <w:top w:val="none" w:sz="0" w:space="0" w:color="auto"/>
        <w:left w:val="none" w:sz="0" w:space="0" w:color="auto"/>
        <w:bottom w:val="none" w:sz="0" w:space="0" w:color="auto"/>
        <w:right w:val="none" w:sz="0" w:space="0" w:color="auto"/>
      </w:divBdr>
    </w:div>
    <w:div w:id="217086556">
      <w:bodyDiv w:val="1"/>
      <w:marLeft w:val="0"/>
      <w:marRight w:val="0"/>
      <w:marTop w:val="0"/>
      <w:marBottom w:val="0"/>
      <w:divBdr>
        <w:top w:val="none" w:sz="0" w:space="0" w:color="auto"/>
        <w:left w:val="none" w:sz="0" w:space="0" w:color="auto"/>
        <w:bottom w:val="none" w:sz="0" w:space="0" w:color="auto"/>
        <w:right w:val="none" w:sz="0" w:space="0" w:color="auto"/>
      </w:divBdr>
      <w:divsChild>
        <w:div w:id="1896506315">
          <w:marLeft w:val="0"/>
          <w:marRight w:val="0"/>
          <w:marTop w:val="0"/>
          <w:marBottom w:val="0"/>
          <w:divBdr>
            <w:top w:val="single" w:sz="18" w:space="4" w:color="006FCA"/>
            <w:left w:val="single" w:sz="18" w:space="4" w:color="006FCA"/>
            <w:bottom w:val="single" w:sz="18" w:space="4" w:color="006FCA"/>
            <w:right w:val="single" w:sz="18" w:space="4" w:color="006FCA"/>
          </w:divBdr>
          <w:divsChild>
            <w:div w:id="673414309">
              <w:marLeft w:val="0"/>
              <w:marRight w:val="0"/>
              <w:marTop w:val="0"/>
              <w:marBottom w:val="0"/>
              <w:divBdr>
                <w:top w:val="none" w:sz="0" w:space="0" w:color="auto"/>
                <w:left w:val="none" w:sz="0" w:space="0" w:color="auto"/>
                <w:bottom w:val="none" w:sz="0" w:space="0" w:color="auto"/>
                <w:right w:val="none" w:sz="0" w:space="0" w:color="auto"/>
              </w:divBdr>
              <w:divsChild>
                <w:div w:id="27410097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75604896">
      <w:bodyDiv w:val="1"/>
      <w:marLeft w:val="0"/>
      <w:marRight w:val="0"/>
      <w:marTop w:val="0"/>
      <w:marBottom w:val="0"/>
      <w:divBdr>
        <w:top w:val="none" w:sz="0" w:space="0" w:color="auto"/>
        <w:left w:val="none" w:sz="0" w:space="0" w:color="auto"/>
        <w:bottom w:val="none" w:sz="0" w:space="0" w:color="auto"/>
        <w:right w:val="none" w:sz="0" w:space="0" w:color="auto"/>
      </w:divBdr>
    </w:div>
    <w:div w:id="275792484">
      <w:bodyDiv w:val="1"/>
      <w:marLeft w:val="0"/>
      <w:marRight w:val="0"/>
      <w:marTop w:val="0"/>
      <w:marBottom w:val="0"/>
      <w:divBdr>
        <w:top w:val="none" w:sz="0" w:space="0" w:color="auto"/>
        <w:left w:val="none" w:sz="0" w:space="0" w:color="auto"/>
        <w:bottom w:val="none" w:sz="0" w:space="0" w:color="auto"/>
        <w:right w:val="none" w:sz="0" w:space="0" w:color="auto"/>
      </w:divBdr>
      <w:divsChild>
        <w:div w:id="799495968">
          <w:marLeft w:val="480"/>
          <w:marRight w:val="0"/>
          <w:marTop w:val="0"/>
          <w:marBottom w:val="0"/>
          <w:divBdr>
            <w:top w:val="none" w:sz="0" w:space="0" w:color="auto"/>
            <w:left w:val="none" w:sz="0" w:space="0" w:color="auto"/>
            <w:bottom w:val="none" w:sz="0" w:space="0" w:color="auto"/>
            <w:right w:val="none" w:sz="0" w:space="0" w:color="auto"/>
          </w:divBdr>
          <w:divsChild>
            <w:div w:id="11978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2945">
      <w:bodyDiv w:val="1"/>
      <w:marLeft w:val="0"/>
      <w:marRight w:val="0"/>
      <w:marTop w:val="0"/>
      <w:marBottom w:val="0"/>
      <w:divBdr>
        <w:top w:val="none" w:sz="0" w:space="0" w:color="auto"/>
        <w:left w:val="none" w:sz="0" w:space="0" w:color="auto"/>
        <w:bottom w:val="none" w:sz="0" w:space="0" w:color="auto"/>
        <w:right w:val="none" w:sz="0" w:space="0" w:color="auto"/>
      </w:divBdr>
      <w:divsChild>
        <w:div w:id="1251348151">
          <w:marLeft w:val="0"/>
          <w:marRight w:val="0"/>
          <w:marTop w:val="0"/>
          <w:marBottom w:val="0"/>
          <w:divBdr>
            <w:top w:val="single" w:sz="18" w:space="4" w:color="006FCA"/>
            <w:left w:val="single" w:sz="18" w:space="4" w:color="006FCA"/>
            <w:bottom w:val="single" w:sz="18" w:space="4" w:color="006FCA"/>
            <w:right w:val="single" w:sz="18" w:space="4" w:color="006FCA"/>
          </w:divBdr>
          <w:divsChild>
            <w:div w:id="251747276">
              <w:marLeft w:val="0"/>
              <w:marRight w:val="0"/>
              <w:marTop w:val="0"/>
              <w:marBottom w:val="0"/>
              <w:divBdr>
                <w:top w:val="none" w:sz="0" w:space="0" w:color="auto"/>
                <w:left w:val="none" w:sz="0" w:space="0" w:color="auto"/>
                <w:bottom w:val="none" w:sz="0" w:space="0" w:color="auto"/>
                <w:right w:val="none" w:sz="0" w:space="0" w:color="auto"/>
              </w:divBdr>
              <w:divsChild>
                <w:div w:id="1948853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316155742">
      <w:bodyDiv w:val="1"/>
      <w:marLeft w:val="0"/>
      <w:marRight w:val="0"/>
      <w:marTop w:val="0"/>
      <w:marBottom w:val="0"/>
      <w:divBdr>
        <w:top w:val="none" w:sz="0" w:space="0" w:color="auto"/>
        <w:left w:val="none" w:sz="0" w:space="0" w:color="auto"/>
        <w:bottom w:val="none" w:sz="0" w:space="0" w:color="auto"/>
        <w:right w:val="none" w:sz="0" w:space="0" w:color="auto"/>
      </w:divBdr>
      <w:divsChild>
        <w:div w:id="2079858494">
          <w:marLeft w:val="480"/>
          <w:marRight w:val="0"/>
          <w:marTop w:val="0"/>
          <w:marBottom w:val="0"/>
          <w:divBdr>
            <w:top w:val="none" w:sz="0" w:space="0" w:color="auto"/>
            <w:left w:val="none" w:sz="0" w:space="0" w:color="auto"/>
            <w:bottom w:val="none" w:sz="0" w:space="0" w:color="auto"/>
            <w:right w:val="none" w:sz="0" w:space="0" w:color="auto"/>
          </w:divBdr>
          <w:divsChild>
            <w:div w:id="5717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7249">
      <w:bodyDiv w:val="1"/>
      <w:marLeft w:val="0"/>
      <w:marRight w:val="0"/>
      <w:marTop w:val="0"/>
      <w:marBottom w:val="0"/>
      <w:divBdr>
        <w:top w:val="none" w:sz="0" w:space="0" w:color="auto"/>
        <w:left w:val="none" w:sz="0" w:space="0" w:color="auto"/>
        <w:bottom w:val="none" w:sz="0" w:space="0" w:color="auto"/>
        <w:right w:val="none" w:sz="0" w:space="0" w:color="auto"/>
      </w:divBdr>
      <w:divsChild>
        <w:div w:id="359596323">
          <w:marLeft w:val="480"/>
          <w:marRight w:val="0"/>
          <w:marTop w:val="0"/>
          <w:marBottom w:val="0"/>
          <w:divBdr>
            <w:top w:val="none" w:sz="0" w:space="0" w:color="auto"/>
            <w:left w:val="none" w:sz="0" w:space="0" w:color="auto"/>
            <w:bottom w:val="none" w:sz="0" w:space="0" w:color="auto"/>
            <w:right w:val="none" w:sz="0" w:space="0" w:color="auto"/>
          </w:divBdr>
          <w:divsChild>
            <w:div w:id="272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17347">
      <w:bodyDiv w:val="1"/>
      <w:marLeft w:val="0"/>
      <w:marRight w:val="0"/>
      <w:marTop w:val="0"/>
      <w:marBottom w:val="0"/>
      <w:divBdr>
        <w:top w:val="none" w:sz="0" w:space="0" w:color="auto"/>
        <w:left w:val="none" w:sz="0" w:space="0" w:color="auto"/>
        <w:bottom w:val="none" w:sz="0" w:space="0" w:color="auto"/>
        <w:right w:val="none" w:sz="0" w:space="0" w:color="auto"/>
      </w:divBdr>
      <w:divsChild>
        <w:div w:id="2036684676">
          <w:marLeft w:val="480"/>
          <w:marRight w:val="0"/>
          <w:marTop w:val="0"/>
          <w:marBottom w:val="0"/>
          <w:divBdr>
            <w:top w:val="none" w:sz="0" w:space="0" w:color="auto"/>
            <w:left w:val="none" w:sz="0" w:space="0" w:color="auto"/>
            <w:bottom w:val="none" w:sz="0" w:space="0" w:color="auto"/>
            <w:right w:val="none" w:sz="0" w:space="0" w:color="auto"/>
          </w:divBdr>
          <w:divsChild>
            <w:div w:id="17924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7353">
      <w:bodyDiv w:val="1"/>
      <w:marLeft w:val="0"/>
      <w:marRight w:val="0"/>
      <w:marTop w:val="0"/>
      <w:marBottom w:val="0"/>
      <w:divBdr>
        <w:top w:val="none" w:sz="0" w:space="0" w:color="auto"/>
        <w:left w:val="none" w:sz="0" w:space="0" w:color="auto"/>
        <w:bottom w:val="none" w:sz="0" w:space="0" w:color="auto"/>
        <w:right w:val="none" w:sz="0" w:space="0" w:color="auto"/>
      </w:divBdr>
    </w:div>
    <w:div w:id="444663202">
      <w:bodyDiv w:val="1"/>
      <w:marLeft w:val="0"/>
      <w:marRight w:val="0"/>
      <w:marTop w:val="0"/>
      <w:marBottom w:val="0"/>
      <w:divBdr>
        <w:top w:val="none" w:sz="0" w:space="0" w:color="auto"/>
        <w:left w:val="none" w:sz="0" w:space="0" w:color="auto"/>
        <w:bottom w:val="none" w:sz="0" w:space="0" w:color="auto"/>
        <w:right w:val="none" w:sz="0" w:space="0" w:color="auto"/>
      </w:divBdr>
      <w:divsChild>
        <w:div w:id="627705420">
          <w:marLeft w:val="480"/>
          <w:marRight w:val="0"/>
          <w:marTop w:val="0"/>
          <w:marBottom w:val="0"/>
          <w:divBdr>
            <w:top w:val="none" w:sz="0" w:space="0" w:color="auto"/>
            <w:left w:val="none" w:sz="0" w:space="0" w:color="auto"/>
            <w:bottom w:val="none" w:sz="0" w:space="0" w:color="auto"/>
            <w:right w:val="none" w:sz="0" w:space="0" w:color="auto"/>
          </w:divBdr>
          <w:divsChild>
            <w:div w:id="4273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1926">
      <w:bodyDiv w:val="1"/>
      <w:marLeft w:val="0"/>
      <w:marRight w:val="0"/>
      <w:marTop w:val="0"/>
      <w:marBottom w:val="0"/>
      <w:divBdr>
        <w:top w:val="none" w:sz="0" w:space="0" w:color="auto"/>
        <w:left w:val="none" w:sz="0" w:space="0" w:color="auto"/>
        <w:bottom w:val="none" w:sz="0" w:space="0" w:color="auto"/>
        <w:right w:val="none" w:sz="0" w:space="0" w:color="auto"/>
      </w:divBdr>
      <w:divsChild>
        <w:div w:id="982349733">
          <w:marLeft w:val="480"/>
          <w:marRight w:val="0"/>
          <w:marTop w:val="0"/>
          <w:marBottom w:val="0"/>
          <w:divBdr>
            <w:top w:val="none" w:sz="0" w:space="0" w:color="auto"/>
            <w:left w:val="none" w:sz="0" w:space="0" w:color="auto"/>
            <w:bottom w:val="none" w:sz="0" w:space="0" w:color="auto"/>
            <w:right w:val="none" w:sz="0" w:space="0" w:color="auto"/>
          </w:divBdr>
          <w:divsChild>
            <w:div w:id="3447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775">
      <w:bodyDiv w:val="1"/>
      <w:marLeft w:val="0"/>
      <w:marRight w:val="0"/>
      <w:marTop w:val="0"/>
      <w:marBottom w:val="0"/>
      <w:divBdr>
        <w:top w:val="none" w:sz="0" w:space="0" w:color="auto"/>
        <w:left w:val="none" w:sz="0" w:space="0" w:color="auto"/>
        <w:bottom w:val="none" w:sz="0" w:space="0" w:color="auto"/>
        <w:right w:val="none" w:sz="0" w:space="0" w:color="auto"/>
      </w:divBdr>
    </w:div>
    <w:div w:id="468476610">
      <w:bodyDiv w:val="1"/>
      <w:marLeft w:val="0"/>
      <w:marRight w:val="0"/>
      <w:marTop w:val="0"/>
      <w:marBottom w:val="0"/>
      <w:divBdr>
        <w:top w:val="none" w:sz="0" w:space="0" w:color="auto"/>
        <w:left w:val="none" w:sz="0" w:space="0" w:color="auto"/>
        <w:bottom w:val="none" w:sz="0" w:space="0" w:color="auto"/>
        <w:right w:val="none" w:sz="0" w:space="0" w:color="auto"/>
      </w:divBdr>
      <w:divsChild>
        <w:div w:id="1443768644">
          <w:marLeft w:val="480"/>
          <w:marRight w:val="0"/>
          <w:marTop w:val="0"/>
          <w:marBottom w:val="0"/>
          <w:divBdr>
            <w:top w:val="none" w:sz="0" w:space="0" w:color="auto"/>
            <w:left w:val="none" w:sz="0" w:space="0" w:color="auto"/>
            <w:bottom w:val="none" w:sz="0" w:space="0" w:color="auto"/>
            <w:right w:val="none" w:sz="0" w:space="0" w:color="auto"/>
          </w:divBdr>
          <w:divsChild>
            <w:div w:id="5945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0336">
      <w:bodyDiv w:val="1"/>
      <w:marLeft w:val="0"/>
      <w:marRight w:val="0"/>
      <w:marTop w:val="0"/>
      <w:marBottom w:val="0"/>
      <w:divBdr>
        <w:top w:val="none" w:sz="0" w:space="0" w:color="auto"/>
        <w:left w:val="none" w:sz="0" w:space="0" w:color="auto"/>
        <w:bottom w:val="none" w:sz="0" w:space="0" w:color="auto"/>
        <w:right w:val="none" w:sz="0" w:space="0" w:color="auto"/>
      </w:divBdr>
    </w:div>
    <w:div w:id="526598602">
      <w:bodyDiv w:val="1"/>
      <w:marLeft w:val="0"/>
      <w:marRight w:val="0"/>
      <w:marTop w:val="0"/>
      <w:marBottom w:val="0"/>
      <w:divBdr>
        <w:top w:val="none" w:sz="0" w:space="0" w:color="auto"/>
        <w:left w:val="none" w:sz="0" w:space="0" w:color="auto"/>
        <w:bottom w:val="none" w:sz="0" w:space="0" w:color="auto"/>
        <w:right w:val="none" w:sz="0" w:space="0" w:color="auto"/>
      </w:divBdr>
      <w:divsChild>
        <w:div w:id="375324756">
          <w:marLeft w:val="480"/>
          <w:marRight w:val="0"/>
          <w:marTop w:val="0"/>
          <w:marBottom w:val="0"/>
          <w:divBdr>
            <w:top w:val="none" w:sz="0" w:space="0" w:color="auto"/>
            <w:left w:val="none" w:sz="0" w:space="0" w:color="auto"/>
            <w:bottom w:val="none" w:sz="0" w:space="0" w:color="auto"/>
            <w:right w:val="none" w:sz="0" w:space="0" w:color="auto"/>
          </w:divBdr>
          <w:divsChild>
            <w:div w:id="21039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2213">
      <w:bodyDiv w:val="1"/>
      <w:marLeft w:val="0"/>
      <w:marRight w:val="0"/>
      <w:marTop w:val="0"/>
      <w:marBottom w:val="0"/>
      <w:divBdr>
        <w:top w:val="none" w:sz="0" w:space="0" w:color="auto"/>
        <w:left w:val="none" w:sz="0" w:space="0" w:color="auto"/>
        <w:bottom w:val="none" w:sz="0" w:space="0" w:color="auto"/>
        <w:right w:val="none" w:sz="0" w:space="0" w:color="auto"/>
      </w:divBdr>
      <w:divsChild>
        <w:div w:id="1270813999">
          <w:marLeft w:val="480"/>
          <w:marRight w:val="0"/>
          <w:marTop w:val="0"/>
          <w:marBottom w:val="0"/>
          <w:divBdr>
            <w:top w:val="none" w:sz="0" w:space="0" w:color="auto"/>
            <w:left w:val="none" w:sz="0" w:space="0" w:color="auto"/>
            <w:bottom w:val="none" w:sz="0" w:space="0" w:color="auto"/>
            <w:right w:val="none" w:sz="0" w:space="0" w:color="auto"/>
          </w:divBdr>
          <w:divsChild>
            <w:div w:id="6913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7992">
      <w:bodyDiv w:val="1"/>
      <w:marLeft w:val="0"/>
      <w:marRight w:val="0"/>
      <w:marTop w:val="0"/>
      <w:marBottom w:val="0"/>
      <w:divBdr>
        <w:top w:val="none" w:sz="0" w:space="0" w:color="auto"/>
        <w:left w:val="none" w:sz="0" w:space="0" w:color="auto"/>
        <w:bottom w:val="none" w:sz="0" w:space="0" w:color="auto"/>
        <w:right w:val="none" w:sz="0" w:space="0" w:color="auto"/>
      </w:divBdr>
    </w:div>
    <w:div w:id="803156854">
      <w:bodyDiv w:val="1"/>
      <w:marLeft w:val="0"/>
      <w:marRight w:val="0"/>
      <w:marTop w:val="0"/>
      <w:marBottom w:val="0"/>
      <w:divBdr>
        <w:top w:val="none" w:sz="0" w:space="0" w:color="auto"/>
        <w:left w:val="none" w:sz="0" w:space="0" w:color="auto"/>
        <w:bottom w:val="none" w:sz="0" w:space="0" w:color="auto"/>
        <w:right w:val="none" w:sz="0" w:space="0" w:color="auto"/>
      </w:divBdr>
      <w:divsChild>
        <w:div w:id="1492867496">
          <w:marLeft w:val="480"/>
          <w:marRight w:val="0"/>
          <w:marTop w:val="0"/>
          <w:marBottom w:val="0"/>
          <w:divBdr>
            <w:top w:val="none" w:sz="0" w:space="0" w:color="auto"/>
            <w:left w:val="none" w:sz="0" w:space="0" w:color="auto"/>
            <w:bottom w:val="none" w:sz="0" w:space="0" w:color="auto"/>
            <w:right w:val="none" w:sz="0" w:space="0" w:color="auto"/>
          </w:divBdr>
          <w:divsChild>
            <w:div w:id="10394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1949">
      <w:bodyDiv w:val="1"/>
      <w:marLeft w:val="0"/>
      <w:marRight w:val="0"/>
      <w:marTop w:val="0"/>
      <w:marBottom w:val="0"/>
      <w:divBdr>
        <w:top w:val="none" w:sz="0" w:space="0" w:color="auto"/>
        <w:left w:val="none" w:sz="0" w:space="0" w:color="auto"/>
        <w:bottom w:val="none" w:sz="0" w:space="0" w:color="auto"/>
        <w:right w:val="none" w:sz="0" w:space="0" w:color="auto"/>
      </w:divBdr>
      <w:divsChild>
        <w:div w:id="722798614">
          <w:marLeft w:val="480"/>
          <w:marRight w:val="0"/>
          <w:marTop w:val="0"/>
          <w:marBottom w:val="0"/>
          <w:divBdr>
            <w:top w:val="none" w:sz="0" w:space="0" w:color="auto"/>
            <w:left w:val="none" w:sz="0" w:space="0" w:color="auto"/>
            <w:bottom w:val="none" w:sz="0" w:space="0" w:color="auto"/>
            <w:right w:val="none" w:sz="0" w:space="0" w:color="auto"/>
          </w:divBdr>
          <w:divsChild>
            <w:div w:id="7371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2969">
      <w:bodyDiv w:val="1"/>
      <w:marLeft w:val="0"/>
      <w:marRight w:val="0"/>
      <w:marTop w:val="0"/>
      <w:marBottom w:val="0"/>
      <w:divBdr>
        <w:top w:val="none" w:sz="0" w:space="0" w:color="auto"/>
        <w:left w:val="none" w:sz="0" w:space="0" w:color="auto"/>
        <w:bottom w:val="none" w:sz="0" w:space="0" w:color="auto"/>
        <w:right w:val="none" w:sz="0" w:space="0" w:color="auto"/>
      </w:divBdr>
      <w:divsChild>
        <w:div w:id="1585644188">
          <w:marLeft w:val="480"/>
          <w:marRight w:val="0"/>
          <w:marTop w:val="0"/>
          <w:marBottom w:val="0"/>
          <w:divBdr>
            <w:top w:val="none" w:sz="0" w:space="0" w:color="auto"/>
            <w:left w:val="none" w:sz="0" w:space="0" w:color="auto"/>
            <w:bottom w:val="none" w:sz="0" w:space="0" w:color="auto"/>
            <w:right w:val="none" w:sz="0" w:space="0" w:color="auto"/>
          </w:divBdr>
          <w:divsChild>
            <w:div w:id="6211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21105">
      <w:bodyDiv w:val="1"/>
      <w:marLeft w:val="0"/>
      <w:marRight w:val="0"/>
      <w:marTop w:val="0"/>
      <w:marBottom w:val="0"/>
      <w:divBdr>
        <w:top w:val="none" w:sz="0" w:space="0" w:color="auto"/>
        <w:left w:val="none" w:sz="0" w:space="0" w:color="auto"/>
        <w:bottom w:val="none" w:sz="0" w:space="0" w:color="auto"/>
        <w:right w:val="none" w:sz="0" w:space="0" w:color="auto"/>
      </w:divBdr>
    </w:div>
    <w:div w:id="998072537">
      <w:bodyDiv w:val="1"/>
      <w:marLeft w:val="0"/>
      <w:marRight w:val="0"/>
      <w:marTop w:val="0"/>
      <w:marBottom w:val="0"/>
      <w:divBdr>
        <w:top w:val="none" w:sz="0" w:space="0" w:color="auto"/>
        <w:left w:val="none" w:sz="0" w:space="0" w:color="auto"/>
        <w:bottom w:val="none" w:sz="0" w:space="0" w:color="auto"/>
        <w:right w:val="none" w:sz="0" w:space="0" w:color="auto"/>
      </w:divBdr>
      <w:divsChild>
        <w:div w:id="1211725864">
          <w:marLeft w:val="480"/>
          <w:marRight w:val="0"/>
          <w:marTop w:val="0"/>
          <w:marBottom w:val="0"/>
          <w:divBdr>
            <w:top w:val="none" w:sz="0" w:space="0" w:color="auto"/>
            <w:left w:val="none" w:sz="0" w:space="0" w:color="auto"/>
            <w:bottom w:val="none" w:sz="0" w:space="0" w:color="auto"/>
            <w:right w:val="none" w:sz="0" w:space="0" w:color="auto"/>
          </w:divBdr>
          <w:divsChild>
            <w:div w:id="7750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3480">
      <w:bodyDiv w:val="1"/>
      <w:marLeft w:val="0"/>
      <w:marRight w:val="0"/>
      <w:marTop w:val="0"/>
      <w:marBottom w:val="0"/>
      <w:divBdr>
        <w:top w:val="none" w:sz="0" w:space="0" w:color="auto"/>
        <w:left w:val="none" w:sz="0" w:space="0" w:color="auto"/>
        <w:bottom w:val="none" w:sz="0" w:space="0" w:color="auto"/>
        <w:right w:val="none" w:sz="0" w:space="0" w:color="auto"/>
      </w:divBdr>
      <w:divsChild>
        <w:div w:id="1569488720">
          <w:marLeft w:val="480"/>
          <w:marRight w:val="0"/>
          <w:marTop w:val="0"/>
          <w:marBottom w:val="0"/>
          <w:divBdr>
            <w:top w:val="none" w:sz="0" w:space="0" w:color="auto"/>
            <w:left w:val="none" w:sz="0" w:space="0" w:color="auto"/>
            <w:bottom w:val="none" w:sz="0" w:space="0" w:color="auto"/>
            <w:right w:val="none" w:sz="0" w:space="0" w:color="auto"/>
          </w:divBdr>
          <w:divsChild>
            <w:div w:id="21388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8982">
      <w:bodyDiv w:val="1"/>
      <w:marLeft w:val="0"/>
      <w:marRight w:val="0"/>
      <w:marTop w:val="0"/>
      <w:marBottom w:val="0"/>
      <w:divBdr>
        <w:top w:val="none" w:sz="0" w:space="0" w:color="auto"/>
        <w:left w:val="none" w:sz="0" w:space="0" w:color="auto"/>
        <w:bottom w:val="none" w:sz="0" w:space="0" w:color="auto"/>
        <w:right w:val="none" w:sz="0" w:space="0" w:color="auto"/>
      </w:divBdr>
      <w:divsChild>
        <w:div w:id="1797407390">
          <w:marLeft w:val="480"/>
          <w:marRight w:val="0"/>
          <w:marTop w:val="0"/>
          <w:marBottom w:val="0"/>
          <w:divBdr>
            <w:top w:val="none" w:sz="0" w:space="0" w:color="auto"/>
            <w:left w:val="none" w:sz="0" w:space="0" w:color="auto"/>
            <w:bottom w:val="none" w:sz="0" w:space="0" w:color="auto"/>
            <w:right w:val="none" w:sz="0" w:space="0" w:color="auto"/>
          </w:divBdr>
          <w:divsChild>
            <w:div w:id="13120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4197">
      <w:bodyDiv w:val="1"/>
      <w:marLeft w:val="0"/>
      <w:marRight w:val="0"/>
      <w:marTop w:val="0"/>
      <w:marBottom w:val="0"/>
      <w:divBdr>
        <w:top w:val="none" w:sz="0" w:space="0" w:color="auto"/>
        <w:left w:val="none" w:sz="0" w:space="0" w:color="auto"/>
        <w:bottom w:val="none" w:sz="0" w:space="0" w:color="auto"/>
        <w:right w:val="none" w:sz="0" w:space="0" w:color="auto"/>
      </w:divBdr>
      <w:divsChild>
        <w:div w:id="717511228">
          <w:marLeft w:val="480"/>
          <w:marRight w:val="0"/>
          <w:marTop w:val="0"/>
          <w:marBottom w:val="0"/>
          <w:divBdr>
            <w:top w:val="none" w:sz="0" w:space="0" w:color="auto"/>
            <w:left w:val="none" w:sz="0" w:space="0" w:color="auto"/>
            <w:bottom w:val="none" w:sz="0" w:space="0" w:color="auto"/>
            <w:right w:val="none" w:sz="0" w:space="0" w:color="auto"/>
          </w:divBdr>
          <w:divsChild>
            <w:div w:id="2001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1828">
      <w:bodyDiv w:val="1"/>
      <w:marLeft w:val="0"/>
      <w:marRight w:val="0"/>
      <w:marTop w:val="0"/>
      <w:marBottom w:val="0"/>
      <w:divBdr>
        <w:top w:val="none" w:sz="0" w:space="0" w:color="auto"/>
        <w:left w:val="none" w:sz="0" w:space="0" w:color="auto"/>
        <w:bottom w:val="none" w:sz="0" w:space="0" w:color="auto"/>
        <w:right w:val="none" w:sz="0" w:space="0" w:color="auto"/>
      </w:divBdr>
      <w:divsChild>
        <w:div w:id="1658730772">
          <w:marLeft w:val="480"/>
          <w:marRight w:val="0"/>
          <w:marTop w:val="0"/>
          <w:marBottom w:val="0"/>
          <w:divBdr>
            <w:top w:val="none" w:sz="0" w:space="0" w:color="auto"/>
            <w:left w:val="none" w:sz="0" w:space="0" w:color="auto"/>
            <w:bottom w:val="none" w:sz="0" w:space="0" w:color="auto"/>
            <w:right w:val="none" w:sz="0" w:space="0" w:color="auto"/>
          </w:divBdr>
          <w:divsChild>
            <w:div w:id="3955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5582">
      <w:bodyDiv w:val="1"/>
      <w:marLeft w:val="0"/>
      <w:marRight w:val="0"/>
      <w:marTop w:val="0"/>
      <w:marBottom w:val="0"/>
      <w:divBdr>
        <w:top w:val="none" w:sz="0" w:space="0" w:color="auto"/>
        <w:left w:val="none" w:sz="0" w:space="0" w:color="auto"/>
        <w:bottom w:val="none" w:sz="0" w:space="0" w:color="auto"/>
        <w:right w:val="none" w:sz="0" w:space="0" w:color="auto"/>
      </w:divBdr>
    </w:div>
    <w:div w:id="1268536177">
      <w:bodyDiv w:val="1"/>
      <w:marLeft w:val="0"/>
      <w:marRight w:val="0"/>
      <w:marTop w:val="0"/>
      <w:marBottom w:val="0"/>
      <w:divBdr>
        <w:top w:val="none" w:sz="0" w:space="0" w:color="auto"/>
        <w:left w:val="none" w:sz="0" w:space="0" w:color="auto"/>
        <w:bottom w:val="none" w:sz="0" w:space="0" w:color="auto"/>
        <w:right w:val="none" w:sz="0" w:space="0" w:color="auto"/>
      </w:divBdr>
      <w:divsChild>
        <w:div w:id="253901653">
          <w:marLeft w:val="480"/>
          <w:marRight w:val="0"/>
          <w:marTop w:val="0"/>
          <w:marBottom w:val="0"/>
          <w:divBdr>
            <w:top w:val="none" w:sz="0" w:space="0" w:color="auto"/>
            <w:left w:val="none" w:sz="0" w:space="0" w:color="auto"/>
            <w:bottom w:val="none" w:sz="0" w:space="0" w:color="auto"/>
            <w:right w:val="none" w:sz="0" w:space="0" w:color="auto"/>
          </w:divBdr>
          <w:divsChild>
            <w:div w:id="4925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4991">
      <w:bodyDiv w:val="1"/>
      <w:marLeft w:val="0"/>
      <w:marRight w:val="0"/>
      <w:marTop w:val="0"/>
      <w:marBottom w:val="0"/>
      <w:divBdr>
        <w:top w:val="none" w:sz="0" w:space="0" w:color="auto"/>
        <w:left w:val="none" w:sz="0" w:space="0" w:color="auto"/>
        <w:bottom w:val="none" w:sz="0" w:space="0" w:color="auto"/>
        <w:right w:val="none" w:sz="0" w:space="0" w:color="auto"/>
      </w:divBdr>
      <w:divsChild>
        <w:div w:id="1332101240">
          <w:marLeft w:val="480"/>
          <w:marRight w:val="0"/>
          <w:marTop w:val="0"/>
          <w:marBottom w:val="0"/>
          <w:divBdr>
            <w:top w:val="none" w:sz="0" w:space="0" w:color="auto"/>
            <w:left w:val="none" w:sz="0" w:space="0" w:color="auto"/>
            <w:bottom w:val="none" w:sz="0" w:space="0" w:color="auto"/>
            <w:right w:val="none" w:sz="0" w:space="0" w:color="auto"/>
          </w:divBdr>
          <w:divsChild>
            <w:div w:id="14230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4629">
      <w:bodyDiv w:val="1"/>
      <w:marLeft w:val="0"/>
      <w:marRight w:val="0"/>
      <w:marTop w:val="0"/>
      <w:marBottom w:val="0"/>
      <w:divBdr>
        <w:top w:val="none" w:sz="0" w:space="0" w:color="auto"/>
        <w:left w:val="none" w:sz="0" w:space="0" w:color="auto"/>
        <w:bottom w:val="none" w:sz="0" w:space="0" w:color="auto"/>
        <w:right w:val="none" w:sz="0" w:space="0" w:color="auto"/>
      </w:divBdr>
    </w:div>
    <w:div w:id="1305425351">
      <w:bodyDiv w:val="1"/>
      <w:marLeft w:val="0"/>
      <w:marRight w:val="0"/>
      <w:marTop w:val="0"/>
      <w:marBottom w:val="0"/>
      <w:divBdr>
        <w:top w:val="none" w:sz="0" w:space="0" w:color="auto"/>
        <w:left w:val="none" w:sz="0" w:space="0" w:color="auto"/>
        <w:bottom w:val="none" w:sz="0" w:space="0" w:color="auto"/>
        <w:right w:val="none" w:sz="0" w:space="0" w:color="auto"/>
      </w:divBdr>
      <w:divsChild>
        <w:div w:id="989212604">
          <w:marLeft w:val="480"/>
          <w:marRight w:val="0"/>
          <w:marTop w:val="0"/>
          <w:marBottom w:val="0"/>
          <w:divBdr>
            <w:top w:val="none" w:sz="0" w:space="0" w:color="auto"/>
            <w:left w:val="none" w:sz="0" w:space="0" w:color="auto"/>
            <w:bottom w:val="none" w:sz="0" w:space="0" w:color="auto"/>
            <w:right w:val="none" w:sz="0" w:space="0" w:color="auto"/>
          </w:divBdr>
          <w:divsChild>
            <w:div w:id="2313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2422">
      <w:bodyDiv w:val="1"/>
      <w:marLeft w:val="0"/>
      <w:marRight w:val="0"/>
      <w:marTop w:val="0"/>
      <w:marBottom w:val="0"/>
      <w:divBdr>
        <w:top w:val="none" w:sz="0" w:space="0" w:color="auto"/>
        <w:left w:val="none" w:sz="0" w:space="0" w:color="auto"/>
        <w:bottom w:val="none" w:sz="0" w:space="0" w:color="auto"/>
        <w:right w:val="none" w:sz="0" w:space="0" w:color="auto"/>
      </w:divBdr>
      <w:divsChild>
        <w:div w:id="1874540900">
          <w:marLeft w:val="480"/>
          <w:marRight w:val="0"/>
          <w:marTop w:val="0"/>
          <w:marBottom w:val="0"/>
          <w:divBdr>
            <w:top w:val="none" w:sz="0" w:space="0" w:color="auto"/>
            <w:left w:val="none" w:sz="0" w:space="0" w:color="auto"/>
            <w:bottom w:val="none" w:sz="0" w:space="0" w:color="auto"/>
            <w:right w:val="none" w:sz="0" w:space="0" w:color="auto"/>
          </w:divBdr>
          <w:divsChild>
            <w:div w:id="12390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101">
      <w:bodyDiv w:val="1"/>
      <w:marLeft w:val="0"/>
      <w:marRight w:val="0"/>
      <w:marTop w:val="0"/>
      <w:marBottom w:val="0"/>
      <w:divBdr>
        <w:top w:val="none" w:sz="0" w:space="0" w:color="auto"/>
        <w:left w:val="none" w:sz="0" w:space="0" w:color="auto"/>
        <w:bottom w:val="none" w:sz="0" w:space="0" w:color="auto"/>
        <w:right w:val="none" w:sz="0" w:space="0" w:color="auto"/>
      </w:divBdr>
      <w:divsChild>
        <w:div w:id="2090037331">
          <w:marLeft w:val="480"/>
          <w:marRight w:val="0"/>
          <w:marTop w:val="0"/>
          <w:marBottom w:val="0"/>
          <w:divBdr>
            <w:top w:val="none" w:sz="0" w:space="0" w:color="auto"/>
            <w:left w:val="none" w:sz="0" w:space="0" w:color="auto"/>
            <w:bottom w:val="none" w:sz="0" w:space="0" w:color="auto"/>
            <w:right w:val="none" w:sz="0" w:space="0" w:color="auto"/>
          </w:divBdr>
          <w:divsChild>
            <w:div w:id="9450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5001">
      <w:bodyDiv w:val="1"/>
      <w:marLeft w:val="0"/>
      <w:marRight w:val="0"/>
      <w:marTop w:val="0"/>
      <w:marBottom w:val="0"/>
      <w:divBdr>
        <w:top w:val="none" w:sz="0" w:space="0" w:color="auto"/>
        <w:left w:val="none" w:sz="0" w:space="0" w:color="auto"/>
        <w:bottom w:val="none" w:sz="0" w:space="0" w:color="auto"/>
        <w:right w:val="none" w:sz="0" w:space="0" w:color="auto"/>
      </w:divBdr>
      <w:divsChild>
        <w:div w:id="1536962479">
          <w:marLeft w:val="480"/>
          <w:marRight w:val="0"/>
          <w:marTop w:val="0"/>
          <w:marBottom w:val="0"/>
          <w:divBdr>
            <w:top w:val="none" w:sz="0" w:space="0" w:color="auto"/>
            <w:left w:val="none" w:sz="0" w:space="0" w:color="auto"/>
            <w:bottom w:val="none" w:sz="0" w:space="0" w:color="auto"/>
            <w:right w:val="none" w:sz="0" w:space="0" w:color="auto"/>
          </w:divBdr>
          <w:divsChild>
            <w:div w:id="5951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51248">
      <w:bodyDiv w:val="1"/>
      <w:marLeft w:val="0"/>
      <w:marRight w:val="0"/>
      <w:marTop w:val="0"/>
      <w:marBottom w:val="0"/>
      <w:divBdr>
        <w:top w:val="none" w:sz="0" w:space="0" w:color="auto"/>
        <w:left w:val="none" w:sz="0" w:space="0" w:color="auto"/>
        <w:bottom w:val="none" w:sz="0" w:space="0" w:color="auto"/>
        <w:right w:val="none" w:sz="0" w:space="0" w:color="auto"/>
      </w:divBdr>
    </w:div>
    <w:div w:id="1619407418">
      <w:bodyDiv w:val="1"/>
      <w:marLeft w:val="0"/>
      <w:marRight w:val="0"/>
      <w:marTop w:val="0"/>
      <w:marBottom w:val="0"/>
      <w:divBdr>
        <w:top w:val="none" w:sz="0" w:space="0" w:color="auto"/>
        <w:left w:val="none" w:sz="0" w:space="0" w:color="auto"/>
        <w:bottom w:val="none" w:sz="0" w:space="0" w:color="auto"/>
        <w:right w:val="none" w:sz="0" w:space="0" w:color="auto"/>
      </w:divBdr>
      <w:divsChild>
        <w:div w:id="1945841446">
          <w:marLeft w:val="480"/>
          <w:marRight w:val="0"/>
          <w:marTop w:val="0"/>
          <w:marBottom w:val="0"/>
          <w:divBdr>
            <w:top w:val="none" w:sz="0" w:space="0" w:color="auto"/>
            <w:left w:val="none" w:sz="0" w:space="0" w:color="auto"/>
            <w:bottom w:val="none" w:sz="0" w:space="0" w:color="auto"/>
            <w:right w:val="none" w:sz="0" w:space="0" w:color="auto"/>
          </w:divBdr>
          <w:divsChild>
            <w:div w:id="3054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5623">
      <w:bodyDiv w:val="1"/>
      <w:marLeft w:val="0"/>
      <w:marRight w:val="0"/>
      <w:marTop w:val="0"/>
      <w:marBottom w:val="0"/>
      <w:divBdr>
        <w:top w:val="none" w:sz="0" w:space="0" w:color="auto"/>
        <w:left w:val="none" w:sz="0" w:space="0" w:color="auto"/>
        <w:bottom w:val="none" w:sz="0" w:space="0" w:color="auto"/>
        <w:right w:val="none" w:sz="0" w:space="0" w:color="auto"/>
      </w:divBdr>
    </w:div>
    <w:div w:id="1848907627">
      <w:bodyDiv w:val="1"/>
      <w:marLeft w:val="0"/>
      <w:marRight w:val="0"/>
      <w:marTop w:val="0"/>
      <w:marBottom w:val="0"/>
      <w:divBdr>
        <w:top w:val="none" w:sz="0" w:space="0" w:color="auto"/>
        <w:left w:val="none" w:sz="0" w:space="0" w:color="auto"/>
        <w:bottom w:val="none" w:sz="0" w:space="0" w:color="auto"/>
        <w:right w:val="none" w:sz="0" w:space="0" w:color="auto"/>
      </w:divBdr>
      <w:divsChild>
        <w:div w:id="1548227381">
          <w:marLeft w:val="480"/>
          <w:marRight w:val="0"/>
          <w:marTop w:val="0"/>
          <w:marBottom w:val="0"/>
          <w:divBdr>
            <w:top w:val="none" w:sz="0" w:space="0" w:color="auto"/>
            <w:left w:val="none" w:sz="0" w:space="0" w:color="auto"/>
            <w:bottom w:val="none" w:sz="0" w:space="0" w:color="auto"/>
            <w:right w:val="none" w:sz="0" w:space="0" w:color="auto"/>
          </w:divBdr>
          <w:divsChild>
            <w:div w:id="7730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3564">
      <w:bodyDiv w:val="1"/>
      <w:marLeft w:val="0"/>
      <w:marRight w:val="0"/>
      <w:marTop w:val="0"/>
      <w:marBottom w:val="0"/>
      <w:divBdr>
        <w:top w:val="none" w:sz="0" w:space="0" w:color="auto"/>
        <w:left w:val="none" w:sz="0" w:space="0" w:color="auto"/>
        <w:bottom w:val="none" w:sz="0" w:space="0" w:color="auto"/>
        <w:right w:val="none" w:sz="0" w:space="0" w:color="auto"/>
      </w:divBdr>
    </w:div>
    <w:div w:id="1929268165">
      <w:bodyDiv w:val="1"/>
      <w:marLeft w:val="0"/>
      <w:marRight w:val="0"/>
      <w:marTop w:val="0"/>
      <w:marBottom w:val="0"/>
      <w:divBdr>
        <w:top w:val="none" w:sz="0" w:space="0" w:color="auto"/>
        <w:left w:val="none" w:sz="0" w:space="0" w:color="auto"/>
        <w:bottom w:val="none" w:sz="0" w:space="0" w:color="auto"/>
        <w:right w:val="none" w:sz="0" w:space="0" w:color="auto"/>
      </w:divBdr>
      <w:divsChild>
        <w:div w:id="122431600">
          <w:marLeft w:val="480"/>
          <w:marRight w:val="0"/>
          <w:marTop w:val="0"/>
          <w:marBottom w:val="0"/>
          <w:divBdr>
            <w:top w:val="none" w:sz="0" w:space="0" w:color="auto"/>
            <w:left w:val="none" w:sz="0" w:space="0" w:color="auto"/>
            <w:bottom w:val="none" w:sz="0" w:space="0" w:color="auto"/>
            <w:right w:val="none" w:sz="0" w:space="0" w:color="auto"/>
          </w:divBdr>
          <w:divsChild>
            <w:div w:id="4623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2811">
      <w:bodyDiv w:val="1"/>
      <w:marLeft w:val="0"/>
      <w:marRight w:val="0"/>
      <w:marTop w:val="0"/>
      <w:marBottom w:val="0"/>
      <w:divBdr>
        <w:top w:val="none" w:sz="0" w:space="0" w:color="auto"/>
        <w:left w:val="none" w:sz="0" w:space="0" w:color="auto"/>
        <w:bottom w:val="none" w:sz="0" w:space="0" w:color="auto"/>
        <w:right w:val="none" w:sz="0" w:space="0" w:color="auto"/>
      </w:divBdr>
      <w:divsChild>
        <w:div w:id="1747142280">
          <w:marLeft w:val="480"/>
          <w:marRight w:val="0"/>
          <w:marTop w:val="0"/>
          <w:marBottom w:val="0"/>
          <w:divBdr>
            <w:top w:val="none" w:sz="0" w:space="0" w:color="auto"/>
            <w:left w:val="none" w:sz="0" w:space="0" w:color="auto"/>
            <w:bottom w:val="none" w:sz="0" w:space="0" w:color="auto"/>
            <w:right w:val="none" w:sz="0" w:space="0" w:color="auto"/>
          </w:divBdr>
          <w:divsChild>
            <w:div w:id="11177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5527">
      <w:bodyDiv w:val="1"/>
      <w:marLeft w:val="0"/>
      <w:marRight w:val="0"/>
      <w:marTop w:val="0"/>
      <w:marBottom w:val="0"/>
      <w:divBdr>
        <w:top w:val="none" w:sz="0" w:space="0" w:color="auto"/>
        <w:left w:val="none" w:sz="0" w:space="0" w:color="auto"/>
        <w:bottom w:val="none" w:sz="0" w:space="0" w:color="auto"/>
        <w:right w:val="none" w:sz="0" w:space="0" w:color="auto"/>
      </w:divBdr>
      <w:divsChild>
        <w:div w:id="1607687878">
          <w:marLeft w:val="480"/>
          <w:marRight w:val="0"/>
          <w:marTop w:val="0"/>
          <w:marBottom w:val="0"/>
          <w:divBdr>
            <w:top w:val="none" w:sz="0" w:space="0" w:color="auto"/>
            <w:left w:val="none" w:sz="0" w:space="0" w:color="auto"/>
            <w:bottom w:val="none" w:sz="0" w:space="0" w:color="auto"/>
            <w:right w:val="none" w:sz="0" w:space="0" w:color="auto"/>
          </w:divBdr>
          <w:divsChild>
            <w:div w:id="18669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24749">
      <w:bodyDiv w:val="1"/>
      <w:marLeft w:val="0"/>
      <w:marRight w:val="0"/>
      <w:marTop w:val="0"/>
      <w:marBottom w:val="0"/>
      <w:divBdr>
        <w:top w:val="none" w:sz="0" w:space="0" w:color="auto"/>
        <w:left w:val="none" w:sz="0" w:space="0" w:color="auto"/>
        <w:bottom w:val="none" w:sz="0" w:space="0" w:color="auto"/>
        <w:right w:val="none" w:sz="0" w:space="0" w:color="auto"/>
      </w:divBdr>
    </w:div>
    <w:div w:id="2084832491">
      <w:bodyDiv w:val="1"/>
      <w:marLeft w:val="0"/>
      <w:marRight w:val="0"/>
      <w:marTop w:val="0"/>
      <w:marBottom w:val="0"/>
      <w:divBdr>
        <w:top w:val="none" w:sz="0" w:space="0" w:color="auto"/>
        <w:left w:val="none" w:sz="0" w:space="0" w:color="auto"/>
        <w:bottom w:val="none" w:sz="0" w:space="0" w:color="auto"/>
        <w:right w:val="none" w:sz="0" w:space="0" w:color="auto"/>
      </w:divBdr>
    </w:div>
    <w:div w:id="2086294705">
      <w:bodyDiv w:val="1"/>
      <w:marLeft w:val="0"/>
      <w:marRight w:val="0"/>
      <w:marTop w:val="0"/>
      <w:marBottom w:val="0"/>
      <w:divBdr>
        <w:top w:val="none" w:sz="0" w:space="0" w:color="auto"/>
        <w:left w:val="none" w:sz="0" w:space="0" w:color="auto"/>
        <w:bottom w:val="none" w:sz="0" w:space="0" w:color="auto"/>
        <w:right w:val="none" w:sz="0" w:space="0" w:color="auto"/>
      </w:divBdr>
      <w:divsChild>
        <w:div w:id="1986738503">
          <w:marLeft w:val="480"/>
          <w:marRight w:val="0"/>
          <w:marTop w:val="0"/>
          <w:marBottom w:val="0"/>
          <w:divBdr>
            <w:top w:val="none" w:sz="0" w:space="0" w:color="auto"/>
            <w:left w:val="none" w:sz="0" w:space="0" w:color="auto"/>
            <w:bottom w:val="none" w:sz="0" w:space="0" w:color="auto"/>
            <w:right w:val="none" w:sz="0" w:space="0" w:color="auto"/>
          </w:divBdr>
          <w:divsChild>
            <w:div w:id="17552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ntencingproject.org/press-releases/california-fails-to-guarantee-voting-rights/" TargetMode="External"/><Relationship Id="rId18" Type="http://schemas.openxmlformats.org/officeDocument/2006/relationships/hyperlink" Target="https://doi.org/10.1017/S0003055418000011" TargetMode="External"/><Relationship Id="rId26" Type="http://schemas.openxmlformats.org/officeDocument/2006/relationships/hyperlink" Target="https://doi.org/10.3162/036298007781699663" TargetMode="External"/><Relationship Id="rId39" Type="http://schemas.openxmlformats.org/officeDocument/2006/relationships/hyperlink" Target="https://doi.org/10.1177/1462474516660694" TargetMode="External"/><Relationship Id="rId21" Type="http://schemas.openxmlformats.org/officeDocument/2006/relationships/hyperlink" Target="https://doi.org/10.1111/j.1939-9162.2011.00033.x" TargetMode="External"/><Relationship Id="rId34" Type="http://schemas.openxmlformats.org/officeDocument/2006/relationships/hyperlink" Target="https://doi.org/10.1111/j.1468-2508.2006.00447.x"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ajps.12068" TargetMode="External"/><Relationship Id="rId29" Type="http://schemas.openxmlformats.org/officeDocument/2006/relationships/hyperlink" Target="https://doi.org/10.1111/j.0038-4941.2005.00311.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111/j.1460-2466.2000.tb02845.x" TargetMode="External"/><Relationship Id="rId32" Type="http://schemas.openxmlformats.org/officeDocument/2006/relationships/hyperlink" Target="https://doi.org/10.1111/j.1540-5907.2011.00537.x" TargetMode="External"/><Relationship Id="rId37" Type="http://schemas.openxmlformats.org/officeDocument/2006/relationships/hyperlink" Target="https://doi.org/10.1017/S1537592715001218" TargetMode="External"/><Relationship Id="rId40" Type="http://schemas.openxmlformats.org/officeDocument/2006/relationships/hyperlink" Target="https://doi.org/10.1017/S000305541800093X"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77/0734016815573308" TargetMode="External"/><Relationship Id="rId23" Type="http://schemas.openxmlformats.org/officeDocument/2006/relationships/hyperlink" Target="https://doi.org/10.1177/1532673X211047850" TargetMode="External"/><Relationship Id="rId28" Type="http://schemas.openxmlformats.org/officeDocument/2006/relationships/hyperlink" Target="https://doi.org/10.1080/21565503.2019.1573247" TargetMode="External"/><Relationship Id="rId36" Type="http://schemas.openxmlformats.org/officeDocument/2006/relationships/hyperlink" Target="https://doi.org/10.1080/10911359.2015.1129256" TargetMode="External"/><Relationship Id="rId10" Type="http://schemas.microsoft.com/office/2016/09/relationships/commentsIds" Target="commentsIds.xml"/><Relationship Id="rId19" Type="http://schemas.openxmlformats.org/officeDocument/2006/relationships/hyperlink" Target="https://doi.org/10.1111/j.1939-9162.2011.00033.x" TargetMode="External"/><Relationship Id="rId31" Type="http://schemas.openxmlformats.org/officeDocument/2006/relationships/hyperlink" Target="https://doi.org/10.1017/s0007123400006062" TargetMode="External"/><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youtube.com/watch?v=4mj2LbSt-Rs" TargetMode="External"/><Relationship Id="rId22" Type="http://schemas.openxmlformats.org/officeDocument/2006/relationships/hyperlink" Target="https://doi.org/10.1017/S0003055416000551" TargetMode="External"/><Relationship Id="rId27" Type="http://schemas.openxmlformats.org/officeDocument/2006/relationships/hyperlink" Target="https://doi.org/10.1093/poq/nfi058" TargetMode="External"/><Relationship Id="rId30" Type="http://schemas.openxmlformats.org/officeDocument/2006/relationships/hyperlink" Target="https://doi.org/10.1017/S0003055403000868" TargetMode="External"/><Relationship Id="rId35" Type="http://schemas.openxmlformats.org/officeDocument/2006/relationships/hyperlink" Target="https://doi.org/10.1111/0022-3816.00146" TargetMode="External"/><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drive.google.com/file/d/1aU5h4EUENMQF_4vr0y-7WsTB1w8nwNyq/view" TargetMode="External"/><Relationship Id="rId17" Type="http://schemas.openxmlformats.org/officeDocument/2006/relationships/hyperlink" Target="https://doi.org/10.1111/lsq.12110" TargetMode="External"/><Relationship Id="rId25" Type="http://schemas.openxmlformats.org/officeDocument/2006/relationships/hyperlink" Target="https://doi.org/10.1086/685300" TargetMode="External"/><Relationship Id="rId33" Type="http://schemas.openxmlformats.org/officeDocument/2006/relationships/hyperlink" Target="https://doi.org/10.1002/polq.12657" TargetMode="External"/><Relationship Id="rId38" Type="http://schemas.openxmlformats.org/officeDocument/2006/relationships/hyperlink" Target="https://doi.org/10.1086/705684" TargetMode="External"/><Relationship Id="rId20" Type="http://schemas.openxmlformats.org/officeDocument/2006/relationships/hyperlink" Target="https://doi.org/10.1080/21565503.2015.1066689" TargetMode="External"/><Relationship Id="rId41" Type="http://schemas.openxmlformats.org/officeDocument/2006/relationships/hyperlink" Target="https://doi.org/10.1007/s11524-006-9065-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entencingproject.org/issues/voting-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578EC-8247-974E-A3CE-077DFDCC7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28</Pages>
  <Words>10245</Words>
  <Characters>59732</Characters>
  <Application>Microsoft Office Word</Application>
  <DocSecurity>0</DocSecurity>
  <Lines>1086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10</cp:revision>
  <dcterms:created xsi:type="dcterms:W3CDTF">2025-11-04T21:03:00Z</dcterms:created>
  <dcterms:modified xsi:type="dcterms:W3CDTF">2026-02-11T02:43:00Z</dcterms:modified>
</cp:coreProperties>
</file>