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35043FBD"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C27A2F">
              <w:rPr>
                <w:noProof/>
                <w:webHidden/>
              </w:rPr>
              <w:t>2</w:t>
            </w:r>
            <w:r w:rsidR="00C27A2F">
              <w:rPr>
                <w:noProof/>
                <w:webHidden/>
              </w:rPr>
              <w:fldChar w:fldCharType="end"/>
            </w:r>
          </w:hyperlink>
        </w:p>
        <w:p w14:paraId="6F6CCC6E" w14:textId="5997F19E"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Pr>
                <w:noProof/>
                <w:webHidden/>
              </w:rPr>
              <w:t>2</w:t>
            </w:r>
            <w:r>
              <w:rPr>
                <w:noProof/>
                <w:webHidden/>
              </w:rPr>
              <w:fldChar w:fldCharType="end"/>
            </w:r>
          </w:hyperlink>
        </w:p>
        <w:p w14:paraId="3BEB7FF6" w14:textId="3BA90B46"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Pr>
                <w:noProof/>
                <w:webHidden/>
              </w:rPr>
              <w:t>5</w:t>
            </w:r>
            <w:r>
              <w:rPr>
                <w:noProof/>
                <w:webHidden/>
              </w:rPr>
              <w:fldChar w:fldCharType="end"/>
            </w:r>
          </w:hyperlink>
        </w:p>
        <w:p w14:paraId="5498DEB3" w14:textId="452611CA"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Pr>
                <w:noProof/>
                <w:webHidden/>
              </w:rPr>
              <w:t>5</w:t>
            </w:r>
            <w:r>
              <w:rPr>
                <w:noProof/>
                <w:webHidden/>
              </w:rPr>
              <w:fldChar w:fldCharType="end"/>
            </w:r>
          </w:hyperlink>
        </w:p>
        <w:p w14:paraId="07A46D2C" w14:textId="726893CB"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Pr>
                <w:noProof/>
                <w:webHidden/>
              </w:rPr>
              <w:t>7</w:t>
            </w:r>
            <w:r>
              <w:rPr>
                <w:noProof/>
                <w:webHidden/>
              </w:rPr>
              <w:fldChar w:fldCharType="end"/>
            </w:r>
          </w:hyperlink>
        </w:p>
        <w:p w14:paraId="49FCD2ED" w14:textId="201CD5CE"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Pr>
                <w:noProof/>
                <w:webHidden/>
              </w:rPr>
              <w:t>7</w:t>
            </w:r>
            <w:r>
              <w:rPr>
                <w:noProof/>
                <w:webHidden/>
              </w:rPr>
              <w:fldChar w:fldCharType="end"/>
            </w:r>
          </w:hyperlink>
        </w:p>
        <w:p w14:paraId="0334B2CE" w14:textId="5E12637F"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Pr>
                <w:noProof/>
                <w:webHidden/>
              </w:rPr>
              <w:t>8</w:t>
            </w:r>
            <w:r>
              <w:rPr>
                <w:noProof/>
                <w:webHidden/>
              </w:rPr>
              <w:fldChar w:fldCharType="end"/>
            </w:r>
          </w:hyperlink>
        </w:p>
        <w:p w14:paraId="17BC411C" w14:textId="028AA8C2"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Pr>
                <w:noProof/>
                <w:webHidden/>
              </w:rPr>
              <w:t>8</w:t>
            </w:r>
            <w:r>
              <w:rPr>
                <w:noProof/>
                <w:webHidden/>
              </w:rPr>
              <w:fldChar w:fldCharType="end"/>
            </w:r>
          </w:hyperlink>
        </w:p>
        <w:p w14:paraId="2C1A9276" w14:textId="5FB8E6DF"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Pr>
                <w:noProof/>
                <w:webHidden/>
              </w:rPr>
              <w:t>8</w:t>
            </w:r>
            <w:r>
              <w:rPr>
                <w:noProof/>
                <w:webHidden/>
              </w:rPr>
              <w:fldChar w:fldCharType="end"/>
            </w:r>
          </w:hyperlink>
        </w:p>
        <w:p w14:paraId="127187B2" w14:textId="20B21CF8"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Pr>
                <w:noProof/>
                <w:webHidden/>
              </w:rPr>
              <w:t>8</w:t>
            </w:r>
            <w:r>
              <w:rPr>
                <w:noProof/>
                <w:webHidden/>
              </w:rPr>
              <w:fldChar w:fldCharType="end"/>
            </w:r>
          </w:hyperlink>
        </w:p>
        <w:p w14:paraId="286F6E70" w14:textId="72A02B8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Pr>
                <w:noProof/>
                <w:webHidden/>
              </w:rPr>
              <w:t>8</w:t>
            </w:r>
            <w:r>
              <w:rPr>
                <w:noProof/>
                <w:webHidden/>
              </w:rPr>
              <w:fldChar w:fldCharType="end"/>
            </w:r>
          </w:hyperlink>
        </w:p>
        <w:p w14:paraId="55EC900F" w14:textId="5B48EE96"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Pr>
                <w:noProof/>
                <w:webHidden/>
              </w:rPr>
              <w:t>8</w:t>
            </w:r>
            <w:r>
              <w:rPr>
                <w:noProof/>
                <w:webHidden/>
              </w:rPr>
              <w:fldChar w:fldCharType="end"/>
            </w:r>
          </w:hyperlink>
        </w:p>
        <w:p w14:paraId="6F5F7353" w14:textId="4C710444"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Pr>
                <w:noProof/>
                <w:webHidden/>
              </w:rPr>
              <w:t>8</w:t>
            </w:r>
            <w:r>
              <w:rPr>
                <w:noProof/>
                <w:webHidden/>
              </w:rPr>
              <w:fldChar w:fldCharType="end"/>
            </w:r>
          </w:hyperlink>
        </w:p>
        <w:p w14:paraId="3BD83C3A" w14:textId="4D6D5A86"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Pr>
                <w:noProof/>
                <w:webHidden/>
              </w:rPr>
              <w:t>8</w:t>
            </w:r>
            <w:r>
              <w:rPr>
                <w:noProof/>
                <w:webHidden/>
              </w:rPr>
              <w:fldChar w:fldCharType="end"/>
            </w:r>
          </w:hyperlink>
        </w:p>
        <w:p w14:paraId="718B4752" w14:textId="053785D0"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Pr>
                <w:noProof/>
                <w:webHidden/>
              </w:rPr>
              <w:t>10</w:t>
            </w:r>
            <w:r>
              <w:rPr>
                <w:noProof/>
                <w:webHidden/>
              </w:rPr>
              <w:fldChar w:fldCharType="end"/>
            </w:r>
          </w:hyperlink>
        </w:p>
        <w:p w14:paraId="073C1538" w14:textId="4CDE0CF2"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Pr>
                <w:noProof/>
                <w:webHidden/>
              </w:rPr>
              <w:t>10</w:t>
            </w:r>
            <w:r>
              <w:rPr>
                <w:noProof/>
                <w:webHidden/>
              </w:rPr>
              <w:fldChar w:fldCharType="end"/>
            </w:r>
          </w:hyperlink>
        </w:p>
        <w:p w14:paraId="2706C5B6" w14:textId="0188C98D"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Pr>
                <w:noProof/>
                <w:webHidden/>
              </w:rPr>
              <w:t>11</w:t>
            </w:r>
            <w:r>
              <w:rPr>
                <w:noProof/>
                <w:webHidden/>
              </w:rPr>
              <w:fldChar w:fldCharType="end"/>
            </w:r>
          </w:hyperlink>
        </w:p>
        <w:p w14:paraId="49DB8BB7" w14:textId="231F006D"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Pr>
                <w:noProof/>
                <w:webHidden/>
              </w:rPr>
              <w:t>11</w:t>
            </w:r>
            <w:r>
              <w:rPr>
                <w:noProof/>
                <w:webHidden/>
              </w:rPr>
              <w:fldChar w:fldCharType="end"/>
            </w:r>
          </w:hyperlink>
        </w:p>
        <w:p w14:paraId="068BD8F4" w14:textId="3F50B5A3"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Pr>
                <w:noProof/>
                <w:webHidden/>
              </w:rPr>
              <w:t>11</w:t>
            </w:r>
            <w:r>
              <w:rPr>
                <w:noProof/>
                <w:webHidden/>
              </w:rPr>
              <w:fldChar w:fldCharType="end"/>
            </w:r>
          </w:hyperlink>
        </w:p>
        <w:p w14:paraId="3E0ECA94" w14:textId="565F5B8D"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Pr>
                <w:noProof/>
                <w:webHidden/>
              </w:rPr>
              <w:t>11</w:t>
            </w:r>
            <w:r>
              <w:rPr>
                <w:noProof/>
                <w:webHidden/>
              </w:rPr>
              <w:fldChar w:fldCharType="end"/>
            </w:r>
          </w:hyperlink>
        </w:p>
        <w:p w14:paraId="587E639C" w14:textId="1F660616"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Pr>
                <w:noProof/>
                <w:webHidden/>
              </w:rPr>
              <w:t>11</w:t>
            </w:r>
            <w:r>
              <w:rPr>
                <w:noProof/>
                <w:webHidden/>
              </w:rPr>
              <w:fldChar w:fldCharType="end"/>
            </w:r>
          </w:hyperlink>
        </w:p>
        <w:p w14:paraId="03C03B55" w14:textId="4858EC54"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Pr>
                <w:noProof/>
                <w:webHidden/>
              </w:rPr>
              <w:t>12</w:t>
            </w:r>
            <w:r>
              <w:rPr>
                <w:noProof/>
                <w:webHidden/>
              </w:rPr>
              <w:fldChar w:fldCharType="end"/>
            </w:r>
          </w:hyperlink>
        </w:p>
        <w:p w14:paraId="00B0CF53" w14:textId="413C39C9"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Pr>
                <w:noProof/>
                <w:webHidden/>
              </w:rPr>
              <w:t>12</w:t>
            </w:r>
            <w:r>
              <w:rPr>
                <w:noProof/>
                <w:webHidden/>
              </w:rPr>
              <w:fldChar w:fldCharType="end"/>
            </w:r>
          </w:hyperlink>
        </w:p>
        <w:p w14:paraId="1A0E5369" w14:textId="0D234330"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Pr>
                <w:noProof/>
                <w:webHidden/>
              </w:rPr>
              <w:t>12</w:t>
            </w:r>
            <w:r>
              <w:rPr>
                <w:noProof/>
                <w:webHidden/>
              </w:rPr>
              <w:fldChar w:fldCharType="end"/>
            </w:r>
          </w:hyperlink>
        </w:p>
        <w:p w14:paraId="32A295B9" w14:textId="3BBE8DCD"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Pr>
                <w:noProof/>
                <w:webHidden/>
              </w:rPr>
              <w:t>12</w:t>
            </w:r>
            <w:r>
              <w:rPr>
                <w:noProof/>
                <w:webHidden/>
              </w:rPr>
              <w:fldChar w:fldCharType="end"/>
            </w:r>
          </w:hyperlink>
        </w:p>
        <w:p w14:paraId="2256B07D" w14:textId="39F59D41"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Pr>
                <w:noProof/>
                <w:webHidden/>
              </w:rPr>
              <w:t>12</w:t>
            </w:r>
            <w:r>
              <w:rPr>
                <w:noProof/>
                <w:webHidden/>
              </w:rPr>
              <w:fldChar w:fldCharType="end"/>
            </w:r>
          </w:hyperlink>
        </w:p>
        <w:p w14:paraId="72BD782C" w14:textId="45CC1BD5"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Pr>
                <w:noProof/>
                <w:webHidden/>
              </w:rPr>
              <w:t>12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 xml:space="preserve">Like Pressley, State Senator Liz Miranda also centers her “proximally-impacted”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(Fenno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symbolically represent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566F1C">
      <w:pPr>
        <w:spacing w:line="36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9800D5">
      <w:pPr>
        <w:spacing w:line="360" w:lineRule="auto"/>
        <w:ind w:left="720"/>
        <w:rPr>
          <w:rFonts w:ascii="Times New Roman" w:hAnsi="Times New Roman" w:cs="Times New Roman"/>
        </w:rPr>
      </w:pPr>
      <w:r>
        <w:rPr>
          <w:rFonts w:ascii="Times New Roman" w:hAnsi="Times New Roman" w:cs="Times New Roman"/>
        </w:rPr>
        <w:t xml:space="preserve">Thus, while we know [] and [ ], </w:t>
      </w:r>
      <w:r w:rsidR="008804DB">
        <w:rPr>
          <w:rFonts w:ascii="Times New Roman" w:hAnsi="Times New Roman" w:cs="Times New Roman"/>
        </w:rPr>
        <w:t xml:space="preserve">legislators’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DA65F4">
      <w:pPr>
        <w:spacing w:line="360" w:lineRule="auto"/>
        <w:ind w:left="720"/>
        <w:rPr>
          <w:rFonts w:ascii="Times New Roman" w:hAnsi="Times New Roman" w:cs="Times New Roman"/>
        </w:rPr>
      </w:pPr>
      <w:r>
        <w:rPr>
          <w:rFonts w:ascii="Times New Roman" w:hAnsi="Times New Roman" w:cs="Times New Roman"/>
        </w:rPr>
        <w:t>[whether incarcerated people are recognized as constituents at all</w:t>
      </w:r>
      <w:r w:rsidR="00DA65F4">
        <w:rPr>
          <w:rFonts w:ascii="Times New Roman" w:hAnsi="Times New Roman" w:cs="Times New Roman"/>
        </w:rPr>
        <w:t xml:space="preserve"> ;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lastRenderedPageBreak/>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actors in their own right.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r w:rsidR="00941B9C">
        <w:rPr>
          <w:rFonts w:ascii="Times New Roman" w:hAnsi="Times New Roman" w:cs="Times New Roman"/>
        </w:rPr>
        <w:t xml:space="preserve">( )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0B4664">
      <w:pPr>
        <w:rPr>
          <w:u w:val="single"/>
        </w:rPr>
      </w:pPr>
      <w:r w:rsidRPr="00F843D0">
        <w:rPr>
          <w:b/>
          <w:bCs/>
          <w:u w:val="single"/>
        </w:rPr>
        <w:t xml:space="preserve">Paragraph 4: </w:t>
      </w:r>
      <w:r w:rsidRPr="00F843D0">
        <w:rPr>
          <w:u w:val="single"/>
        </w:rPr>
        <w:t>Methods</w:t>
      </w:r>
    </w:p>
    <w:p w14:paraId="47BC13DE" w14:textId="77777777" w:rsidR="00143D48" w:rsidRDefault="00143D48" w:rsidP="00143D48">
      <w:pPr>
        <w:pStyle w:val="ListParagraph"/>
        <w:numPr>
          <w:ilvl w:val="0"/>
          <w:numId w:val="7"/>
        </w:numPr>
      </w:pPr>
      <w:r>
        <w:lastRenderedPageBreak/>
        <w:t>Preview of method 1: weirdos vs impacted – how/what they think CJ pol</w:t>
      </w:r>
    </w:p>
    <w:p w14:paraId="155306D7" w14:textId="77777777" w:rsidR="00143D48" w:rsidRDefault="00143D48" w:rsidP="00143D48">
      <w:pPr>
        <w:pStyle w:val="ListParagraph"/>
        <w:numPr>
          <w:ilvl w:val="0"/>
          <w:numId w:val="7"/>
        </w:numPr>
      </w:pPr>
      <w:r>
        <w:t xml:space="preserve">Preview of method 2: (a) legislators – how many weird, how many impacted (b) who files what (policy responsiveness) </w:t>
      </w:r>
    </w:p>
    <w:p w14:paraId="2D3A1BC1" w14:textId="77777777" w:rsidR="00143D48" w:rsidRDefault="00143D48" w:rsidP="00143D48">
      <w:pPr>
        <w:pStyle w:val="ListParagraph"/>
        <w:numPr>
          <w:ilvl w:val="0"/>
          <w:numId w:val="7"/>
        </w:numPr>
      </w:pPr>
      <w:r>
        <w:t>Preview of method 3:</w:t>
      </w:r>
    </w:p>
    <w:p w14:paraId="2947970D" w14:textId="77777777" w:rsidR="00143D48" w:rsidRDefault="00143D48" w:rsidP="00143D48">
      <w:pPr>
        <w:pStyle w:val="ListParagraph"/>
        <w:numPr>
          <w:ilvl w:val="1"/>
          <w:numId w:val="7"/>
        </w:numPr>
      </w:pPr>
      <w:r>
        <w:t>(a) who says what (symbolic)</w:t>
      </w:r>
    </w:p>
    <w:p w14:paraId="0DC03965" w14:textId="5EF1825B" w:rsidR="00143D48" w:rsidRDefault="00143D48" w:rsidP="00143D48">
      <w:pPr>
        <w:pStyle w:val="ListParagraph"/>
        <w:numPr>
          <w:ilvl w:val="1"/>
          <w:numId w:val="7"/>
        </w:numPr>
      </w:pPr>
      <w:r>
        <w:t xml:space="preserve">(b) apply a coding scheme to 3a and 2b </w:t>
      </w:r>
      <w:r>
        <w:sym w:font="Wingdings" w:char="F0E0"/>
      </w:r>
      <w:r>
        <w:t xml:space="preserve"> how much is substantive/epistemically inclusive/treats as constituencies</w:t>
      </w:r>
    </w:p>
    <w:p w14:paraId="7FDECA95" w14:textId="52CAA43B" w:rsidR="000B4664" w:rsidRDefault="00143D48" w:rsidP="00143D48">
      <w:pPr>
        <w:rPr>
          <w:u w:val="single"/>
        </w:rPr>
      </w:pPr>
      <w:r>
        <w:t xml:space="preserve">Normal paper would have highlight of results </w:t>
      </w:r>
    </w:p>
    <w:p w14:paraId="205D1A06" w14:textId="77777777" w:rsidR="00B4437D" w:rsidRDefault="00B4437D" w:rsidP="00D11123">
      <w:pPr>
        <w:rPr>
          <w:b/>
          <w:bCs/>
          <w:u w:val="single"/>
        </w:rPr>
      </w:pPr>
    </w:p>
    <w:p w14:paraId="793E2845" w14:textId="40884793" w:rsidR="00D11123" w:rsidRPr="006C0245" w:rsidRDefault="00D11123" w:rsidP="00D11123">
      <w:pPr>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D11123">
      <w:pPr>
        <w:rPr>
          <w:u w:val="single"/>
        </w:rPr>
      </w:pPr>
      <w:r w:rsidRPr="00F843D0">
        <w:rPr>
          <w:b/>
          <w:bCs/>
          <w:u w:val="single"/>
        </w:rPr>
        <w:t>Paragraph 6:</w:t>
      </w:r>
      <w:r w:rsidRPr="00F843D0">
        <w:rPr>
          <w:u w:val="single"/>
        </w:rPr>
        <w:t xml:space="preserve"> So What</w:t>
      </w:r>
    </w:p>
    <w:p w14:paraId="4BCE0038" w14:textId="77777777" w:rsidR="0043512D" w:rsidRDefault="0043512D" w:rsidP="00D11123">
      <w:pPr>
        <w:jc w:val="center"/>
        <w:rPr>
          <w:b/>
          <w:bCs/>
        </w:rPr>
      </w:pPr>
    </w:p>
    <w:p w14:paraId="51F3F634" w14:textId="6A90F634" w:rsidR="0077211D" w:rsidRPr="0077211D" w:rsidRDefault="0043512D" w:rsidP="00A56C15">
      <w:pPr>
        <w:pStyle w:val="Heading1"/>
      </w:pPr>
      <w:bookmarkStart w:id="7" w:name="_Toc220591734"/>
      <w:r>
        <w:t xml:space="preserve">II. </w:t>
      </w:r>
      <w:r w:rsidR="0077211D" w:rsidRPr="0077211D">
        <w:t>Theor</w:t>
      </w:r>
      <w:r>
        <w:t>etical Framework</w:t>
      </w:r>
      <w:bookmarkEnd w:id="7"/>
    </w:p>
    <w:p w14:paraId="6F0062B0" w14:textId="59A0FE5D" w:rsidR="00225C10" w:rsidRPr="00246AF1" w:rsidRDefault="00225C10" w:rsidP="00E451D6">
      <w:pPr>
        <w:rPr>
          <w:b/>
          <w:bCs/>
        </w:rPr>
      </w:pPr>
      <w:bookmarkStart w:id="8" w:name="_Toc220591735"/>
      <w:r w:rsidRPr="00246AF1">
        <w:rPr>
          <w:b/>
          <w:bCs/>
        </w:rPr>
        <w:t>P1</w:t>
      </w:r>
    </w:p>
    <w:p w14:paraId="47D2F7B7" w14:textId="4915BCA9" w:rsidR="00E451D6" w:rsidRDefault="00E451D6" w:rsidP="00730171">
      <w:pPr>
        <w:spacing w:line="360" w:lineRule="auto"/>
        <w:ind w:firstLine="720"/>
      </w:pPr>
      <w:r>
        <w:t>Representation is the normative core of democratic theory and evaluation. Political scientists have long understood democracy as not just a set of institutions and procedures, but rather as a system whose legitimacy rests on the degree to which public authority reflects, responds to, and is accountable to the people it represents. Yet there is little consensus about what constitute</w:t>
      </w:r>
      <w:r w:rsidR="002F253B">
        <w:t>s</w:t>
      </w:r>
      <w:r>
        <w:t xml:space="preserve"> good representation – </w:t>
      </w:r>
      <w:r w:rsidR="00730171">
        <w:t>and neither is there consensus on</w:t>
      </w:r>
      <w:r>
        <w:t xml:space="preserve"> how good representation </w:t>
      </w:r>
      <w:r w:rsidR="00730171">
        <w:t>is best</w:t>
      </w:r>
      <w:r>
        <w:t xml:space="preserve"> measured.  </w:t>
      </w:r>
      <w:r w:rsidR="00730171">
        <w:t>Broadly [/most abstracted version of this landscape], political scientists</w:t>
      </w:r>
      <w:r>
        <w:t xml:space="preserve"> </w:t>
      </w:r>
      <w:r w:rsidR="00730171">
        <w:t>diverge over whether “upstream” or “downstream” dimensions matter most: matters of institutional design and incentives on the one hand (CITE), or matters of outcomes, including in the policy process, its outcomes, and responsiveness to constituents on the other (CITE)</w:t>
      </w:r>
      <w:r w:rsidR="002F253B">
        <w:t xml:space="preserve">. </w:t>
      </w:r>
      <w:r w:rsidR="00730171">
        <w:t xml:space="preserve">The question of </w:t>
      </w:r>
      <w:r w:rsidR="00730171">
        <w:rPr>
          <w:i/>
          <w:iCs/>
        </w:rPr>
        <w:t>who</w:t>
      </w:r>
      <w:r w:rsidR="00730171">
        <w:t xml:space="preserve"> legislators are and the degree to which legislators’ characteristics are congruent with constituents’ – or descriptive representation -- </w:t>
      </w:r>
      <w:r w:rsidR="002F253B">
        <w:t xml:space="preserve"> </w:t>
      </w:r>
      <w:r w:rsidR="00730171">
        <w:t xml:space="preserve">is a </w:t>
      </w:r>
      <w:r w:rsidR="002F253B">
        <w:t>first</w:t>
      </w:r>
      <w:r w:rsidR="00246AF1">
        <w:t xml:space="preserve"> empirical question</w:t>
      </w:r>
      <w:r w:rsidR="00730171">
        <w:t xml:space="preserve"> required for understanding upstream or downstream effects</w:t>
      </w:r>
      <w:r w:rsidR="002F253B">
        <w:t>.</w:t>
      </w:r>
      <w:r w:rsidR="00246AF1">
        <w:t xml:space="preserve"> In other words, it</w:t>
      </w:r>
      <w:r w:rsidR="002F253B">
        <w:t xml:space="preserve"> is necessary to understand who is </w:t>
      </w:r>
      <w:r w:rsidR="00246AF1">
        <w:t>present</w:t>
      </w:r>
      <w:r w:rsidR="002F253B">
        <w:t xml:space="preserve"> in democratic institutions in order to understand how well these people and institutions operate. </w:t>
      </w:r>
    </w:p>
    <w:p w14:paraId="474C99BA" w14:textId="50569D29" w:rsidR="002F253B" w:rsidRPr="00246AF1" w:rsidRDefault="00225C10" w:rsidP="00E451D6">
      <w:pPr>
        <w:rPr>
          <w:b/>
          <w:bCs/>
        </w:rPr>
      </w:pPr>
      <w:r w:rsidRPr="00246AF1">
        <w:rPr>
          <w:b/>
          <w:bCs/>
        </w:rPr>
        <w:lastRenderedPageBreak/>
        <w:t>P2</w:t>
      </w:r>
    </w:p>
    <w:p w14:paraId="6FF089FA" w14:textId="312567CF" w:rsidR="00225C10" w:rsidRDefault="00A45569" w:rsidP="00730171">
      <w:pPr>
        <w:ind w:firstLine="720"/>
      </w:pPr>
      <w:r>
        <w:t>T</w:t>
      </w:r>
      <w:r w:rsidR="00CF121A">
        <w:t>he extent to which elected officials resemble the populations they govern – along social dimensions of race, gender, and class –</w:t>
      </w:r>
      <w:r w:rsidR="00225C10">
        <w:t xml:space="preserve"> </w:t>
      </w:r>
      <w:r>
        <w:t xml:space="preserve">was first taken up in the 1950s (Matthews 1954). </w:t>
      </w:r>
      <w:r w:rsidR="002E11D9">
        <w:t xml:space="preserve">Since, scholars have examined various legislator characteristics, most commonly occupation, education, wealth, income, and class or economic status of a legislators’ family of origin, as well as race and gender (CITE). </w:t>
      </w:r>
      <w:r>
        <w:t xml:space="preserve">While it is analytically separable as a baseline indicator of democratic inclusion, </w:t>
      </w:r>
      <w:r w:rsidR="002E11D9">
        <w:t>and many of these categories have prompted their own measurement debates (CITE), descriptive representation</w:t>
      </w:r>
      <w:r>
        <w:t xml:space="preserve"> is also theorized to be causally linked to both various upstream and downstream matters.  </w:t>
      </w:r>
      <w:r w:rsidR="00730171">
        <w:t xml:space="preserve"> </w:t>
      </w:r>
      <w:r>
        <w:t>[</w:t>
      </w:r>
      <w:r w:rsidR="002E11D9">
        <w:t xml:space="preserve">Upstream: </w:t>
      </w:r>
      <w:r>
        <w:t xml:space="preserve">institutional contexts, state policy differences, changes across time; gatekeeping by parties, gendered candidate recruitment, masculinized political institutions, persistant bias that elections alone may not create (Carnes &amp; Lupu, Clayton)]. [make sure to then likely distinguish downstream effects by process and outcome]. </w:t>
      </w:r>
    </w:p>
    <w:p w14:paraId="0776187C" w14:textId="05E1A190" w:rsidR="002E11D9" w:rsidRDefault="002E11D9" w:rsidP="00730171">
      <w:pPr>
        <w:ind w:firstLine="720"/>
      </w:pPr>
      <w:r>
        <w:t>Downstream</w:t>
      </w:r>
    </w:p>
    <w:p w14:paraId="4B299E8D" w14:textId="1F2E3309" w:rsidR="00225C10" w:rsidRDefault="00CF121A" w:rsidP="00E451D6">
      <w:r>
        <w:t xml:space="preserve"> is thought to matter not </w:t>
      </w:r>
      <w:r w:rsidR="00225C10">
        <w:t xml:space="preserve">only </w:t>
      </w:r>
      <w:r>
        <w:t xml:space="preserve">because shared identity guarantees agreement or shared preference, but because political institutions are structured such that they systematically advantage some groups perspectives over others. </w:t>
      </w:r>
      <w:r w:rsidR="00246AF1">
        <w:t>Moreover, d</w:t>
      </w:r>
      <w:r>
        <w:t xml:space="preserve">escriptive representation is thought to influence how problems are defined, which voices are heard, and which claims are treated as politically relevant. </w:t>
      </w:r>
      <w:r w:rsidR="00225C10">
        <w:t>When legislatures are descriptively skewed, representation risks reflecting the social positions and interpretive fram</w:t>
      </w:r>
      <w:r w:rsidR="00246AF1">
        <w:t>e</w:t>
      </w:r>
      <w:r w:rsidR="00225C10">
        <w:t xml:space="preserve">works of those most likely to enter office, rather than the full range of experiences present in the polity. </w:t>
      </w:r>
    </w:p>
    <w:p w14:paraId="25C974E4" w14:textId="7F1E5E6C" w:rsidR="00225C10" w:rsidRDefault="00225C10" w:rsidP="00225C10">
      <w:pPr>
        <w:pStyle w:val="ListParagraph"/>
        <w:numPr>
          <w:ilvl w:val="0"/>
          <w:numId w:val="23"/>
        </w:numPr>
      </w:pPr>
      <w:r>
        <w:t>Emphasize congruence here</w:t>
      </w:r>
    </w:p>
    <w:p w14:paraId="128A7CBE" w14:textId="33D406D3" w:rsidR="00225C10" w:rsidRDefault="00225C10" w:rsidP="00225C10">
      <w:pPr>
        <w:pStyle w:val="ListParagraph"/>
        <w:numPr>
          <w:ilvl w:val="0"/>
          <w:numId w:val="23"/>
        </w:numPr>
      </w:pPr>
      <w:r>
        <w:t>Then responsiveness, inclusion</w:t>
      </w:r>
    </w:p>
    <w:p w14:paraId="47D8A320" w14:textId="3700A33E" w:rsidR="00225C10" w:rsidRDefault="00225C10" w:rsidP="00225C10">
      <w:pPr>
        <w:pStyle w:val="ListParagraph"/>
        <w:numPr>
          <w:ilvl w:val="0"/>
          <w:numId w:val="23"/>
        </w:numPr>
      </w:pPr>
      <w:r>
        <w:t>Then (below) institutional)</w:t>
      </w:r>
    </w:p>
    <w:p w14:paraId="3A7FC296" w14:textId="4A68B204" w:rsidR="00225C10" w:rsidRDefault="00225C10" w:rsidP="00E451D6">
      <w:r>
        <w:t>In other words, d</w:t>
      </w:r>
      <w:r w:rsidR="00CF121A">
        <w:t xml:space="preserve">escriptive representation </w:t>
      </w:r>
      <w:r>
        <w:t xml:space="preserve">may act as a diagnostic for institutional bias: the degree to which patterns of political recruitment, agenda-setting, and responsiveness are shaped by who is present in decision-making spaces, independent of formal rules of inclusion. </w:t>
      </w:r>
    </w:p>
    <w:p w14:paraId="3577A59E" w14:textId="2E835346" w:rsidR="00CF121A" w:rsidRDefault="00CF121A" w:rsidP="00E451D6">
      <w:r>
        <w:t xml:space="preserve">It may shape representation by altering whose experiences form legislative deliberation, signaling inclusion and political membership to marginalized groups, and by changing the incentives and interpretive frames through which representatives understand </w:t>
      </w:r>
      <w:r w:rsidR="00225C10">
        <w:t>their</w:t>
      </w:r>
      <w:r>
        <w:t xml:space="preserve"> constituencies. Importantly, descriptive representation is not theorized as sufficient for democratic responsiveness, nor as uniformly beneficial across contexts. Rather it functions as one normative benchmark among others – useful precisely because it </w:t>
      </w:r>
      <w:r>
        <w:lastRenderedPageBreak/>
        <w:t xml:space="preserve">highlights when political </w:t>
      </w:r>
      <w:r w:rsidR="00225C10">
        <w:t>institutions</w:t>
      </w:r>
      <w:r>
        <w:t xml:space="preserve"> are systematically skewed away from the lived realities of the populations they govern. </w:t>
      </w:r>
    </w:p>
    <w:p w14:paraId="3898D7F5" w14:textId="77777777" w:rsidR="00225C10" w:rsidRDefault="00225C10" w:rsidP="00E451D6"/>
    <w:p w14:paraId="4A0D5D09" w14:textId="7AD04D01" w:rsidR="00CF121A" w:rsidRPr="00246AF1" w:rsidRDefault="00225C10" w:rsidP="00E451D6">
      <w:pPr>
        <w:rPr>
          <w:b/>
          <w:bCs/>
        </w:rPr>
      </w:pPr>
      <w:r w:rsidRPr="00246AF1">
        <w:rPr>
          <w:b/>
          <w:bCs/>
        </w:rPr>
        <w:t xml:space="preserve">P3 – Empirical </w:t>
      </w:r>
    </w:p>
    <w:p w14:paraId="6D18ECA3" w14:textId="4BCECB32" w:rsidR="00225C10" w:rsidRDefault="002A3948" w:rsidP="00790F56">
      <w:pPr>
        <w:spacing w:line="360" w:lineRule="auto"/>
        <w:ind w:firstLine="720"/>
      </w:pPr>
      <w:r>
        <w:t xml:space="preserve">Indeed, a large literature examines descriptive representation as a core indicator of democratic </w:t>
      </w:r>
      <w:r w:rsidR="00246AF1">
        <w:t>inclusion</w:t>
      </w:r>
      <w:r>
        <w:t xml:space="preserve"> and institutional performance. Across contexts, scholars have measured descriptive representation using legislators’ social identities and backgrounds, including race, gender, ethnicity, and economic class. They have established substantial and </w:t>
      </w:r>
      <w:r w:rsidR="00246AF1">
        <w:t>persistent</w:t>
      </w:r>
      <w:r>
        <w:t xml:space="preserve"> gaps between the composition of political institutions, and publics they represent</w:t>
      </w:r>
      <w:r w:rsidR="00246AF1">
        <w:t xml:space="preserve"> -- imbalances which indicate upstream causes and downstream effects. </w:t>
      </w:r>
      <w:r>
        <w:t>When groups are underrepresented, legislatures devote less agenda attention to their interests and concerns, particularly in domains where representatives have discretion over speech, bill sponsorship, and issue prioritization. Descriptive representation is also linked to non-policy outcomes that are central do democratic functioning: perceptions of institutional legitimacy, trust between constituents and representatives and political engagement. However, these effects are neither automatic nor uniform. Institutional constraints, party discipline, and gatekeeping can mute policy change even when descriptive representation improves, and suggesting that the effects of descriptive representation interact with sedimented cultures and norms. As a result, scholars increasingly emphasize that descriptive representation’s import is not limited to its translation to direct policy outputs. Rather, they study it’s influence on agenda-setting, symbolic recognition, and the relational ties that structure participation and responsiveness. This body of evidence establishes descriptive representation as a widely used empirical measure of democratic inc</w:t>
      </w:r>
      <w:r w:rsidR="00AF25FC">
        <w:t>l</w:t>
      </w:r>
      <w:r>
        <w:t xml:space="preserve">usion, while pointing to important variation in when and for whom it matters – variation that motivates closer attention to </w:t>
      </w:r>
      <w:r w:rsidR="00AF25FC">
        <w:t xml:space="preserve">cases in which political exclusion is especially durable or institutionally reinforced. </w:t>
      </w:r>
    </w:p>
    <w:p w14:paraId="38F9F1D9" w14:textId="77777777" w:rsidR="00E31CA4" w:rsidRPr="00E31CA4" w:rsidRDefault="00E31CA4" w:rsidP="00E31CA4">
      <w:pPr>
        <w:spacing w:line="360" w:lineRule="auto"/>
        <w:ind w:firstLine="720"/>
        <w:rPr>
          <w:b/>
          <w:bCs/>
        </w:rPr>
      </w:pPr>
      <w:r w:rsidRPr="00E31CA4">
        <w:rPr>
          <w:b/>
          <w:bCs/>
        </w:rPr>
        <w:t>Draft: P3 – Empirical Paragraph on Descriptive Representation</w:t>
      </w:r>
    </w:p>
    <w:p w14:paraId="67BFED18" w14:textId="77777777" w:rsidR="00E31CA4" w:rsidRPr="00E31CA4" w:rsidRDefault="00E31CA4" w:rsidP="00E31CA4">
      <w:pPr>
        <w:spacing w:line="360" w:lineRule="auto"/>
        <w:ind w:firstLine="720"/>
      </w:pPr>
      <w:r w:rsidRPr="00E31CA4">
        <w:lastRenderedPageBreak/>
        <w:t>A large empirical literature establishes that who holds office matters — both as an indicator of democratic inclusion and as a determinant of how institutions function. Across democracies, scholars have documented substantial and persistent gaps between the composition of political institutions and the publics they represent. Elected officials are almost always wealthier, more educated, and more likely to come from white-collar occupations than the citizens who elect them (Carnes 2012); in Congress, less than two percent of the average representative's pre-congressional career was spent in working-class jobs, against a labor force that is majority working class (Carnes &amp; Lupu 2015). While Black and minority descriptive representation has made gains since the passage of the Voting Rights Act, Congress and state legislatures fall well short of proportional representation (McClain &amp; Carew 2017; Pew 2023), with state legislatures composed of only roughly 10.5% Black and 6.3% Hispanic elected officials. These imbalances point to upstream institutional causes — party gatekeeping, gendered and racialized candidate recruitment, masculinized institutional cultures, and persistent bias that elections alone do not correct (Carnes &amp; Lupu 2023; Clayton 2021) — and to downstream consequences that the literature has increasingly differentiated.</w:t>
      </w:r>
    </w:p>
    <w:p w14:paraId="48F794B3" w14:textId="77777777" w:rsidR="00E31CA4" w:rsidRPr="00E31CA4" w:rsidRDefault="00E31CA4" w:rsidP="00E31CA4">
      <w:pPr>
        <w:spacing w:line="360" w:lineRule="auto"/>
        <w:ind w:firstLine="720"/>
      </w:pPr>
      <w:r w:rsidRPr="00E31CA4">
        <w:t xml:space="preserve">On the outcome side, descriptive representation is associated with substantive policy gains for underrepresented groups, particularly in moments of policy innovation or when issues are in early stages of redress (Bratton &amp; Ray 2002). Whether because of differences in self-interest, ideology, or social networks, economically advantaged legislators tend to hold views congruent with economically advantaged citizens, and these legislators may be better positioned to advance their preferred policies (Carnes &amp; Lupu 2023; Meltzer &amp; Richard 1981; Piketty 1995). Descriptive representation also shapes legislative responsiveness more broadly: legislators discriminate in constituent service on the basis of race (Butler &amp; Broockman 2011), and Black constituents consistently report feeling better represented — having a stronger say in government actions — when represented by Black legislators (Gleason &amp; Stout 2014). On the process side, descriptive representation alters whose concerns receive institutional attention. Bills supported by civil rights groups are more likely to receive committee markup when committees include </w:t>
      </w:r>
      <w:r w:rsidRPr="00E31CA4">
        <w:lastRenderedPageBreak/>
        <w:t>more Black and Latino members (Minta 2011), and the election of Black women to Congress has facilitated the crystallization of interests that had previously lacked institutional articulation (Brown, Clark, Mahoney, &amp; Strawbridge 2023; Brown 2014). These process effects — in agenda-setting, issue prioritization, and deliberative framing — operate even when institutional constraints, party discipline, or gatekeeping mute direct policy change, suggesting that descriptive representation shapes the terms of legislative debate independent of its translation into policy outputs.</w:t>
      </w:r>
    </w:p>
    <w:p w14:paraId="5D106ED8" w14:textId="77777777" w:rsidR="00E31CA4" w:rsidRPr="00E31CA4" w:rsidRDefault="00E31CA4" w:rsidP="00E31CA4">
      <w:pPr>
        <w:spacing w:line="360" w:lineRule="auto"/>
        <w:ind w:firstLine="720"/>
      </w:pPr>
      <w:r w:rsidRPr="00E31CA4">
        <w:t>A third category of effects extends beyond policy and process to what might be termed symbolic and relational dimensions: the ways in which who governs shapes perceptions of institutional legitimacy, political trust, and civic inclusion. Black descriptive representation generates political empowerment and participation among Black citizens (Bobo &amp; Gilliam 1990; Clark 2019). Greater presence of working-class legislators is associated with increased trust in political institutions in Latin American contexts (Carnes &amp; Lupu 2023), and women's descriptive representation is linked to trust in democratic institutions among women (Clayton 2021). These effects — trust, engagement, perceived standing — are central to democratic functioning yet are neither automatic nor uniform. They interact with sedimented institutional cultures and norms, and they vary by context in ways that motivate closer attention to when and for whom descriptive representation matters most. It is to this variation that the theory now turns.</w:t>
      </w:r>
    </w:p>
    <w:p w14:paraId="1EA7474B" w14:textId="77777777" w:rsidR="00E31CA4" w:rsidRDefault="00E31CA4" w:rsidP="00790F56">
      <w:pPr>
        <w:spacing w:line="360" w:lineRule="auto"/>
        <w:ind w:firstLine="720"/>
      </w:pPr>
    </w:p>
    <w:p w14:paraId="1F6856D6" w14:textId="77777777" w:rsidR="00AF25FC" w:rsidRDefault="00AF25FC" w:rsidP="00E451D6"/>
    <w:p w14:paraId="69B2714B" w14:textId="3AC10AE7" w:rsidR="00225C10" w:rsidRPr="00246AF1" w:rsidRDefault="00225C10" w:rsidP="00E451D6">
      <w:pPr>
        <w:rPr>
          <w:b/>
          <w:bCs/>
        </w:rPr>
      </w:pPr>
      <w:r w:rsidRPr="00246AF1">
        <w:rPr>
          <w:b/>
          <w:bCs/>
        </w:rPr>
        <w:t>P4</w:t>
      </w:r>
      <w:r w:rsidR="00AF25FC" w:rsidRPr="00246AF1">
        <w:rPr>
          <w:b/>
          <w:bCs/>
        </w:rPr>
        <w:t xml:space="preserve"> - Cases</w:t>
      </w:r>
    </w:p>
    <w:p w14:paraId="3533795C" w14:textId="77777777" w:rsidR="002E11D9" w:rsidRDefault="00CF121A" w:rsidP="008341D1">
      <w:pPr>
        <w:spacing w:line="360" w:lineRule="auto"/>
      </w:pPr>
      <w:r>
        <w:t xml:space="preserve"> </w:t>
      </w:r>
      <w:r w:rsidR="00A45569">
        <w:tab/>
        <w:t>Yet, not all social categories merit scrutiny for congruence</w:t>
      </w:r>
      <w:r w:rsidR="008341D1">
        <w:t xml:space="preserve"> or indicate representational failure when absent. Moreover, characteristics that merit descriptive representation may not apply in all policymaking contexts</w:t>
      </w:r>
      <w:r w:rsidR="00A45569">
        <w:t xml:space="preserve">. </w:t>
      </w:r>
      <w:r w:rsidR="008341D1">
        <w:t xml:space="preserve">As </w:t>
      </w:r>
      <w:r w:rsidR="00AF25FC">
        <w:t xml:space="preserve">Mansbridge </w:t>
      </w:r>
      <w:r w:rsidR="008341D1">
        <w:t>(1999) famously n</w:t>
      </w:r>
      <w:r w:rsidR="00AF25FC">
        <w:t>otes, the representation of left-handed individuals is probably not a critical measure of democratic health</w:t>
      </w:r>
      <w:r w:rsidR="008341D1">
        <w:t>, except in “deliberation when their perspectives are relevant to a decision (e.g., in decisions regarding the design of surgical instruments” (635)</w:t>
      </w:r>
      <w:r w:rsidR="00AF25FC">
        <w:t xml:space="preserve">. </w:t>
      </w:r>
      <w:r w:rsidR="002E11D9">
        <w:t xml:space="preserve">The </w:t>
      </w:r>
      <w:r w:rsidR="002E11D9">
        <w:lastRenderedPageBreak/>
        <w:t xml:space="preserve">question, then, is not whether descriptive representation is universally required, but the conditions under which it becomes particularly important – and for whom. </w:t>
      </w:r>
    </w:p>
    <w:p w14:paraId="150EC411" w14:textId="21EF9CEB" w:rsidR="002E11D9" w:rsidRDefault="002E11D9" w:rsidP="008341D1">
      <w:pPr>
        <w:spacing w:line="360" w:lineRule="auto"/>
      </w:pPr>
      <w:r>
        <w:tab/>
        <w:t>Mansbridge (1999) offers a foundational contingent framework that identifies four historically specific contexts. Two enhance substantive representation – downstream process and policy effects -  by improving the quality of deliberation. Namely, in contexts of communicative distrust between dominant and subordinate groups, histories of dominance breed inattention from the powerful and distrust from the marginalized, such that non-descriptive representatives may be unable to serve as effective surrogates. Here, shared experience facilitates the vertical communication between representatives and constituents on which responsiveness depends. In contexts of uncrystallized interests – where issues are new to the political agenda and parties and candidates have not organized around them – descriptive representatives draw on shared experiences to navigate unpredictable issues through horizontal communication among legislators. Mansbridge also notes upstream causes of representational congruence. First, when a group’s “ability to rule” has been historically questioned, particularly through legal exclusion from voting or governing, the absence of group members from office reinforces the social meaning that such persons are unfit to rule; proportional presence disrupts that message, and Mansbridge argues this matters more for changing the psychology of dominant groups than for providing role models to subordinate ones. Finally, in contexts of low de facto legitimacy, seeing members of one’s group – for constituents – governing enhances the empirical legitimacy of the polity itself: the sense that one’s voice was present in deliberation, even if policy outcomes do not mirror their preferences or interests.</w:t>
      </w:r>
    </w:p>
    <w:p w14:paraId="0AE62EBF" w14:textId="117DB205" w:rsidR="002E11D9" w:rsidRPr="00816D08" w:rsidRDefault="002E11D9" w:rsidP="00816D08">
      <w:pPr>
        <w:spacing w:line="360" w:lineRule="auto"/>
      </w:pPr>
      <w:r>
        <w:tab/>
        <w:t xml:space="preserve">More narrowly, Mansbridge offers four criteria: groups that are proportionally underrepresented relatie to their population share, whose members consider themselves unable to be adequately represented by non-group members, and where evidence indicates that dominant groups have historically made it difficult or impossible for the group to represent itself. Here, a history of legal exclusion from the vote is a particularly strong indicator, which scholars of racial </w:t>
      </w:r>
      <w:r w:rsidR="00816D08">
        <w:t xml:space="preserve">congruence have underscored (UNC, Brown). Similarly, scholars of gender politics have produced a burgeoning literature, and both have </w:t>
      </w:r>
      <w:r w:rsidR="00816D08">
        <w:lastRenderedPageBreak/>
        <w:t>also supported Mansbridge’s position that descriptive representation helps to mollify comm</w:t>
      </w:r>
      <w:r w:rsidR="00816D08" w:rsidRPr="00816D08">
        <w:t xml:space="preserve">unicative distrust  (Gay 1996, Haynes 1997 – tho not gender, reword). </w:t>
      </w:r>
    </w:p>
    <w:p w14:paraId="6F1D760C" w14:textId="77777777" w:rsidR="00816D08" w:rsidRPr="00816D08" w:rsidRDefault="00816D08" w:rsidP="00816D08">
      <w:pPr>
        <w:pStyle w:val="font-claude-response-body"/>
        <w:spacing w:line="360" w:lineRule="auto"/>
        <w:rPr>
          <w:rFonts w:asciiTheme="minorHAnsi" w:hAnsiTheme="minorHAnsi"/>
        </w:rPr>
      </w:pPr>
      <w:r w:rsidRPr="00816D08">
        <w:rPr>
          <w:rFonts w:asciiTheme="minorHAnsi" w:hAnsiTheme="minorHAnsi"/>
        </w:rPr>
        <w:tab/>
        <w:t xml:space="preserve">Feminist and comparative scholars have extended this framework. Clayton (2021) </w:t>
      </w:r>
      <w:r w:rsidRPr="00816D08">
        <w:rPr>
          <w:rFonts w:asciiTheme="minorHAnsi" w:hAnsiTheme="minorHAnsi"/>
        </w:rPr>
        <w:t>Clayton (2021) argues that descriptive representation is normatively defensible for women even before we reach the question of policy effects. When equality of formal opportunity does not produce equality of presence — because of sedimented institutional cultures, persistent bias, and structural gatekeeping — that absence is itself an indicator of representational distortion, not merely a precondition for it. This reframing, echoed in arguments about racial and class underrepresentation (Carnes &amp; Lupu 2023; Phillips 1995; Dahlerup 2007), positions the inclusion of structurally sidelined groups as a matter of representative justice: procedural democracy does not self-correct when institutional norms and cultures systematically filter who is seen as a viable candidate, whose concerns are treated as politically relevant, and whose presence is perceived as legitimate.</w:t>
      </w:r>
    </w:p>
    <w:p w14:paraId="5846A65D" w14:textId="646DCEF1"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Recent scholarship presses further, suggesting that the conditions Mansbridge identifies may be deeper and more structurally entrenched than her framework alone implies. Pottle (2025) introduces the concept of </w:t>
      </w:r>
      <w:r w:rsidRPr="00816D08">
        <w:rPr>
          <w:rStyle w:val="Emphasis"/>
          <w:rFonts w:asciiTheme="minorHAnsi" w:eastAsiaTheme="majorEastAsia" w:hAnsiTheme="minorHAnsi"/>
        </w:rPr>
        <w:t>testimonial injustice</w:t>
      </w:r>
      <w:r w:rsidRPr="00816D08">
        <w:rPr>
          <w:rFonts w:asciiTheme="minorHAnsi" w:hAnsiTheme="minorHAnsi"/>
        </w:rPr>
        <w:t xml:space="preserve"> to theorize the persistence of communicative distrust. Where Mansbridge describes communicative distrust as a product of historical dominance — a residue that shared experience can bridge — Pottle argues that the breakdown is not merely inherited but actively reproduced through electoral incentives. Legislators face structural pressure to anchor their messaging in the understandings of strategically valuable constituencies — moderate white voters, affluent donors — and the infrastructure of legislative responsiveness (constituent communications processing, meeting access, staff gatekeeping) grants these constituencies disproportionate epistemic authority. Groups constructed as uncredible within this economy of strategic value find their testimony filtered or discounted not because individual legislators are inattentive, but because the electoral connection itself incentivizes inattention. </w:t>
      </w:r>
    </w:p>
    <w:p w14:paraId="29692F4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lastRenderedPageBreak/>
        <w:t xml:space="preserve">Pottle's concept of </w:t>
      </w:r>
      <w:r w:rsidRPr="00816D08">
        <w:rPr>
          <w:rStyle w:val="Emphasis"/>
          <w:rFonts w:asciiTheme="minorHAnsi" w:eastAsiaTheme="majorEastAsia" w:hAnsiTheme="minorHAnsi"/>
        </w:rPr>
        <w:t>hermeneutic injustice</w:t>
      </w:r>
      <w:r w:rsidRPr="00816D08">
        <w:rPr>
          <w:rFonts w:asciiTheme="minorHAnsi" w:hAnsiTheme="minorHAnsi"/>
        </w:rPr>
        <w:t xml:space="preserve"> similarly deepens Mansbridge's account of uncrystallized interests. Mansbridge treats uncrystallized interests as a relatively benign feature of the political landscape — some issues simply have not yet made it onto the agenda, and descriptive representatives are uniquely positioned to introduce them. But Pottle reframes: some interests </w:t>
      </w:r>
      <w:r w:rsidRPr="00816D08">
        <w:rPr>
          <w:rStyle w:val="Emphasis"/>
          <w:rFonts w:asciiTheme="minorHAnsi" w:eastAsiaTheme="majorEastAsia" w:hAnsiTheme="minorHAnsi"/>
        </w:rPr>
        <w:t>appear</w:t>
      </w:r>
      <w:r w:rsidRPr="00816D08">
        <w:rPr>
          <w:rFonts w:asciiTheme="minorHAnsi" w:hAnsiTheme="minorHAnsi"/>
        </w:rPr>
        <w:t xml:space="preserve"> uncrystallized not because they are genuinely new, but because the hermeneutic resources needed to articulate them have been systematically excluded from mainstream political vocabulary — a "mainstream" that is itself defined by the epistemic preferences of advantaged constituencies. Communities facing sustained contact with punitive or redistributive state institutions, for instance, may have developed rich, internally coherent understandings of state power and their relationship to it — articulated political knowledge, shared vocabularies, theories of the state "from below" (Weaver, Prowse, &amp; Piston 2020) — that are not granted standing in elite discourse. These interests appear uncrystallized because the </w:t>
      </w:r>
      <w:r w:rsidRPr="00816D08">
        <w:rPr>
          <w:rStyle w:val="Emphasis"/>
          <w:rFonts w:asciiTheme="minorHAnsi" w:eastAsiaTheme="majorEastAsia" w:hAnsiTheme="minorHAnsi"/>
        </w:rPr>
        <w:t>resonance imperative</w:t>
      </w:r>
      <w:r w:rsidRPr="00816D08">
        <w:rPr>
          <w:rFonts w:asciiTheme="minorHAnsi" w:hAnsiTheme="minorHAnsi"/>
        </w:rPr>
        <w:t xml:space="preserve"> — the incentive for legislators to articulate problems and solutions in terms that cohere with high-value constituencies' existing understandings — gives policymakers no reason to adopt or legitimate the vocabularies through which those experiences are understood. The result is a form of epistemic exclusion that is structurally produced rather than merely incidental: a group's efforts to articulate or intervene with their knowledge are sidelined or denied because that knowledge was already outside the political mainstream.</w:t>
      </w:r>
    </w:p>
    <w:p w14:paraId="43487DE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This epistemic dimension also extends Mansbridge's third and fourth contexts. Her arguments about "ability to rule" and de facto legitimacy are fundamentally about who is perceived as a legitimate political actor — and she argues these perceptions are goods in their own right, beyond their implications for substantive representation. But Pottle's framework suggests the question is not only whether a group is seen as able to </w:t>
      </w:r>
      <w:r w:rsidRPr="00816D08">
        <w:rPr>
          <w:rStyle w:val="Emphasis"/>
          <w:rFonts w:asciiTheme="minorHAnsi" w:eastAsiaTheme="majorEastAsia" w:hAnsiTheme="minorHAnsi"/>
        </w:rPr>
        <w:t>rule</w:t>
      </w:r>
      <w:r w:rsidRPr="00816D08">
        <w:rPr>
          <w:rFonts w:asciiTheme="minorHAnsi" w:hAnsiTheme="minorHAnsi"/>
        </w:rPr>
        <w:t xml:space="preserve"> but whether it is seen as able to </w:t>
      </w:r>
      <w:r w:rsidRPr="00816D08">
        <w:rPr>
          <w:rStyle w:val="Emphasis"/>
          <w:rFonts w:asciiTheme="minorHAnsi" w:eastAsiaTheme="majorEastAsia" w:hAnsiTheme="minorHAnsi"/>
        </w:rPr>
        <w:t>know</w:t>
      </w:r>
      <w:r w:rsidRPr="00816D08">
        <w:rPr>
          <w:rFonts w:asciiTheme="minorHAnsi" w:hAnsiTheme="minorHAnsi"/>
        </w:rPr>
        <w:t xml:space="preserve"> — whether its members' experiences count as politically relevant knowledge at all. Hermeneutic and testimonial injustice do not merely exclude groups from governing; they exclude groups from the epistemic community whose understandings shape policy. This constitutes a deeper form of the second-class citizenship Mansbridge describes, because it means that even when members of a group </w:t>
      </w:r>
      <w:r w:rsidRPr="00816D08">
        <w:rPr>
          <w:rFonts w:asciiTheme="minorHAnsi" w:hAnsiTheme="minorHAnsi"/>
        </w:rPr>
        <w:lastRenderedPageBreak/>
        <w:t>are physically present in deliberative spaces, their experiential knowledge may not be granted epistemic standing. Presence without epistemic authority is a hollow form of inclusion.</w:t>
      </w:r>
    </w:p>
    <w:p w14:paraId="4F13EEF3"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Taken together, these theoretical developments sharpen the conditions under which descriptive representation is most analytically consequential. If subordinate groups' interests are merely uncrystallized — awaiting articulation on a gradually expanding political agenda — then descriptive representation is instrumentally useful: it brings new information and perspectives into deliberation. But if those interests are hermeneutically suppressed, and if the groups that hold them face testimonial injustice within the structures of legislative responsiveness, then the absence of descriptive representation is not merely an informational loss. It is an active form of epistemic exclusion that reproduces the conditions of its own perpetuation — a feedback loop in which the political knowledge of marginalized communities is excluded from elite discourse, that exclusion shapes what counts as "common sense" in policymaking, and those distorted common-sense understandings further justify the marginalization of the excluded group's knowledge. Descriptive representation is most critical, then, for groups whose voices are filtered, discounted, or systematically absent in ordinary democratic practice — groups whose absence from political institutions is itself an indicator of representational distortion, and for whom inclusion carries implications not only for policy outcomes but for the epistemic terms on which democratic judgment is formed: whose experiences are heard, whose claims are treated as politically relevant, and whose vocabulary is politically intelligible.</w:t>
      </w:r>
    </w:p>
    <w:p w14:paraId="43A63DBD" w14:textId="4AC2B1CD" w:rsidR="00816D08" w:rsidRDefault="00816D08" w:rsidP="008341D1">
      <w:pPr>
        <w:spacing w:line="360" w:lineRule="auto"/>
      </w:pPr>
    </w:p>
    <w:p w14:paraId="743699B3" w14:textId="77777777" w:rsidR="002E11D9" w:rsidRDefault="002E11D9" w:rsidP="008341D1">
      <w:pPr>
        <w:spacing w:line="360" w:lineRule="auto"/>
      </w:pPr>
    </w:p>
    <w:p w14:paraId="218253FF" w14:textId="004AC72D" w:rsidR="00270898" w:rsidRDefault="00270898" w:rsidP="00E451D6">
      <w:pPr>
        <w:rPr>
          <w:b/>
          <w:bCs/>
        </w:rPr>
      </w:pPr>
      <w:r w:rsidRPr="00270898">
        <w:rPr>
          <w:b/>
          <w:bCs/>
        </w:rPr>
        <w:t xml:space="preserve">P5 </w:t>
      </w:r>
      <w:r>
        <w:rPr>
          <w:b/>
          <w:bCs/>
        </w:rPr>
        <w:t>–</w:t>
      </w:r>
    </w:p>
    <w:p w14:paraId="5C61F903" w14:textId="77777777" w:rsidR="008763DC" w:rsidRDefault="00986478" w:rsidP="008763DC">
      <w:pPr>
        <w:spacing w:line="360" w:lineRule="auto"/>
        <w:ind w:firstLine="720"/>
      </w:pPr>
      <w:r>
        <w:t>Carnes and Lupu (2024) call for heightened attention to descriptive representation across various categories</w:t>
      </w:r>
      <w:r w:rsidR="00205AEE">
        <w:t xml:space="preserve"> and their intersection. The expansion of the penal state provides </w:t>
      </w:r>
      <w:r w:rsidR="00205AEE">
        <w:lastRenderedPageBreak/>
        <w:t xml:space="preserve">strong theoretical and empirical reason to treat carceral citizens – those directly incarcerated, under community supervision, and those proximally impacted through family, neighborhood, repeated police contact, and victimization – as a group that fits established criteria for heightened representational relevance. </w:t>
      </w:r>
      <w:r w:rsidR="008763DC">
        <w:t xml:space="preserve">Over the past four decades, the carceral state has grown into one of the most expansive governing institutions in American life, touching nearly 7 million people at any given time and millions more through arrest, surveillance, and conviction (Western 2006; Wildeman &amp; Muller 2012). As Lerman and Weaver argue (2014), carceral contact has become a central, visible point of contact that produces myriad negative and accumulating feedback effects. Confinement, exposure to violence and stress inside facilities, disrupted access to care, and post-release instability generates myriad physical and mental health problems (Massoglia &amp; Pridemore 2015, Lee at al 2014, Johnson &amp; Rapheal 2009); stigma, disrupted earnings, and time out of the work force reduces callback rates, lowers wages, and reduces overall lifetime earnings (Western 2006, Western &amp; Pettit 2005, Pager 2003, 2007). Carceral contact produces housing instability (Geller &amp; Curtis) that, compounded with legal and financial extraction (Harris 2016) maintain financial precarity and generate increased public assistance needs just as carceral contact removes access to public benefits (CITE). </w:t>
      </w:r>
    </w:p>
    <w:p w14:paraId="73071474" w14:textId="359ABF9B" w:rsidR="00986478" w:rsidRDefault="008763DC" w:rsidP="008763DC">
      <w:pPr>
        <w:spacing w:line="360" w:lineRule="auto"/>
        <w:ind w:firstLine="720"/>
      </w:pPr>
      <w:r>
        <w:t xml:space="preserve"> </w:t>
      </w:r>
      <w:r w:rsidRPr="008763DC">
        <w:t>These effects are not confined to those formally incarcerated. The political science, sociological, and economic literatures on collateral consequences document how incarceration reverberates through intimate partners, children, and communities—depressing wealth accumulation, destabilizing housing, disrupting education, eroding health, and weakening social ties (Wakefield &amp; Wildeman 2013; Wildeman &amp; Lee 2021; Brew, Alani, &amp; Wildeman 2022). Nearly one in four Black children will experience parental incarceration before adolescence; millions of women experience incarceration indirectly through partners or sons; and entire neighborhoods cycle residents through surveillance and confinement. Even victims of crime are governed primarily through punitive institutions and encounter the state through carceral channels, placing them within the same governing architecture.</w:t>
      </w:r>
    </w:p>
    <w:p w14:paraId="0246EBBC" w14:textId="77777777" w:rsidR="00AC5462" w:rsidRDefault="00AC5462" w:rsidP="00E451D6"/>
    <w:p w14:paraId="6EE285A0" w14:textId="59EFB2F0" w:rsidR="00986478" w:rsidRPr="00AC5462" w:rsidRDefault="00986478" w:rsidP="00E451D6">
      <w:pPr>
        <w:rPr>
          <w:b/>
          <w:bCs/>
        </w:rPr>
      </w:pPr>
      <w:r w:rsidRPr="00AC5462">
        <w:rPr>
          <w:b/>
          <w:bCs/>
        </w:rPr>
        <w:lastRenderedPageBreak/>
        <w:t xml:space="preserve">P6 </w:t>
      </w:r>
      <w:r w:rsidR="00AC5462">
        <w:rPr>
          <w:b/>
          <w:bCs/>
        </w:rPr>
        <w:t xml:space="preserve"> - who they are</w:t>
      </w:r>
    </w:p>
    <w:p w14:paraId="2E46159C" w14:textId="1404E617" w:rsidR="00986478" w:rsidRDefault="00174ED0" w:rsidP="00E451D6">
      <w:r>
        <w:tab/>
        <w:t xml:space="preserve">[Transition reminding of the framework for special groups]. </w:t>
      </w:r>
    </w:p>
    <w:p w14:paraId="47708A0E" w14:textId="398D14B3" w:rsidR="00174ED0" w:rsidRDefault="00174ED0" w:rsidP="00174ED0">
      <w:pPr>
        <w:spacing w:line="360" w:lineRule="auto"/>
        <w:ind w:firstLine="720"/>
      </w:pPr>
      <w:r>
        <w:t>Moreover, t</w:t>
      </w:r>
      <w:r w:rsidRPr="00174ED0">
        <w:t>he effects of the carceral state are not evenly distributed across the population but are highly concentrated by race, class, age, and place, rendering carceral citizenship a structurally bounded constituency rather than a diffuse condition. Race, age, and class are all highly predictive of being subject to aggressive surveillance and punishment, with Black and Latino Americans—especially young men—vastly more likely to experience policing, arrest, detention, incarceration, and supervision (Gelman, Fagan, and Kiss 2007; Baumgartner, Epp, and Shoub 2018; Davenport, Soule, and Armstrong 2011). More than one quarter of Black men from prison-boom cohorts have been incarcerated, and among Black male high school dropouts born after the mid-1970s, nearly 68 percent have been imprisoned (Western and Pettit 2010). Nearly one in four Black children will experience parental incarceration before age fourteen (Wildeman 2009), and 44 percent of Black women report having an immediate family member incarcerated, compared to 12 percent of white women (Lee et al. 2015). These patterns are layered onto existing class stratification: the nearly two million people incarcerated in the United States are almost uniformly working class and disproportionately Black or Latino/a—groups already least represented in state and federal government (Carnes 2013, 2015, 2018). The “punitive turn” (Wacquant 2009) and mass incarceration thus do not merely reflect preexisting inequality—they compound and institutionalize it. Because incarceration and supervision are spatially clustered, these harms are collective and place-based: the collateral damage to African American communities cannot be captured by aggregating individual effects (Roberts 2004), as neighborhoods saturated by imprisonment</w:t>
      </w:r>
      <w:r>
        <w:t xml:space="preserve"> may</w:t>
      </w:r>
      <w:r w:rsidRPr="00174ED0">
        <w:t xml:space="preserve"> lose political </w:t>
      </w:r>
      <w:r>
        <w:t>power</w:t>
      </w:r>
      <w:r w:rsidRPr="00174ED0">
        <w:t xml:space="preserve">, economic stability, and social capital. </w:t>
      </w:r>
      <w:r>
        <w:t xml:space="preserve">Moreover, these disparities reflect </w:t>
      </w:r>
      <w:r w:rsidRPr="00174ED0">
        <w:t xml:space="preserve">a broader racialized political culture in which crime coverage privileges white victims and penalizes Black Americans (Dixon and Linz 2000a; Bjornstrom et al. 2011), juries seek mitigating information for white but not Black defendants (Levinson 2007), Black defendants are assumed more culpable and sentenced more harshly (Rehavi and Starr 2014), and even Black victims are assigned greater responsibility for their own harm </w:t>
      </w:r>
      <w:r w:rsidRPr="00174ED0">
        <w:lastRenderedPageBreak/>
        <w:t xml:space="preserve">(Donovan 2007; Israel-Trummel and Streeter 2021). Across policy domains—from welfare to policing—race shapes perceptions of deservingness and culpability (Gilens 1996; Soss et al. 2011; Israel-Trummel 2022), embedding punishment within longstanding narratives that criminalize Blackness (Alexander 2010; Smiley 2017). </w:t>
      </w:r>
      <w:r>
        <w:t xml:space="preserve">Carceral citizenship may in turn be best understood as part </w:t>
      </w:r>
      <w:r w:rsidRPr="00174ED0">
        <w:t>a racialized and spatially concentrated regime of governance that layers carceral exposure atop existing inequalities in representation and political voice</w:t>
      </w:r>
      <w:r>
        <w:t>.</w:t>
      </w:r>
    </w:p>
    <w:p w14:paraId="42D91AE2" w14:textId="77777777" w:rsidR="00205AEE" w:rsidRDefault="00205AEE" w:rsidP="00E451D6"/>
    <w:p w14:paraId="0264A81E" w14:textId="2250DE70" w:rsidR="00986478" w:rsidRPr="000B30FA" w:rsidRDefault="00986478" w:rsidP="00E451D6">
      <w:pPr>
        <w:rPr>
          <w:b/>
          <w:bCs/>
        </w:rPr>
      </w:pPr>
      <w:r w:rsidRPr="000B30FA">
        <w:rPr>
          <w:b/>
          <w:bCs/>
        </w:rPr>
        <w:t xml:space="preserve">P7 </w:t>
      </w:r>
      <w:r w:rsidR="000B30FA">
        <w:rPr>
          <w:b/>
          <w:bCs/>
        </w:rPr>
        <w:t>– Likely unrepresented</w:t>
      </w:r>
    </w:p>
    <w:p w14:paraId="010909BD" w14:textId="77777777" w:rsidR="005A41B1" w:rsidRDefault="005A41B1" w:rsidP="00E451D6">
      <w:r>
        <w:t>[Mansbridge/framework transition]</w:t>
      </w:r>
    </w:p>
    <w:p w14:paraId="6FA94A45" w14:textId="319786C8" w:rsidR="005A41B1" w:rsidRDefault="005A41B1" w:rsidP="005A41B1">
      <w:pPr>
        <w:spacing w:line="360" w:lineRule="auto"/>
        <w:ind w:firstLine="720"/>
      </w:pPr>
      <w:r>
        <w:t xml:space="preserve">These groups are likely unrepresented in governing institutions. </w:t>
      </w:r>
      <w:r w:rsidRPr="005A41B1">
        <w:t xml:space="preserve">At the most basic level, millions of Americans are formally excluded from electoral participation. An estimated four million people were excluded from the 2024 elections through de jure disenfranchisement while incarcerated on felony convictions, or while on probation or parole — a figure that does not include the unknown number who fear or mistakenly believe they have been permanently disenfranchised (Uggen, Willen, &amp; Larson 2024). Scholars have demonstrated that these disenfranchisement policies disproportionately target Black political power (Hinton &amp; Cook 2021) and function as a component of mass incarceration's broader distortion of American democracy and racialized social control (Beckett &amp; Western 2001; Simon 2007; Wacquant 2010). Even where the law formally permits participation, the state frequently fails to make participation possible: in September 2024, California's governor vetoed legislation aimed at ending the de facto disenfranchisement of eligible incarcerated voters, who lack any meaningful or systematized means of casting a counted ballot from jail. These Californians comprised the largest share of an estimated 500,000 people nationally who were unconstitutionally kept from participating in the subsequent elections (Wang 2024). Beyond the ballot, prisons and jails impose direct restrictions on the capacities that democratic participation requires — constraining movement, speech, association, and communication through censored mail, restricted phone access, and exclusion from public or legislative forums. </w:t>
      </w:r>
      <w:r w:rsidRPr="005A41B1">
        <w:lastRenderedPageBreak/>
        <w:t>These are not incidental features of incarceration; they are constitutive of institutions that, as Lerman and Weaver (2014) argue, have "broken significantly with the fundamental norms that define democratic institutions" by restricting citizen voice, undermining equality, and insulating state actors from accountability.</w:t>
      </w:r>
    </w:p>
    <w:p w14:paraId="5D05435F" w14:textId="1781E417" w:rsidR="005A41B1" w:rsidRDefault="005A41B1" w:rsidP="005A41B1">
      <w:pPr>
        <w:spacing w:line="360" w:lineRule="auto"/>
        <w:ind w:firstLine="720"/>
      </w:pPr>
      <w:r w:rsidRPr="005A41B1">
        <w:t xml:space="preserve">Contact with criminal justice institutions also generates powerful negative policy feedbacks that extend democratic exclusion well beyond the prison walls. Lerman and Weaver (2014) demonstrate that carceral contact </w:t>
      </w:r>
      <w:r>
        <w:t>“</w:t>
      </w:r>
      <w:r w:rsidRPr="005A41B1">
        <w:t>produces extreme mistrust of political institutions and public officials,</w:t>
      </w:r>
      <w:r>
        <w:t>”</w:t>
      </w:r>
      <w:r w:rsidRPr="005A41B1">
        <w:t xml:space="preserve"> diminishes citizens</w:t>
      </w:r>
      <w:r>
        <w:t>’</w:t>
      </w:r>
      <w:r w:rsidRPr="005A41B1">
        <w:t xml:space="preserve"> sense that they can influence politics, and teaches them </w:t>
      </w:r>
      <w:r>
        <w:t>“</w:t>
      </w:r>
      <w:r w:rsidRPr="005A41B1">
        <w:t>to stay in the shadows and to be wary of public authority.</w:t>
      </w:r>
      <w:r>
        <w:t>”</w:t>
      </w:r>
      <w:r w:rsidRPr="005A41B1">
        <w:t xml:space="preserve"> Rather than cultivating efficacy or civic incorporation, as benefits-conferring programs may do, the punitive face of the state socializes individuals toward alienation, withdrawal, and redefined expectations of state authority — what Lerman and Weaver term </w:t>
      </w:r>
      <w:r>
        <w:t>“</w:t>
      </w:r>
      <w:r w:rsidRPr="005A41B1">
        <w:t>custodial citizenship.</w:t>
      </w:r>
      <w:r>
        <w:t>”</w:t>
      </w:r>
      <w:r w:rsidRPr="005A41B1">
        <w:t xml:space="preserve"> While scholars have identified important exceptions, particularly in mobilization through proximal contact and perceptions of injustice (Walker 2020; Walker &amp; García-Castañón 2017; Owens &amp; Walker 2018), the predominant finding is that criminal legal contact depresses political participation across a range of behaviors (Burch 2011; Gerber et al. 2017; Haselswerdt 2009; Weaver &amp; Lerman 2010; White &amp; Nguyen 2021). </w:t>
      </w:r>
      <w:r>
        <w:t>Like others</w:t>
      </w:r>
      <w:r w:rsidRPr="005A41B1">
        <w:t>, these effects are not confined to those who are or have been incarcerated. They extend to families, social networks, and communities disproportionately targeted by policing and surveillance, where incarceration weakens social ties, collective efficacy, and organizational capacity (White 2019; Burch 2013; Clear 2009)</w:t>
      </w:r>
      <w:r>
        <w:t xml:space="preserve"> – although scholarship increasingly highlights that proximal or community contact or targeting can generate mobilization (Anoll, Walker). Still, t</w:t>
      </w:r>
      <w:r w:rsidRPr="005A41B1">
        <w:t xml:space="preserve">he cumulative result </w:t>
      </w:r>
      <w:r>
        <w:t>may be</w:t>
      </w:r>
      <w:r w:rsidRPr="005A41B1">
        <w:t xml:space="preserve"> that carceral citizens are rendered systematically unlikely to appear in the channels that legislators rely on to perceive and respond to constituencies — voting, organized advocacy, routine constituent contact, or interest group representation — even as they are among those most governed by the state.</w:t>
      </w:r>
    </w:p>
    <w:p w14:paraId="6432999A" w14:textId="77777777" w:rsidR="00790F56" w:rsidRDefault="005A41B1" w:rsidP="005A41B1">
      <w:pPr>
        <w:spacing w:line="360" w:lineRule="auto"/>
        <w:ind w:firstLine="720"/>
      </w:pPr>
      <w:r w:rsidRPr="005A41B1">
        <w:t xml:space="preserve">This combination of formal exclusion, negative policy feedback, and spatially concentrated political suppression maps directly onto the conditions under which </w:t>
      </w:r>
      <w:r w:rsidRPr="005A41B1">
        <w:lastRenderedPageBreak/>
        <w:t>descriptive representation is most consequential. Carceral citizens satisfy each of Mansbridge's criteria: they are proportionally underrepresented relative to their population share; they face historical and ongoing legal exclusion from voting and self-governance; and dominant groups have actively made it difficult for them to represent themselves.</w:t>
      </w:r>
    </w:p>
    <w:p w14:paraId="268DFCF1" w14:textId="7E24B8A1" w:rsidR="005A41B1" w:rsidRDefault="00790F56" w:rsidP="005A41B1">
      <w:pPr>
        <w:spacing w:line="360" w:lineRule="auto"/>
        <w:ind w:firstLine="720"/>
      </w:pPr>
      <w:r>
        <w:t>However, c</w:t>
      </w:r>
      <w:r w:rsidR="005A41B1" w:rsidRPr="005A41B1">
        <w:t xml:space="preserve">ustodial citizenship </w:t>
      </w:r>
      <w:r w:rsidR="005A41B1" w:rsidRPr="005A41B1">
        <w:rPr>
          <w:i/>
          <w:iCs/>
        </w:rPr>
        <w:t>is</w:t>
      </w:r>
      <w:r w:rsidR="005A41B1" w:rsidRPr="005A41B1">
        <w:t xml:space="preserve"> communicative distrust — carceral contact teaches that engagement with the state invites punishment rather than responsiveness, generating precisely the alienation and wariness that Mansbridge argues shared experience can bridge. The social constructions of incarcerated people as unrepentant, unredeemable, and dangerous (Schneider &amp; Ingram 1993; Maltby &amp; Kreitzer 2023) function as challenges to "ability to rule" in Mansbridge's sense — reinforcing the message that such persons are unfit not merely for self-governance but for full citizenship, a message whose disruption requires the visible presence of those who have been so marked. And the exclusion of those most governed by the punitive state from the democratic processes that shape that state constitutes a legitimacy deficit of the kind Mansbridge's fourth context describes: a polity that systematically excludes the people most directly affected by one of its most coercive functions cannot credibly claim that all voices were present in deliberation. </w:t>
      </w:r>
      <w:r>
        <w:t xml:space="preserve">Here, </w:t>
      </w:r>
      <w:r w:rsidR="005A41B1" w:rsidRPr="005A41B1">
        <w:t xml:space="preserve">the absence of </w:t>
      </w:r>
      <w:r>
        <w:t xml:space="preserve">carcertal citizens </w:t>
      </w:r>
      <w:r w:rsidR="005A41B1" w:rsidRPr="005A41B1">
        <w:t xml:space="preserve">from </w:t>
      </w:r>
      <w:r>
        <w:t xml:space="preserve">policymaking bodies may </w:t>
      </w:r>
      <w:r w:rsidR="005A41B1" w:rsidRPr="005A41B1">
        <w:t>reflect not a failure of individual ambition but the accumulated weight of institutional barriers, sedimented cultures of exclusion, and persistent bias, that absence is itself an indicator of representational distortion</w:t>
      </w:r>
      <w:r>
        <w:t xml:space="preserve"> (Clayton). </w:t>
      </w:r>
    </w:p>
    <w:p w14:paraId="6AA2DDF1" w14:textId="4E5B18D3" w:rsidR="00790F56" w:rsidRPr="005A41B1" w:rsidRDefault="00790F56" w:rsidP="00790F56">
      <w:pPr>
        <w:spacing w:line="360" w:lineRule="auto"/>
        <w:rPr>
          <w:b/>
          <w:bCs/>
        </w:rPr>
      </w:pPr>
      <w:r>
        <w:rPr>
          <w:b/>
          <w:bCs/>
        </w:rPr>
        <w:t>Transitioning to Expectations</w:t>
      </w:r>
    </w:p>
    <w:p w14:paraId="302D8078" w14:textId="2951E8EA" w:rsidR="005A41B1" w:rsidRPr="005A41B1" w:rsidRDefault="005A41B1" w:rsidP="005A41B1">
      <w:pPr>
        <w:spacing w:line="360" w:lineRule="auto"/>
        <w:ind w:firstLine="720"/>
      </w:pPr>
      <w:r w:rsidRPr="005A41B1">
        <w:t xml:space="preserve">Yet the depth of the representational challenge facing carceral citizens </w:t>
      </w:r>
      <w:r w:rsidR="00790F56">
        <w:t>may exceed</w:t>
      </w:r>
      <w:r w:rsidRPr="005A41B1">
        <w:t xml:space="preserve"> Mansbridge's framework, applied straightforwardl</w:t>
      </w:r>
      <w:r w:rsidR="00790F56">
        <w:t>y</w:t>
      </w:r>
      <w:r w:rsidRPr="005A41B1">
        <w:t xml:space="preserve">. The interests of people impacted by incarceration are not uncrystallized in the sense that no one has thought about them or that they await a political entrepreneur to bring them to the agenda. Communities facing sustained contact with the carceral state have developed rich, internally coherent political knowledge — articulated understandings of state power, shared vocabularies for making sense of punishment and citizenship, what Weaver, Prowse, and Piston (2020) describe as </w:t>
      </w:r>
      <w:r w:rsidRPr="005A41B1">
        <w:lastRenderedPageBreak/>
        <w:t xml:space="preserve">theories of the state "from below." But this knowledge is not granted standing in elite political discourse. It appears uncrystallized because the resonance imperative — the structural incentive for legislators to articulate problems and solutions in terms that cohere with strategically valuable constituencies' existing understandings — gives policymakers no reason to adopt or legitimate the vocabularies through which carceral experiences are understood. Incarcerated people, who cannot vote, face barriers to other forms of political expression, and are racially stigmatized, sit at the bottom of what Pottle (2025) calls the hermeneutic economy of legislative communication. Their knowledge </w:t>
      </w:r>
      <w:r w:rsidR="00790F56">
        <w:t>may be</w:t>
      </w:r>
      <w:r w:rsidRPr="005A41B1">
        <w:t xml:space="preserve"> hermeneutically suppressed: sidelined not because it lacks coherence or political relevance, but because it was already outside a mainstream political vocabulary defined by the epistemic preferences of advantaged constituencies. The result is that even well-intentioned legislators may avoid invoking incarcerated residents as constituents because doing so risks antagonizing moderate white voters — and when they do engage criminal legal reform, they may do so through vocabularies engineered for advantaged audiences, emphasizing efficiency, cost savings, or redemption narratives rather than centering the perspectives of those who have lived inside the system. This is what Pottle terms hollow signaling: symbolic gestures toward reform that coexist with a refusal to integrate the knowledge, experiences, or political claims of directly impacted communities.</w:t>
      </w:r>
    </w:p>
    <w:p w14:paraId="5CA64A0B" w14:textId="2F3D0CF9" w:rsidR="005A41B1" w:rsidRPr="005A41B1" w:rsidRDefault="005A41B1" w:rsidP="005A41B1">
      <w:pPr>
        <w:spacing w:line="360" w:lineRule="auto"/>
        <w:ind w:firstLine="720"/>
      </w:pPr>
      <w:r w:rsidRPr="005A41B1">
        <w:t xml:space="preserve">The testimonial dimension compounds this exclusion. Carceral citizens are not merely absent from political discourse; they are actively constructed as uncredible within it. The same social constructions that mark incarcerated people as undeserving of policy generosity </w:t>
      </w:r>
      <w:r w:rsidR="00790F56">
        <w:t xml:space="preserve">may </w:t>
      </w:r>
      <w:r w:rsidRPr="005A41B1">
        <w:t xml:space="preserve">also mark them as untrustworthy narrators of their own political experience — their testimony about conditions of confinement, about the effects of punishment on families and communities, about what justice requires, is filtered through credibility judgments shaped by the political vocabulary that constructs them as dangerous, deviant, or dishonest. Within the infrastructure of legislative responsiveness, their communications </w:t>
      </w:r>
      <w:r w:rsidR="00790F56">
        <w:t>may not</w:t>
      </w:r>
      <w:r w:rsidRPr="005A41B1">
        <w:t xml:space="preserve"> receive the same epistemic weight as those of strategically valuable constituencies. </w:t>
      </w:r>
      <w:r w:rsidR="00790F56">
        <w:t xml:space="preserve">Moreover, </w:t>
      </w:r>
      <w:r w:rsidRPr="005A41B1">
        <w:t xml:space="preserve">descriptive representatives </w:t>
      </w:r>
      <w:r w:rsidR="00790F56">
        <w:t>may</w:t>
      </w:r>
      <w:r w:rsidRPr="005A41B1">
        <w:t xml:space="preserve"> not </w:t>
      </w:r>
      <w:r w:rsidR="00790F56">
        <w:t>be i</w:t>
      </w:r>
      <w:r w:rsidRPr="005A41B1">
        <w:t xml:space="preserve">mmune to these pressures. Legislators of color, who might be expected to bring experiential proximity to </w:t>
      </w:r>
      <w:r w:rsidRPr="005A41B1">
        <w:lastRenderedPageBreak/>
        <w:t>carceral communities, may face even greater pressure toward deracialization and distancing from stigmatized issues — pressure to signal, implicitly or explicitly, that they will not disrupt the racial hierarchy (Stephens-Dougan 2020). Descriptive congruence does not straightforwardly translate into discursive recognition when the electoral connection itself incentivizes silence about the communities most affected by state punishment. The representational slope for carceral citizens is thus steep not only because they lack electoral power, but because electoral structures distribute epistemic authority in ways that determine whose experiences count as politically relevant knowledge, whose claims are treated as legitimate testimony, and whose vocabulary is politically intelligible — and on each dimension, those most impacted by the carceral state are systematically disadvantaged.</w:t>
      </w:r>
    </w:p>
    <w:p w14:paraId="587381E3" w14:textId="77777777" w:rsidR="005A41B1" w:rsidRDefault="005A41B1" w:rsidP="005A41B1">
      <w:pPr>
        <w:spacing w:line="360" w:lineRule="auto"/>
        <w:ind w:firstLine="720"/>
      </w:pPr>
    </w:p>
    <w:p w14:paraId="5A9ABF06" w14:textId="77777777" w:rsidR="005A41B1" w:rsidRDefault="005A41B1" w:rsidP="005A41B1">
      <w:pPr>
        <w:spacing w:line="360" w:lineRule="auto"/>
        <w:ind w:firstLine="720"/>
      </w:pPr>
    </w:p>
    <w:p w14:paraId="6195B45E" w14:textId="77777777" w:rsidR="005A41B1" w:rsidRDefault="005A41B1" w:rsidP="005A41B1">
      <w:pPr>
        <w:spacing w:line="360" w:lineRule="auto"/>
        <w:ind w:firstLine="720"/>
      </w:pPr>
    </w:p>
    <w:p w14:paraId="14B83D2A" w14:textId="2584B891" w:rsidR="008763DC" w:rsidRDefault="008763DC" w:rsidP="00E451D6">
      <w:r>
        <w:t>, the carceral state has become a central point of contact between citizens and their government, and contact with criminal justice institutions “produces extreme mistrust of political institutions and public officials,” diminishes citizens’ sense that they can influence politics, and teaches them “to stay in the shadows and to be wary of public authority.” Carceral contact thus functions as a negative policy feedback: rather than cultivating efficacy or civic incorporation, it generates alienation, withdrawal, and redefined expectations of state authority (Lerman &amp; Weaver 2014).</w:t>
      </w:r>
    </w:p>
    <w:p w14:paraId="0EF2CECB" w14:textId="77777777" w:rsidR="008763DC" w:rsidRDefault="008763DC" w:rsidP="00E451D6"/>
    <w:p w14:paraId="0B60B993" w14:textId="7B0F245C" w:rsidR="000B30FA" w:rsidRDefault="009E1C32" w:rsidP="00E451D6">
      <w:r>
        <w:t>These same institutional features that situate carceral citizens as a distinctive constituency also make them especially likely to be underrepresented or flatly excluded from democratic politics</w:t>
      </w:r>
      <w:r w:rsidR="000B30FA">
        <w:t xml:space="preserve">, as </w:t>
      </w:r>
      <w:r>
        <w:t>criminal justice institutions break “significantly with the fundamental norms that define democratic institutions” (</w:t>
      </w:r>
      <w:r w:rsidR="000B30FA">
        <w:t>Lerman &amp; Weaver 2014</w:t>
      </w:r>
      <w:r>
        <w:t xml:space="preserve">). </w:t>
      </w:r>
      <w:r w:rsidR="000B30FA">
        <w:t xml:space="preserve">Most obviously, whether to punish or rehabilitate, prisons and jails impose restrictions on the politically expression </w:t>
      </w:r>
    </w:p>
    <w:p w14:paraId="333597FA" w14:textId="6C22BAAF" w:rsidR="009E1C32" w:rsidRDefault="009E1C32" w:rsidP="00E451D6">
      <w:r>
        <w:t xml:space="preserve"> restrict political voice, undermine equality, and insulate state actors from accountability. </w:t>
      </w:r>
    </w:p>
    <w:p w14:paraId="5FD4429A" w14:textId="5AB338A9" w:rsidR="009E1C32" w:rsidRDefault="009E1C32" w:rsidP="00E451D6">
      <w:r>
        <w:lastRenderedPageBreak/>
        <w:t xml:space="preserve">Prisons and jails are definitionally repressive institutions: they constrain movement, speech, and bodily autonomy and limit access to the ballot through </w:t>
      </w:r>
      <w:r>
        <w:rPr>
          <w:i/>
          <w:iCs/>
        </w:rPr>
        <w:t>de jure</w:t>
      </w:r>
      <w:r>
        <w:t xml:space="preserve"> and </w:t>
      </w:r>
      <w:r>
        <w:rPr>
          <w:i/>
          <w:iCs/>
        </w:rPr>
        <w:t xml:space="preserve">de facto </w:t>
      </w:r>
      <w:r>
        <w:t xml:space="preserve">disenfranchisement. Moreover, they impose barriers to political expression through restrictions on communication – restricted phone calls and censored mail, association, and participation in public or legislative forums. </w:t>
      </w:r>
    </w:p>
    <w:p w14:paraId="7CDD5F65" w14:textId="52463608" w:rsidR="009E1C32" w:rsidRDefault="009E1C32" w:rsidP="00E451D6">
      <w:r>
        <w:t xml:space="preserve">Beyond formal exclusion, contact produces negative feedback effects. While scholars note exceptions, criminal legal contact socializes indivdiuals and communities to view the state as adversarial and unresponsive, generating mistrust, withdrawal, and avoidance or political engagement. And here too, effects are not confined to those currently incarcerated but rather extend to families, social networks, and communities that are disproportionately targeted by policing and surveillance, where incarceration weakens social ties, collective efficacy, and organizational capacity (). </w:t>
      </w:r>
    </w:p>
    <w:p w14:paraId="4183DB12" w14:textId="0FE401BD" w:rsidR="009E1C32" w:rsidRDefault="009E1C32" w:rsidP="00E451D6">
      <w:r>
        <w:t xml:space="preserve">In turn, carceral citizens are rendered systematically unlikely to appear in the channels that legislators rely on to perceive and respond to constituencies – voting, organized advocacy, routine constituent contact, or interest group representation – even as they are among those most goverened by the state. </w:t>
      </w:r>
    </w:p>
    <w:p w14:paraId="1D098E1D" w14:textId="3A778E2D" w:rsidR="009E1C32" w:rsidRPr="009E1C32" w:rsidRDefault="009E1C32" w:rsidP="00E451D6">
      <w:r>
        <w:t xml:space="preserve">In other words, this combination of repression, negative policy feedback, and spatially concentrated exclusion means that underrepresentation is not incidental but institutionally produced – at risk of rendering carceral citizens invisible while positioning them as most </w:t>
      </w:r>
      <w:r w:rsidR="006F1100">
        <w:t>needing</w:t>
      </w:r>
      <w:r>
        <w:t xml:space="preserve"> of representation and inclusion in decisions about </w:t>
      </w:r>
      <w:r w:rsidR="006F1100">
        <w:t xml:space="preserve">punishment, rights, and social membership. </w:t>
      </w:r>
    </w:p>
    <w:p w14:paraId="00BA18EB" w14:textId="77777777" w:rsidR="00986478" w:rsidRDefault="00986478" w:rsidP="00986478"/>
    <w:p w14:paraId="61EFB80E" w14:textId="77777777" w:rsidR="00816D08" w:rsidRDefault="00816D08" w:rsidP="00986478"/>
    <w:p w14:paraId="0C589C4A"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Critically, Pottle demonstrates that descriptive representatives are not immune: legislators of color may face even greater pressure toward deracialization and distancing from stigmatized communities, such that descriptive congruence does not straightforwardly translate into discursive recognition. The communicative distrust Mansbridge identifies is, in this view, not only historical but structurally incentivized — and descriptive presence, while necessary, is not sufficient to overcome it.</w:t>
      </w:r>
    </w:p>
    <w:p w14:paraId="4F911828" w14:textId="77777777" w:rsidR="00816D08" w:rsidRPr="00986478" w:rsidRDefault="00816D08" w:rsidP="00986478"/>
    <w:p w14:paraId="5B2F0552" w14:textId="03760C0A" w:rsidR="00C1170E" w:rsidRDefault="00C1170E" w:rsidP="00C1170E">
      <w:pPr>
        <w:pStyle w:val="Heading2"/>
      </w:pPr>
      <w:r>
        <w:lastRenderedPageBreak/>
        <w:t>Heade</w:t>
      </w:r>
      <w:r w:rsidR="006C16E1">
        <w:t>r: Descriptive Representation XYZ</w:t>
      </w:r>
      <w:bookmarkEnd w:id="8"/>
    </w:p>
    <w:p w14:paraId="6BE872B2" w14:textId="70340BB2" w:rsidR="00963639" w:rsidRPr="00963639" w:rsidRDefault="00963639" w:rsidP="006C16E1">
      <w:r>
        <w:rPr>
          <w:b/>
          <w:bCs/>
        </w:rPr>
        <w:t xml:space="preserve">Paragraph trying to get this to start with descriptive </w:t>
      </w:r>
      <w:commentRangeStart w:id="9"/>
      <w:commentRangeStart w:id="10"/>
      <w:r>
        <w:rPr>
          <w:b/>
          <w:bCs/>
        </w:rPr>
        <w:t>representation</w:t>
      </w:r>
      <w:commentRangeEnd w:id="9"/>
      <w:r>
        <w:rPr>
          <w:rStyle w:val="CommentReference"/>
        </w:rPr>
        <w:commentReference w:id="9"/>
      </w:r>
      <w:commentRangeEnd w:id="10"/>
      <w:r>
        <w:rPr>
          <w:rStyle w:val="CommentReference"/>
        </w:rPr>
        <w:commentReference w:id="10"/>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xyz </w:t>
      </w:r>
      <w:r w:rsidR="00A273CB" w:rsidRPr="00A273CB">
        <w:rPr>
          <w:rFonts w:ascii="Times New Roman" w:hAnsi="Times New Roman" w:cs="Times New Roman"/>
          <w:i/>
          <w:iCs/>
        </w:rPr>
        <w:t>reasons</w:t>
      </w:r>
      <w:r w:rsidR="009122D1">
        <w:rPr>
          <w:rFonts w:ascii="Times New Roman" w:hAnsi="Times New Roman" w:cs="Times New Roman"/>
          <w:i/>
          <w:iCs/>
        </w:rPr>
        <w:t>: policy responsiveness, service responsiveness, and symbolic/constituency-making stuff</w:t>
      </w:r>
      <w:r w:rsidR="00A273CB">
        <w:rPr>
          <w:rFonts w:ascii="Times New Roman" w:hAnsi="Times New Roman" w:cs="Times New Roman"/>
          <w:i/>
          <w:iCs/>
        </w:rPr>
        <w:t xml:space="preserve"> </w:t>
      </w:r>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low-income communities. That these groups already bear the historical brunt of political 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Mansbridge argues that descriptive representation is particularly important under conditions of historical exclusion and unequal political voice (Mansbridge 1999 contingent defense. Descriptive rep should be response to structural inequality - ie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lastRenderedPageBreak/>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1"/>
      <w:commentRangeStart w:id="12"/>
      <w:commentRangeEnd w:id="11"/>
      <w:r>
        <w:rPr>
          <w:rStyle w:val="CommentReference"/>
        </w:rPr>
        <w:commentReference w:id="11"/>
      </w:r>
      <w:commentRangeEnd w:id="12"/>
      <w:r w:rsidR="00963639">
        <w:rPr>
          <w:rStyle w:val="CommentReference"/>
        </w:rPr>
        <w:commentReference w:id="12"/>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r>
        <w:t xml:space="preserve">Thus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3"/>
      <w:r w:rsidR="00F759F4">
        <w:t>Kristina Miler () shows that in Congress, “surrogate” representation for poor constituencies</w:t>
      </w:r>
      <w:commentRangeEnd w:id="13"/>
      <w:r w:rsidR="00876A4C">
        <w:rPr>
          <w:rStyle w:val="CommentReference"/>
        </w:rPr>
        <w:commentReference w:id="13"/>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4" w:name="_Toc220591736"/>
      <w:r>
        <w:lastRenderedPageBreak/>
        <w:t>Section Header, Maybe Representation Beyond Responsiveness</w:t>
      </w:r>
      <w:bookmarkEnd w:id="14"/>
    </w:p>
    <w:p w14:paraId="1E9CAAC2" w14:textId="780A9FCB" w:rsidR="003D04AB" w:rsidRDefault="00E82284" w:rsidP="000A76EF">
      <w:pPr>
        <w:jc w:val="both"/>
      </w:pPr>
      <w:r>
        <w:t>However, political scientists have long recognized that representation encompases more than congruence between constituent preference and legislators’ roll-call votes. [</w:t>
      </w:r>
      <w:r>
        <w:rPr>
          <w:i/>
          <w:iCs/>
        </w:rPr>
        <w:t xml:space="preserve">maybe something that instead more directly transitions with Disch, or assumption undergirding descriptive – substantive connection?] </w:t>
      </w:r>
      <w:r>
        <w:t xml:space="preserve">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(Fenno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Kaprs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5" w:name="_Toc220591737"/>
      <w:r>
        <w:t>Section Header, What We Know about Symbolic Representation</w:t>
      </w:r>
      <w:bookmarkEnd w:id="15"/>
    </w:p>
    <w:p w14:paraId="2785512F" w14:textId="77777777" w:rsidR="006C0245" w:rsidRDefault="006C0245" w:rsidP="000A76EF">
      <w:pPr>
        <w:jc w:val="both"/>
      </w:pPr>
    </w:p>
    <w:p w14:paraId="315D90C1" w14:textId="0D904CD3" w:rsidR="000A76EF" w:rsidRPr="001B48DC" w:rsidRDefault="00A56C15" w:rsidP="00A56C15">
      <w:pPr>
        <w:pStyle w:val="Heading1"/>
      </w:pPr>
      <w:bookmarkStart w:id="16" w:name="_Toc220591738"/>
      <w:r>
        <w:t xml:space="preserve">III. </w:t>
      </w:r>
      <w:r w:rsidR="001B48DC" w:rsidRPr="001B48DC">
        <w:t>Test 1</w:t>
      </w:r>
      <w:r>
        <w:t>: CJ-Impacted vs. Weird Publics and Criminal Legal Policy Preferences</w:t>
      </w:r>
      <w:bookmarkEnd w:id="16"/>
    </w:p>
    <w:p w14:paraId="1346C527" w14:textId="6437A90E" w:rsidR="001B48DC" w:rsidRDefault="00A56C15" w:rsidP="00A56C15">
      <w:pPr>
        <w:pStyle w:val="Heading2"/>
      </w:pPr>
      <w:bookmarkStart w:id="17" w:name="_Toc220591739"/>
      <w:r>
        <w:t>3.1 (Theory) Policy Feedback, Experience, and Political Reasoning</w:t>
      </w:r>
      <w:bookmarkEnd w:id="17"/>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18" w:name="_Toc220591740"/>
      <w:r>
        <w:t>3.2 (Theory) Experience as Political Knowledge</w:t>
      </w:r>
      <w:bookmarkEnd w:id="18"/>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Weaver – not just distinct policy prefs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19" w:name="_Toc220591741"/>
      <w:r>
        <w:lastRenderedPageBreak/>
        <w:t>3.3 (Hypotheses/Expectations)</w:t>
      </w:r>
      <w:bookmarkEnd w:id="19"/>
    </w:p>
    <w:p w14:paraId="2A216853" w14:textId="7282B5C1" w:rsidR="00A56C15" w:rsidRPr="00A56C15" w:rsidRDefault="00A56C15" w:rsidP="00B56A00">
      <w:pPr>
        <w:pStyle w:val="Heading2"/>
      </w:pPr>
      <w:bookmarkStart w:id="20" w:name="_Toc220591742"/>
      <w:r>
        <w:t>3..4 (Data</w:t>
      </w:r>
      <w:r w:rsidR="00B56A00">
        <w:t>/Design)</w:t>
      </w:r>
      <w:bookmarkEnd w:id="20"/>
    </w:p>
    <w:p w14:paraId="03FAFA55" w14:textId="6C61D0FF" w:rsidR="001B48DC" w:rsidRPr="001B48DC" w:rsidRDefault="00A56C15" w:rsidP="00A56C15">
      <w:pPr>
        <w:pStyle w:val="Heading1"/>
      </w:pPr>
      <w:bookmarkStart w:id="21" w:name="_Toc220591743"/>
      <w:r>
        <w:t xml:space="preserve">IV. </w:t>
      </w:r>
      <w:r w:rsidR="001B48DC" w:rsidRPr="001B48DC">
        <w:t>Test 2</w:t>
      </w:r>
      <w:r>
        <w:t>: Descriptive and Substantive Representation of Carceral Constituencies</w:t>
      </w:r>
      <w:bookmarkEnd w:id="21"/>
    </w:p>
    <w:p w14:paraId="10924C90" w14:textId="2E15643C" w:rsidR="00B56A00" w:rsidRDefault="00B56A00" w:rsidP="00B56A00">
      <w:pPr>
        <w:pStyle w:val="Heading2"/>
      </w:pPr>
      <w:bookmarkStart w:id="22" w:name="_Toc220591744"/>
      <w:r>
        <w:t>4.1 (Theory) Do We Care Who Our Legislators Are?</w:t>
      </w:r>
      <w:bookmarkEnd w:id="22"/>
    </w:p>
    <w:p w14:paraId="75BD1671" w14:textId="2A76FE0C" w:rsidR="00B56A00" w:rsidRDefault="00B56A00" w:rsidP="00B56A00">
      <w:pPr>
        <w:pStyle w:val="ListParagraph"/>
        <w:numPr>
          <w:ilvl w:val="0"/>
          <w:numId w:val="10"/>
        </w:numPr>
      </w:pPr>
      <w:r>
        <w:t>Descriptive rep – why 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3" w:name="_Toc220591745"/>
      <w:r>
        <w:t>4.2 (Theory) Expectations About Experience</w:t>
      </w:r>
      <w:bookmarkEnd w:id="23"/>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[“returning to the Mansbridge quoting the other guy famous question”…proxies,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Still, in the world as it is its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lastRenderedPageBreak/>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Electeds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4"/>
      <w:commentRangeStart w:id="25"/>
      <w:commentRangeStart w:id="26"/>
      <w:r>
        <w:t>governed</w:t>
      </w:r>
      <w:commentRangeEnd w:id="24"/>
      <w:r>
        <w:rPr>
          <w:rStyle w:val="CommentReference"/>
        </w:rPr>
        <w:commentReference w:id="24"/>
      </w:r>
      <w:commentRangeEnd w:id="25"/>
      <w:r>
        <w:rPr>
          <w:rStyle w:val="CommentReference"/>
        </w:rPr>
        <w:commentReference w:id="25"/>
      </w:r>
      <w:commentRangeEnd w:id="26"/>
      <w:r>
        <w:rPr>
          <w:rStyle w:val="CommentReference"/>
        </w:rPr>
        <w:commentReference w:id="26"/>
      </w:r>
      <w:r>
        <w:t xml:space="preserve">. </w:t>
      </w:r>
    </w:p>
    <w:p w14:paraId="27101395" w14:textId="77777777" w:rsidR="00271D07" w:rsidRDefault="00271D07" w:rsidP="00271D07">
      <w:pPr>
        <w:ind w:left="720"/>
      </w:pPr>
      <w:r>
        <w:rPr>
          <w:b/>
          <w:bCs/>
        </w:rPr>
        <w:t>Paragraph on: the literature tells us that descriptive  -&gt;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r>
        <w:lastRenderedPageBreak/>
        <w:t>Broockman 2013</w:t>
      </w:r>
    </w:p>
    <w:p w14:paraId="1FEDA188" w14:textId="77777777" w:rsidR="00271D07" w:rsidRDefault="00271D07" w:rsidP="00271D07">
      <w:pPr>
        <w:pStyle w:val="ListParagraph"/>
        <w:numPr>
          <w:ilvl w:val="0"/>
          <w:numId w:val="13"/>
        </w:numPr>
        <w:ind w:left="1440"/>
      </w:pPr>
      <w:r>
        <w:t xml:space="preserve">Black descriptive representation predicts state policy agendas and outcomes, including in the domain of criminal justice reform (Preuhs 20016; Owens 2020), although hese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27" w:name="_Toc220591746"/>
      <w:r>
        <w:t>4.3 (Hypotheses/Expectations)</w:t>
      </w:r>
      <w:bookmarkEnd w:id="27"/>
    </w:p>
    <w:p w14:paraId="1EF57AC6" w14:textId="56009A7D" w:rsidR="00B56A00" w:rsidRDefault="00B56A00" w:rsidP="00B56A00">
      <w:pPr>
        <w:pStyle w:val="Heading2"/>
      </w:pPr>
      <w:bookmarkStart w:id="28" w:name="_Toc220591747"/>
      <w:r>
        <w:t>4.4 (Data/Design)</w:t>
      </w:r>
      <w:bookmarkEnd w:id="28"/>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29" w:name="_Toc220591748"/>
      <w:r>
        <w:t>4.</w:t>
      </w:r>
      <w:r w:rsidR="000F5AC3">
        <w:t>5</w:t>
      </w:r>
      <w:r>
        <w:t xml:space="preserve"> (</w:t>
      </w:r>
      <w:r w:rsidR="000F5AC3">
        <w:t>Theory</w:t>
      </w:r>
      <w:r>
        <w:t>)</w:t>
      </w:r>
      <w:r w:rsidR="000F5AC3">
        <w:t>: When Descriptive Representation Matters</w:t>
      </w:r>
      <w:bookmarkEnd w:id="29"/>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0" w:name="_Toc220591749"/>
      <w:r>
        <w:t>4.6 (Theory): Expectations About Legislative Action</w:t>
      </w:r>
      <w:bookmarkEnd w:id="30"/>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lastRenderedPageBreak/>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1" w:name="_Toc220591750"/>
      <w:r>
        <w:t>4.7 (Hypotheses/Expectations)</w:t>
      </w:r>
      <w:bookmarkEnd w:id="31"/>
    </w:p>
    <w:p w14:paraId="69C14A71" w14:textId="53F8D448" w:rsidR="00EA21E4" w:rsidRDefault="00EA21E4" w:rsidP="00EA21E4">
      <w:pPr>
        <w:pStyle w:val="Heading2"/>
      </w:pPr>
      <w:bookmarkStart w:id="32" w:name="_Toc220591751"/>
      <w:r>
        <w:t>4.8 (Data/Design)</w:t>
      </w:r>
      <w:bookmarkEnd w:id="32"/>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r>
        <w:t>Legistorm</w:t>
      </w:r>
    </w:p>
    <w:p w14:paraId="3BF41734" w14:textId="4C0F7A43" w:rsidR="001B48DC" w:rsidRPr="001B48DC" w:rsidRDefault="00A56C15" w:rsidP="00A56C15">
      <w:pPr>
        <w:pStyle w:val="Heading1"/>
      </w:pPr>
      <w:bookmarkStart w:id="33" w:name="_Toc220591752"/>
      <w:r>
        <w:t xml:space="preserve">V. </w:t>
      </w:r>
      <w:r w:rsidR="001B48DC" w:rsidRPr="001B48DC">
        <w:t>Test 3</w:t>
      </w:r>
      <w:r>
        <w:t>: Symbolic and Epistemic Representation</w:t>
      </w:r>
      <w:bookmarkEnd w:id="33"/>
    </w:p>
    <w:p w14:paraId="5AF087CF" w14:textId="77777777" w:rsidR="001B48DC" w:rsidRDefault="001B48DC" w:rsidP="000A76EF">
      <w:pPr>
        <w:jc w:val="both"/>
      </w:pPr>
    </w:p>
    <w:p w14:paraId="3066B5C3" w14:textId="3BE1F6E2" w:rsidR="001B48DC" w:rsidRDefault="00EA21E4" w:rsidP="00EA21E4">
      <w:pPr>
        <w:pStyle w:val="Heading2"/>
      </w:pPr>
      <w:bookmarkStart w:id="34" w:name="_Toc220591753"/>
      <w:r>
        <w:t>5.1 (Theory) Symbolic Representation as Constitutive</w:t>
      </w:r>
      <w:bookmarkEnd w:id="34"/>
    </w:p>
    <w:p w14:paraId="4B0B13D8" w14:textId="65324EF6" w:rsidR="00EA21E4" w:rsidRDefault="00EA21E4" w:rsidP="00EA21E4">
      <w:pPr>
        <w:pStyle w:val="Heading2"/>
      </w:pPr>
      <w:bookmarkStart w:id="35" w:name="_Toc220591754"/>
      <w:r>
        <w:t>5.2 (Theory) Epistemic Injustice and Selective Hearing</w:t>
      </w:r>
      <w:bookmarkEnd w:id="35"/>
    </w:p>
    <w:p w14:paraId="70D626B2" w14:textId="2C01BE28" w:rsidR="00EA21E4" w:rsidRDefault="00EA21E4" w:rsidP="00EA21E4">
      <w:pPr>
        <w:pStyle w:val="Heading2"/>
      </w:pPr>
      <w:bookmarkStart w:id="36" w:name="_Toc220591755"/>
      <w:r>
        <w:t>5.3 Expectations About Symbolic Recognition</w:t>
      </w:r>
      <w:bookmarkEnd w:id="36"/>
    </w:p>
    <w:p w14:paraId="04C0796C" w14:textId="5847D29D" w:rsidR="00EA21E4" w:rsidRDefault="00EA21E4" w:rsidP="00EA21E4">
      <w:pPr>
        <w:pStyle w:val="Heading2"/>
      </w:pPr>
      <w:bookmarkStart w:id="37" w:name="_Toc220591756"/>
      <w:r>
        <w:t>5.4 (Hypotheses/Expectations)</w:t>
      </w:r>
      <w:bookmarkEnd w:id="37"/>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38" w:name="_Toc220591757"/>
      <w:r>
        <w:t>5.5 (Data/Design)</w:t>
      </w:r>
      <w:bookmarkEnd w:id="38"/>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(B) Maybe this can be FOIA’d, but if not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t>Floor speech or public testimony</w:t>
      </w:r>
    </w:p>
    <w:p w14:paraId="3DFF1C1B" w14:textId="4FE4BA8B" w:rsidR="008B7300" w:rsidRDefault="008B7300" w:rsidP="008B7300">
      <w:pPr>
        <w:pStyle w:val="ListParagraph"/>
        <w:numPr>
          <w:ilvl w:val="3"/>
          <w:numId w:val="15"/>
        </w:numPr>
      </w:pPr>
      <w:r>
        <w:t>Etc</w:t>
      </w:r>
    </w:p>
    <w:p w14:paraId="659C3C9F" w14:textId="0B1B3042" w:rsidR="008B7300" w:rsidRDefault="008B7300" w:rsidP="008B7300">
      <w:pPr>
        <w:pStyle w:val="ListParagraph"/>
        <w:numPr>
          <w:ilvl w:val="2"/>
          <w:numId w:val="15"/>
        </w:numPr>
      </w:pPr>
      <w:r>
        <w:t>(C) If so, ideally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lastRenderedPageBreak/>
        <w:t>Implement coding schemes for A, B, C</w:t>
      </w:r>
    </w:p>
    <w:p w14:paraId="36BE491D" w14:textId="072A4524" w:rsidR="00EA21E4" w:rsidRDefault="00EA21E4" w:rsidP="00EA21E4">
      <w:pPr>
        <w:pStyle w:val="Heading1"/>
      </w:pPr>
      <w:bookmarkStart w:id="39" w:name="_Toc220591758"/>
      <w:r>
        <w:t>VI. Conclusion &amp; Implications</w:t>
      </w:r>
      <w:bookmarkEnd w:id="39"/>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Maybe actually notes on viability, backups, exit ramps, etc</w:t>
      </w:r>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9" w:author="Kristina Mensik" w:date="2026-01-27T23:42:00Z" w:initials="KM">
    <w:p w14:paraId="1ABF7D46" w14:textId="77777777"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0"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1"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2"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3"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4"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5"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26"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7"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E115F0"/>
    <w:multiLevelType w:val="hybridMultilevel"/>
    <w:tmpl w:val="B2AC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8"/>
  </w:num>
  <w:num w:numId="3" w16cid:durableId="1941909325">
    <w:abstractNumId w:val="14"/>
  </w:num>
  <w:num w:numId="4" w16cid:durableId="1778213345">
    <w:abstractNumId w:val="9"/>
  </w:num>
  <w:num w:numId="5" w16cid:durableId="433479709">
    <w:abstractNumId w:val="1"/>
  </w:num>
  <w:num w:numId="6" w16cid:durableId="11615285">
    <w:abstractNumId w:val="4"/>
  </w:num>
  <w:num w:numId="7" w16cid:durableId="1448307287">
    <w:abstractNumId w:val="19"/>
  </w:num>
  <w:num w:numId="8" w16cid:durableId="1409426247">
    <w:abstractNumId w:val="8"/>
  </w:num>
  <w:num w:numId="9" w16cid:durableId="1345519617">
    <w:abstractNumId w:val="15"/>
  </w:num>
  <w:num w:numId="10" w16cid:durableId="607542148">
    <w:abstractNumId w:val="5"/>
  </w:num>
  <w:num w:numId="11" w16cid:durableId="591202567">
    <w:abstractNumId w:val="3"/>
  </w:num>
  <w:num w:numId="12" w16cid:durableId="681200645">
    <w:abstractNumId w:val="7"/>
  </w:num>
  <w:num w:numId="13" w16cid:durableId="1063063690">
    <w:abstractNumId w:val="12"/>
  </w:num>
  <w:num w:numId="14" w16cid:durableId="1687562852">
    <w:abstractNumId w:val="2"/>
  </w:num>
  <w:num w:numId="15" w16cid:durableId="1490898072">
    <w:abstractNumId w:val="10"/>
  </w:num>
  <w:num w:numId="16" w16cid:durableId="1250312468">
    <w:abstractNumId w:val="16"/>
  </w:num>
  <w:num w:numId="17" w16cid:durableId="175534330">
    <w:abstractNumId w:val="21"/>
  </w:num>
  <w:num w:numId="18" w16cid:durableId="1852602535">
    <w:abstractNumId w:val="20"/>
  </w:num>
  <w:num w:numId="19" w16cid:durableId="1392343131">
    <w:abstractNumId w:val="6"/>
  </w:num>
  <w:num w:numId="20" w16cid:durableId="350179728">
    <w:abstractNumId w:val="17"/>
  </w:num>
  <w:num w:numId="21" w16cid:durableId="1198662055">
    <w:abstractNumId w:val="11"/>
  </w:num>
  <w:num w:numId="22" w16cid:durableId="1512258154">
    <w:abstractNumId w:val="13"/>
  </w:num>
  <w:num w:numId="23" w16cid:durableId="648899330">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94164"/>
    <w:rsid w:val="000A76EF"/>
    <w:rsid w:val="000B30FA"/>
    <w:rsid w:val="000B4664"/>
    <w:rsid w:val="000F5AC3"/>
    <w:rsid w:val="00111FF6"/>
    <w:rsid w:val="00125550"/>
    <w:rsid w:val="00131DE9"/>
    <w:rsid w:val="001322D3"/>
    <w:rsid w:val="00136AC2"/>
    <w:rsid w:val="00143D48"/>
    <w:rsid w:val="00174ED0"/>
    <w:rsid w:val="001B2D86"/>
    <w:rsid w:val="001B48DC"/>
    <w:rsid w:val="00205AEE"/>
    <w:rsid w:val="00225C10"/>
    <w:rsid w:val="00233390"/>
    <w:rsid w:val="00240A6F"/>
    <w:rsid w:val="00246AF1"/>
    <w:rsid w:val="00266341"/>
    <w:rsid w:val="00270898"/>
    <w:rsid w:val="00271D07"/>
    <w:rsid w:val="00283691"/>
    <w:rsid w:val="002A3948"/>
    <w:rsid w:val="002B3DB6"/>
    <w:rsid w:val="002B4613"/>
    <w:rsid w:val="002C5E98"/>
    <w:rsid w:val="002E11D9"/>
    <w:rsid w:val="002E45DE"/>
    <w:rsid w:val="002E554D"/>
    <w:rsid w:val="002F253B"/>
    <w:rsid w:val="0030716D"/>
    <w:rsid w:val="0033373D"/>
    <w:rsid w:val="003C5E61"/>
    <w:rsid w:val="003D04AB"/>
    <w:rsid w:val="003F5B8E"/>
    <w:rsid w:val="003F75C4"/>
    <w:rsid w:val="004161A4"/>
    <w:rsid w:val="0043512D"/>
    <w:rsid w:val="00436053"/>
    <w:rsid w:val="00446FB8"/>
    <w:rsid w:val="00470BC2"/>
    <w:rsid w:val="00484ECE"/>
    <w:rsid w:val="004C5FFA"/>
    <w:rsid w:val="004D6C30"/>
    <w:rsid w:val="00507543"/>
    <w:rsid w:val="00513587"/>
    <w:rsid w:val="005148E4"/>
    <w:rsid w:val="005224C6"/>
    <w:rsid w:val="00547DFE"/>
    <w:rsid w:val="00566F1C"/>
    <w:rsid w:val="0058199D"/>
    <w:rsid w:val="005830D8"/>
    <w:rsid w:val="005A41B1"/>
    <w:rsid w:val="005E0F1E"/>
    <w:rsid w:val="005F0549"/>
    <w:rsid w:val="00664ED4"/>
    <w:rsid w:val="00680A7B"/>
    <w:rsid w:val="006A4D59"/>
    <w:rsid w:val="006A7CB9"/>
    <w:rsid w:val="006B2E88"/>
    <w:rsid w:val="006C0245"/>
    <w:rsid w:val="006C16E1"/>
    <w:rsid w:val="006C1F9D"/>
    <w:rsid w:val="006F1100"/>
    <w:rsid w:val="00717843"/>
    <w:rsid w:val="00730171"/>
    <w:rsid w:val="0077211D"/>
    <w:rsid w:val="00774DA6"/>
    <w:rsid w:val="00790F56"/>
    <w:rsid w:val="007C5054"/>
    <w:rsid w:val="007D6D50"/>
    <w:rsid w:val="00806BEF"/>
    <w:rsid w:val="00816D08"/>
    <w:rsid w:val="00816D52"/>
    <w:rsid w:val="008341D1"/>
    <w:rsid w:val="00842B23"/>
    <w:rsid w:val="00860986"/>
    <w:rsid w:val="00871980"/>
    <w:rsid w:val="00872495"/>
    <w:rsid w:val="008728BF"/>
    <w:rsid w:val="008763DC"/>
    <w:rsid w:val="00876A4C"/>
    <w:rsid w:val="008804DB"/>
    <w:rsid w:val="00887E83"/>
    <w:rsid w:val="008A5243"/>
    <w:rsid w:val="008B7300"/>
    <w:rsid w:val="008C69B6"/>
    <w:rsid w:val="008F3A00"/>
    <w:rsid w:val="00905D0C"/>
    <w:rsid w:val="009122D1"/>
    <w:rsid w:val="00914F65"/>
    <w:rsid w:val="00941B9C"/>
    <w:rsid w:val="00963639"/>
    <w:rsid w:val="009800D5"/>
    <w:rsid w:val="00986478"/>
    <w:rsid w:val="009E1C32"/>
    <w:rsid w:val="00A07EB3"/>
    <w:rsid w:val="00A273CB"/>
    <w:rsid w:val="00A34739"/>
    <w:rsid w:val="00A45569"/>
    <w:rsid w:val="00A56C15"/>
    <w:rsid w:val="00AA79AA"/>
    <w:rsid w:val="00AC5462"/>
    <w:rsid w:val="00AF25FC"/>
    <w:rsid w:val="00B16575"/>
    <w:rsid w:val="00B2420D"/>
    <w:rsid w:val="00B316C7"/>
    <w:rsid w:val="00B4437D"/>
    <w:rsid w:val="00B56A00"/>
    <w:rsid w:val="00C1170E"/>
    <w:rsid w:val="00C27A2F"/>
    <w:rsid w:val="00C349D5"/>
    <w:rsid w:val="00C76FC2"/>
    <w:rsid w:val="00C92ED2"/>
    <w:rsid w:val="00CA79E1"/>
    <w:rsid w:val="00CC1890"/>
    <w:rsid w:val="00CE17D6"/>
    <w:rsid w:val="00CF121A"/>
    <w:rsid w:val="00D11123"/>
    <w:rsid w:val="00D30FC8"/>
    <w:rsid w:val="00D406C3"/>
    <w:rsid w:val="00D43D9B"/>
    <w:rsid w:val="00D54981"/>
    <w:rsid w:val="00D8245A"/>
    <w:rsid w:val="00D92C2B"/>
    <w:rsid w:val="00D95CAD"/>
    <w:rsid w:val="00DA65F4"/>
    <w:rsid w:val="00DE4A5C"/>
    <w:rsid w:val="00DF01EF"/>
    <w:rsid w:val="00DF58C2"/>
    <w:rsid w:val="00E256ED"/>
    <w:rsid w:val="00E31CA4"/>
    <w:rsid w:val="00E451D6"/>
    <w:rsid w:val="00E82284"/>
    <w:rsid w:val="00E87CD4"/>
    <w:rsid w:val="00EA21E4"/>
    <w:rsid w:val="00EA384C"/>
    <w:rsid w:val="00EC61F1"/>
    <w:rsid w:val="00ED4ED6"/>
    <w:rsid w:val="00ED67E1"/>
    <w:rsid w:val="00EF4A48"/>
    <w:rsid w:val="00F05259"/>
    <w:rsid w:val="00F416BB"/>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 w:type="paragraph" w:customStyle="1" w:styleId="font-claude-response-body">
    <w:name w:val="font-claude-response-body"/>
    <w:basedOn w:val="Normal"/>
    <w:rsid w:val="00816D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16D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29</Pages>
  <Words>8467</Words>
  <Characters>51314</Characters>
  <Application>Microsoft Office Word</Application>
  <DocSecurity>0</DocSecurity>
  <Lines>801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5</cp:revision>
  <dcterms:created xsi:type="dcterms:W3CDTF">2026-02-11T14:02:00Z</dcterms:created>
  <dcterms:modified xsi:type="dcterms:W3CDTF">2026-02-11T15:18:00Z</dcterms:modified>
</cp:coreProperties>
</file>