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70CCE" w14:textId="4A4C0477" w:rsidR="00650785" w:rsidRDefault="00650785" w:rsidP="007A143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Sampling strategy notes</w:t>
      </w:r>
    </w:p>
    <w:p w14:paraId="398197F7" w14:textId="7E7B2C7F" w:rsidR="007A1436" w:rsidRPr="007A1436" w:rsidRDefault="007A1436" w:rsidP="007A1436">
      <w:pPr>
        <w:spacing w:before="100" w:beforeAutospacing="1" w:after="100" w:afterAutospacing="1" w:line="240" w:lineRule="auto"/>
        <w:rPr>
          <w:rFonts w:ascii="Times New Roman" w:eastAsia="Times New Roman" w:hAnsi="Times New Roman" w:cs="Times New Roman"/>
          <w:kern w:val="0"/>
          <w14:ligatures w14:val="none"/>
        </w:rPr>
      </w:pPr>
      <w:r w:rsidRPr="007A1436">
        <w:rPr>
          <w:rFonts w:ascii="Times New Roman" w:eastAsia="Times New Roman" w:hAnsi="Times New Roman" w:cs="Times New Roman"/>
          <w:kern w:val="0"/>
          <w14:ligatures w14:val="none"/>
        </w:rPr>
        <w:t xml:space="preserve">The sampling strategy for this chapter follows the logic of constructivist grounded theory while remaining consistent with the chapter’s abductive orientation. In grounded theory, sampling begins with an initial purposive strategy but subsequently evolves through theoretical sampling, in which additional cases are selected </w:t>
      </w:r>
      <w:proofErr w:type="gramStart"/>
      <w:r w:rsidRPr="007A1436">
        <w:rPr>
          <w:rFonts w:ascii="Times New Roman" w:eastAsia="Times New Roman" w:hAnsi="Times New Roman" w:cs="Times New Roman"/>
          <w:kern w:val="0"/>
          <w14:ligatures w14:val="none"/>
        </w:rPr>
        <w:t>in order to</w:t>
      </w:r>
      <w:proofErr w:type="gramEnd"/>
      <w:r w:rsidRPr="007A1436">
        <w:rPr>
          <w:rFonts w:ascii="Times New Roman" w:eastAsia="Times New Roman" w:hAnsi="Times New Roman" w:cs="Times New Roman"/>
          <w:kern w:val="0"/>
          <w14:ligatures w14:val="none"/>
        </w:rPr>
        <w:t xml:space="preserve"> elaborate, refine, or challenge emerging analytic categories. Rather than aiming to represent a population statistically, theoretical sampling seeks data that illuminate developing concepts and clarify relationships among them. </w:t>
      </w:r>
    </w:p>
    <w:p w14:paraId="5B6037B7" w14:textId="77777777" w:rsidR="007A1436" w:rsidRPr="007A1436" w:rsidRDefault="007A1436" w:rsidP="007A1436">
      <w:pPr>
        <w:spacing w:before="100" w:beforeAutospacing="1" w:after="100" w:afterAutospacing="1" w:line="240" w:lineRule="auto"/>
        <w:rPr>
          <w:rFonts w:ascii="Times New Roman" w:eastAsia="Times New Roman" w:hAnsi="Times New Roman" w:cs="Times New Roman"/>
          <w:kern w:val="0"/>
          <w14:ligatures w14:val="none"/>
        </w:rPr>
      </w:pPr>
      <w:r w:rsidRPr="007A1436">
        <w:rPr>
          <w:rFonts w:ascii="Times New Roman" w:eastAsia="Times New Roman" w:hAnsi="Times New Roman" w:cs="Times New Roman"/>
          <w:kern w:val="0"/>
          <w14:ligatures w14:val="none"/>
        </w:rPr>
        <w:t>Accordingly, sampling in this chapter proceeds in two stages: initial purposive sampling designed to capture theoretically relevant variation, followed by theoretical sampling guided by emerging analytic questions during the research process.</w:t>
      </w:r>
    </w:p>
    <w:p w14:paraId="26BA88DF" w14:textId="13609E85" w:rsidR="007A1436" w:rsidRPr="00163A05" w:rsidRDefault="007A1436" w:rsidP="007A1436">
      <w:pPr>
        <w:spacing w:before="100" w:beforeAutospacing="1" w:after="100" w:afterAutospacing="1" w:line="240" w:lineRule="auto"/>
        <w:rPr>
          <w:rFonts w:ascii="Times New Roman" w:eastAsia="Times New Roman" w:hAnsi="Times New Roman" w:cs="Times New Roman"/>
          <w:kern w:val="0"/>
          <w14:ligatures w14:val="none"/>
        </w:rPr>
      </w:pPr>
      <w:r w:rsidRPr="00163A05">
        <w:rPr>
          <w:rFonts w:ascii="Times New Roman" w:eastAsia="Times New Roman" w:hAnsi="Times New Roman" w:cs="Times New Roman"/>
          <w:kern w:val="0"/>
          <w14:ligatures w14:val="none"/>
        </w:rPr>
        <w:t>S</w:t>
      </w:r>
      <w:r w:rsidRPr="007A1436">
        <w:rPr>
          <w:rFonts w:ascii="Times New Roman" w:eastAsia="Times New Roman" w:hAnsi="Times New Roman" w:cs="Times New Roman"/>
          <w:kern w:val="0"/>
          <w14:ligatures w14:val="none"/>
        </w:rPr>
        <w:t>cholarship on descriptive representation, policy feedback, and experiential proximity suggests that legislators’ backgrounds and relationships to the criminal legal system may shape how they interpret constituency boundaries and evaluate the credibility of marginalized groups’ claims</w:t>
      </w:r>
      <w:r w:rsidRPr="00163A05">
        <w:rPr>
          <w:rFonts w:ascii="Times New Roman" w:eastAsia="Times New Roman" w:hAnsi="Times New Roman" w:cs="Times New Roman"/>
          <w:kern w:val="0"/>
          <w14:ligatures w14:val="none"/>
        </w:rPr>
        <w:t xml:space="preserve">. Thus, </w:t>
      </w:r>
      <w:r w:rsidRPr="00163A05">
        <w:t>t</w:t>
      </w:r>
      <w:r w:rsidRPr="00163A05">
        <w:t>he initial legislator sample includes purposively selected legislators whose experiences vary along two theoretically relevant dimensions: experiential proximity to the carceral state, and professional orientation toward criminal legal institutions. Along the first dimension, the sample includes:</w:t>
      </w:r>
    </w:p>
    <w:p w14:paraId="5D21A1FC" w14:textId="77777777" w:rsidR="007A1436" w:rsidRPr="00163A05" w:rsidRDefault="007A1436" w:rsidP="007A1436">
      <w:pPr>
        <w:pStyle w:val="whitespace-normal"/>
        <w:numPr>
          <w:ilvl w:val="0"/>
          <w:numId w:val="44"/>
        </w:numPr>
      </w:pPr>
      <w:r w:rsidRPr="00163A05">
        <w:rPr>
          <w:rStyle w:val="Strong"/>
          <w:rFonts w:eastAsiaTheme="majorEastAsia"/>
          <w:b w:val="0"/>
          <w:bCs w:val="0"/>
        </w:rPr>
        <w:t>Directly impacted legislators</w:t>
      </w:r>
      <w:r w:rsidRPr="00163A05">
        <w:t>, including those who have themselves experienced incarceration or whose immediate family members have had criminal legal system contact.</w:t>
      </w:r>
    </w:p>
    <w:p w14:paraId="6E502B9E" w14:textId="77777777" w:rsidR="007A1436" w:rsidRPr="00163A05" w:rsidRDefault="007A1436" w:rsidP="007A1436">
      <w:pPr>
        <w:pStyle w:val="whitespace-normal"/>
        <w:numPr>
          <w:ilvl w:val="0"/>
          <w:numId w:val="44"/>
        </w:numPr>
      </w:pPr>
      <w:r w:rsidRPr="00163A05">
        <w:rPr>
          <w:rStyle w:val="Strong"/>
          <w:rFonts w:eastAsiaTheme="majorEastAsia"/>
          <w:b w:val="0"/>
          <w:bCs w:val="0"/>
        </w:rPr>
        <w:t>Proximally impacted legislators</w:t>
      </w:r>
      <w:r w:rsidRPr="00163A05">
        <w:t>, including those with sustained personal, community, or professional relationships with incarcerated or formerly incarcerated individuals.</w:t>
      </w:r>
    </w:p>
    <w:p w14:paraId="14A63BE5" w14:textId="77777777" w:rsidR="007A1436" w:rsidRPr="00163A05" w:rsidRDefault="007A1436" w:rsidP="007A1436">
      <w:pPr>
        <w:pStyle w:val="whitespace-normal"/>
        <w:numPr>
          <w:ilvl w:val="0"/>
          <w:numId w:val="44"/>
        </w:numPr>
      </w:pPr>
      <w:r w:rsidRPr="00163A05">
        <w:rPr>
          <w:rStyle w:val="Strong"/>
          <w:rFonts w:eastAsiaTheme="majorEastAsia"/>
          <w:b w:val="0"/>
          <w:bCs w:val="0"/>
        </w:rPr>
        <w:t>Legislators without direct personal proximity</w:t>
      </w:r>
      <w:r w:rsidRPr="00163A05">
        <w:t xml:space="preserve">, including those engaged in criminal legal policy and those who are not, </w:t>
      </w:r>
      <w:proofErr w:type="gramStart"/>
      <w:r w:rsidRPr="00163A05">
        <w:t>in order to</w:t>
      </w:r>
      <w:proofErr w:type="gramEnd"/>
      <w:r w:rsidRPr="00163A05">
        <w:t xml:space="preserve"> establish analytic contrast with the impacted categories.</w:t>
      </w:r>
    </w:p>
    <w:p w14:paraId="48547E75" w14:textId="77777777" w:rsidR="007A1436" w:rsidRPr="00163A05" w:rsidRDefault="007A1436" w:rsidP="007A1436">
      <w:pPr>
        <w:pStyle w:val="font-claude-response-body"/>
      </w:pPr>
      <w:r w:rsidRPr="00163A05">
        <w:t xml:space="preserve">Cutting across these proximity distinctions, the sample also includes variation in professional background: legislators with careers in corrections, policing, or prosecution; those with backgrounds in defense, advocacy, or reform; and those without professional experience in criminal legal institutions. This </w:t>
      </w:r>
      <w:proofErr w:type="gramStart"/>
      <w:r w:rsidRPr="00163A05">
        <w:t>second dimension</w:t>
      </w:r>
      <w:proofErr w:type="gramEnd"/>
      <w:r w:rsidRPr="00163A05">
        <w:t xml:space="preserve"> matters because professional socialization within carceral institutions may shape how legislators interpret the credibility and political standing of incarcerated constituencies independently of personal proximity.</w:t>
      </w:r>
    </w:p>
    <w:p w14:paraId="119741BE" w14:textId="62CB705C" w:rsidR="007A1436" w:rsidRPr="00163A05" w:rsidRDefault="007A1436" w:rsidP="007A1436">
      <w:pPr>
        <w:pStyle w:val="font-claude-response-body"/>
      </w:pPr>
      <w:r w:rsidRPr="00163A05">
        <w:t>This</w:t>
      </w:r>
      <w:r w:rsidRPr="00163A05">
        <w:t xml:space="preserve"> chapter also includes interviews with incarcerated organizers and formerly incarcerated advocates who have direct experience navigating the boundary between carceral institutions and legislative politics. These participants illuminate how </w:t>
      </w:r>
      <w:proofErr w:type="spellStart"/>
      <w:proofErr w:type="gramStart"/>
      <w:r w:rsidRPr="00163A05">
        <w:t>carcerally</w:t>
      </w:r>
      <w:proofErr w:type="spellEnd"/>
      <w:r w:rsidRPr="00163A05">
        <w:t>-impacted</w:t>
      </w:r>
      <w:proofErr w:type="gramEnd"/>
      <w:r w:rsidRPr="00163A05">
        <w:t xml:space="preserve"> actors interpret their own political standing, evaluate the responsiveness of legislative actors, and make sense of the conditions under which legislative engagement feels available or foreclosed.</w:t>
      </w:r>
    </w:p>
    <w:p w14:paraId="72C1D7F5" w14:textId="77777777" w:rsidR="007A1436" w:rsidRPr="00163A05" w:rsidRDefault="007A1436" w:rsidP="007A1436">
      <w:pPr>
        <w:pStyle w:val="font-claude-response-body"/>
      </w:pPr>
      <w:r w:rsidRPr="00163A05">
        <w:t xml:space="preserve">Initial recruitment will proceed through existing professional networks and referrals, which are concentrated among organizers who have attempted direct legislative engagement. This starting point reflects practical access rather than a principled selection criterion, and it introduces a </w:t>
      </w:r>
      <w:r w:rsidRPr="00163A05">
        <w:lastRenderedPageBreak/>
        <w:t xml:space="preserve">potential limitation: people for whom legislative engagement never seemed possible — or who disengaged after failed attempts — may be underrepresented in early interviews. Theoretical sampling will work against this by actively seeking contrast cases as analysis develops, including organizers with limited or no legislative contact, </w:t>
      </w:r>
      <w:proofErr w:type="gramStart"/>
      <w:r w:rsidRPr="00163A05">
        <w:t>in order to</w:t>
      </w:r>
      <w:proofErr w:type="gramEnd"/>
      <w:r w:rsidRPr="00163A05">
        <w:t xml:space="preserve"> clarify the conditions under which representational relationships are experienced as accessible versus structurally closed.</w:t>
      </w:r>
    </w:p>
    <w:p w14:paraId="3526EAFD" w14:textId="0B6ACF15" w:rsidR="007A1436" w:rsidRPr="007A1436" w:rsidRDefault="007A1436" w:rsidP="007A1436">
      <w:pPr>
        <w:spacing w:before="100" w:beforeAutospacing="1" w:after="100" w:afterAutospacing="1" w:line="240" w:lineRule="auto"/>
        <w:rPr>
          <w:rFonts w:ascii="Times New Roman" w:eastAsia="Times New Roman" w:hAnsi="Times New Roman" w:cs="Times New Roman"/>
          <w:kern w:val="0"/>
          <w14:ligatures w14:val="none"/>
        </w:rPr>
      </w:pPr>
      <w:r w:rsidRPr="007A1436">
        <w:rPr>
          <w:rFonts w:ascii="Times New Roman" w:eastAsia="Times New Roman" w:hAnsi="Times New Roman" w:cs="Times New Roman"/>
          <w:kern w:val="0"/>
          <w14:ligatures w14:val="none"/>
        </w:rPr>
        <w:t>Consistent with grounded theory practice, sampling will not remain fixed throughout the research process. As interviews are coded and analyzed, emerging analytic categories will guide subsequent sampling decisions. Theoretical sampling will therefore be used to gather additional data that clarify the properties of key categories, identify variation within them, and refine relationships among them</w:t>
      </w:r>
      <w:r w:rsidRPr="00163A05">
        <w:rPr>
          <w:rFonts w:ascii="Times New Roman" w:eastAsia="Times New Roman" w:hAnsi="Times New Roman" w:cs="Times New Roman"/>
          <w:kern w:val="0"/>
          <w14:ligatures w14:val="none"/>
        </w:rPr>
        <w:t>, and s</w:t>
      </w:r>
      <w:r w:rsidRPr="007A1436">
        <w:rPr>
          <w:rFonts w:ascii="Times New Roman" w:eastAsia="Times New Roman" w:hAnsi="Times New Roman" w:cs="Times New Roman"/>
          <w:kern w:val="0"/>
          <w14:ligatures w14:val="none"/>
        </w:rPr>
        <w:t xml:space="preserve">ampling </w:t>
      </w:r>
      <w:r w:rsidRPr="00163A05">
        <w:rPr>
          <w:rFonts w:ascii="Times New Roman" w:eastAsia="Times New Roman" w:hAnsi="Times New Roman" w:cs="Times New Roman"/>
          <w:kern w:val="0"/>
          <w14:ligatures w14:val="none"/>
        </w:rPr>
        <w:t>will</w:t>
      </w:r>
      <w:r w:rsidRPr="007A1436">
        <w:rPr>
          <w:rFonts w:ascii="Times New Roman" w:eastAsia="Times New Roman" w:hAnsi="Times New Roman" w:cs="Times New Roman"/>
          <w:kern w:val="0"/>
          <w14:ligatures w14:val="none"/>
        </w:rPr>
        <w:t xml:space="preserve"> </w:t>
      </w:r>
      <w:r w:rsidRPr="00163A05">
        <w:rPr>
          <w:rFonts w:ascii="Times New Roman" w:eastAsia="Times New Roman" w:hAnsi="Times New Roman" w:cs="Times New Roman"/>
          <w:kern w:val="0"/>
          <w14:ligatures w14:val="none"/>
        </w:rPr>
        <w:t>continue</w:t>
      </w:r>
      <w:r w:rsidRPr="007A1436">
        <w:rPr>
          <w:rFonts w:ascii="Times New Roman" w:eastAsia="Times New Roman" w:hAnsi="Times New Roman" w:cs="Times New Roman"/>
          <w:kern w:val="0"/>
          <w14:ligatures w14:val="none"/>
        </w:rPr>
        <w:t xml:space="preserve"> until categories are sufficiently elaborated to account for variation in the data and to clarify relationships among emerging concepts</w:t>
      </w:r>
      <w:r w:rsidRPr="00163A05">
        <w:rPr>
          <w:rFonts w:ascii="Times New Roman" w:eastAsia="Times New Roman" w:hAnsi="Times New Roman" w:cs="Times New Roman"/>
          <w:kern w:val="0"/>
          <w14:ligatures w14:val="none"/>
        </w:rPr>
        <w:t xml:space="preserve"> (or my time and resources are up. </w:t>
      </w:r>
    </w:p>
    <w:p w14:paraId="3111C095" w14:textId="1C4622C7" w:rsidR="007A1436" w:rsidRPr="00163A05" w:rsidRDefault="007A1436" w:rsidP="007A1436">
      <w:pPr>
        <w:spacing w:before="100" w:beforeAutospacing="1" w:after="100" w:afterAutospacing="1" w:line="240" w:lineRule="auto"/>
        <w:rPr>
          <w:rFonts w:ascii="Times New Roman" w:eastAsia="Times New Roman" w:hAnsi="Times New Roman" w:cs="Times New Roman"/>
          <w:kern w:val="0"/>
          <w14:ligatures w14:val="none"/>
        </w:rPr>
      </w:pPr>
      <w:r w:rsidRPr="00163A05">
        <w:rPr>
          <w:rFonts w:ascii="Times New Roman" w:eastAsia="Times New Roman" w:hAnsi="Times New Roman" w:cs="Times New Roman"/>
          <w:kern w:val="0"/>
          <w14:ligatures w14:val="none"/>
        </w:rPr>
        <w:t xml:space="preserve">To that point: while </w:t>
      </w:r>
      <w:r w:rsidRPr="007A1436">
        <w:rPr>
          <w:rFonts w:ascii="Times New Roman" w:eastAsia="Times New Roman" w:hAnsi="Times New Roman" w:cs="Times New Roman"/>
          <w:kern w:val="0"/>
          <w14:ligatures w14:val="none"/>
        </w:rPr>
        <w:t>the goal is to develop analytically robust categories that illuminate how legislators recognize, interpret, and enact representation of carceral constituencies and how those practices are experienced by the actors who attempt to engage the</w:t>
      </w:r>
      <w:r w:rsidRPr="00163A05">
        <w:rPr>
          <w:rFonts w:ascii="Times New Roman" w:eastAsia="Times New Roman" w:hAnsi="Times New Roman" w:cs="Times New Roman"/>
          <w:kern w:val="0"/>
          <w14:ligatures w14:val="none"/>
        </w:rPr>
        <w:t xml:space="preserve">m – rather than statistically representative samples – this may be conditioned by feasibility constraints. </w:t>
      </w:r>
    </w:p>
    <w:p w14:paraId="5323A54F" w14:textId="77777777" w:rsidR="004C4FD6" w:rsidRPr="00163A05" w:rsidRDefault="004C4FD6"/>
    <w:sectPr w:rsidR="004C4FD6" w:rsidRPr="00163A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6A7"/>
    <w:multiLevelType w:val="multilevel"/>
    <w:tmpl w:val="77EE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6272"/>
    <w:multiLevelType w:val="multilevel"/>
    <w:tmpl w:val="F7F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7553D"/>
    <w:multiLevelType w:val="multilevel"/>
    <w:tmpl w:val="942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15FA2"/>
    <w:multiLevelType w:val="multilevel"/>
    <w:tmpl w:val="1DF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E0321"/>
    <w:multiLevelType w:val="multilevel"/>
    <w:tmpl w:val="86A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A6D36"/>
    <w:multiLevelType w:val="multilevel"/>
    <w:tmpl w:val="0816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A51D6"/>
    <w:multiLevelType w:val="multilevel"/>
    <w:tmpl w:val="8536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67995"/>
    <w:multiLevelType w:val="multilevel"/>
    <w:tmpl w:val="2FC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004AE"/>
    <w:multiLevelType w:val="multilevel"/>
    <w:tmpl w:val="6F8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20B85"/>
    <w:multiLevelType w:val="multilevel"/>
    <w:tmpl w:val="224E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260FA"/>
    <w:multiLevelType w:val="multilevel"/>
    <w:tmpl w:val="294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77092"/>
    <w:multiLevelType w:val="multilevel"/>
    <w:tmpl w:val="C3A4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554D1"/>
    <w:multiLevelType w:val="multilevel"/>
    <w:tmpl w:val="17DE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67FE4"/>
    <w:multiLevelType w:val="multilevel"/>
    <w:tmpl w:val="30D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913C5"/>
    <w:multiLevelType w:val="multilevel"/>
    <w:tmpl w:val="3CA0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E1314"/>
    <w:multiLevelType w:val="multilevel"/>
    <w:tmpl w:val="5A5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53622"/>
    <w:multiLevelType w:val="multilevel"/>
    <w:tmpl w:val="0AC4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71766"/>
    <w:multiLevelType w:val="multilevel"/>
    <w:tmpl w:val="B68A3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E0470D"/>
    <w:multiLevelType w:val="multilevel"/>
    <w:tmpl w:val="E5C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F5140"/>
    <w:multiLevelType w:val="multilevel"/>
    <w:tmpl w:val="80C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6618E"/>
    <w:multiLevelType w:val="multilevel"/>
    <w:tmpl w:val="94DE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E0EBE"/>
    <w:multiLevelType w:val="multilevel"/>
    <w:tmpl w:val="9F4C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86C5D"/>
    <w:multiLevelType w:val="multilevel"/>
    <w:tmpl w:val="FDF8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E007A"/>
    <w:multiLevelType w:val="multilevel"/>
    <w:tmpl w:val="F85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0046F"/>
    <w:multiLevelType w:val="multilevel"/>
    <w:tmpl w:val="8874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91202"/>
    <w:multiLevelType w:val="multilevel"/>
    <w:tmpl w:val="FB96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B3EEA"/>
    <w:multiLevelType w:val="multilevel"/>
    <w:tmpl w:val="C48C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06086"/>
    <w:multiLevelType w:val="multilevel"/>
    <w:tmpl w:val="A0E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86867"/>
    <w:multiLevelType w:val="multilevel"/>
    <w:tmpl w:val="1586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A704B"/>
    <w:multiLevelType w:val="multilevel"/>
    <w:tmpl w:val="58B4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2690B"/>
    <w:multiLevelType w:val="multilevel"/>
    <w:tmpl w:val="38C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E1230"/>
    <w:multiLevelType w:val="multilevel"/>
    <w:tmpl w:val="D84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94C9E"/>
    <w:multiLevelType w:val="multilevel"/>
    <w:tmpl w:val="250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560F4"/>
    <w:multiLevelType w:val="multilevel"/>
    <w:tmpl w:val="7156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61328"/>
    <w:multiLevelType w:val="multilevel"/>
    <w:tmpl w:val="44D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2D0E37"/>
    <w:multiLevelType w:val="multilevel"/>
    <w:tmpl w:val="2E88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C30E7"/>
    <w:multiLevelType w:val="multilevel"/>
    <w:tmpl w:val="B96C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921F6"/>
    <w:multiLevelType w:val="multilevel"/>
    <w:tmpl w:val="FFD2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F0A82"/>
    <w:multiLevelType w:val="multilevel"/>
    <w:tmpl w:val="A90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87BE8"/>
    <w:multiLevelType w:val="multilevel"/>
    <w:tmpl w:val="82D6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351B5"/>
    <w:multiLevelType w:val="multilevel"/>
    <w:tmpl w:val="B8D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827661"/>
    <w:multiLevelType w:val="multilevel"/>
    <w:tmpl w:val="921A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B0112"/>
    <w:multiLevelType w:val="multilevel"/>
    <w:tmpl w:val="875E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FE0DB8"/>
    <w:multiLevelType w:val="multilevel"/>
    <w:tmpl w:val="FCBA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581420">
    <w:abstractNumId w:val="30"/>
  </w:num>
  <w:num w:numId="2" w16cid:durableId="1267730033">
    <w:abstractNumId w:val="16"/>
  </w:num>
  <w:num w:numId="3" w16cid:durableId="2081783500">
    <w:abstractNumId w:val="21"/>
  </w:num>
  <w:num w:numId="4" w16cid:durableId="465049201">
    <w:abstractNumId w:val="10"/>
  </w:num>
  <w:num w:numId="5" w16cid:durableId="934483794">
    <w:abstractNumId w:val="12"/>
  </w:num>
  <w:num w:numId="6" w16cid:durableId="118307081">
    <w:abstractNumId w:val="29"/>
  </w:num>
  <w:num w:numId="7" w16cid:durableId="996769323">
    <w:abstractNumId w:val="20"/>
  </w:num>
  <w:num w:numId="8" w16cid:durableId="1863281387">
    <w:abstractNumId w:val="42"/>
  </w:num>
  <w:num w:numId="9" w16cid:durableId="1197235518">
    <w:abstractNumId w:val="41"/>
  </w:num>
  <w:num w:numId="10" w16cid:durableId="1945725127">
    <w:abstractNumId w:val="24"/>
  </w:num>
  <w:num w:numId="11" w16cid:durableId="1954288802">
    <w:abstractNumId w:val="27"/>
  </w:num>
  <w:num w:numId="12" w16cid:durableId="670762510">
    <w:abstractNumId w:val="22"/>
  </w:num>
  <w:num w:numId="13" w16cid:durableId="1185748410">
    <w:abstractNumId w:val="5"/>
  </w:num>
  <w:num w:numId="14" w16cid:durableId="1302886357">
    <w:abstractNumId w:val="17"/>
  </w:num>
  <w:num w:numId="15" w16cid:durableId="1585259441">
    <w:abstractNumId w:val="40"/>
  </w:num>
  <w:num w:numId="16" w16cid:durableId="1032805656">
    <w:abstractNumId w:val="37"/>
  </w:num>
  <w:num w:numId="17" w16cid:durableId="1263221664">
    <w:abstractNumId w:val="9"/>
  </w:num>
  <w:num w:numId="18" w16cid:durableId="987172080">
    <w:abstractNumId w:val="1"/>
  </w:num>
  <w:num w:numId="19" w16cid:durableId="1684936457">
    <w:abstractNumId w:val="43"/>
  </w:num>
  <w:num w:numId="20" w16cid:durableId="492720274">
    <w:abstractNumId w:val="26"/>
  </w:num>
  <w:num w:numId="21" w16cid:durableId="1637563932">
    <w:abstractNumId w:val="13"/>
  </w:num>
  <w:num w:numId="22" w16cid:durableId="272251413">
    <w:abstractNumId w:val="3"/>
  </w:num>
  <w:num w:numId="23" w16cid:durableId="592394797">
    <w:abstractNumId w:val="36"/>
  </w:num>
  <w:num w:numId="24" w16cid:durableId="1007516361">
    <w:abstractNumId w:val="6"/>
  </w:num>
  <w:num w:numId="25" w16cid:durableId="440104954">
    <w:abstractNumId w:val="18"/>
  </w:num>
  <w:num w:numId="26" w16cid:durableId="403767707">
    <w:abstractNumId w:val="38"/>
  </w:num>
  <w:num w:numId="27" w16cid:durableId="1038815045">
    <w:abstractNumId w:val="15"/>
  </w:num>
  <w:num w:numId="28" w16cid:durableId="1390575216">
    <w:abstractNumId w:val="35"/>
  </w:num>
  <w:num w:numId="29" w16cid:durableId="1545563373">
    <w:abstractNumId w:val="31"/>
  </w:num>
  <w:num w:numId="30" w16cid:durableId="2057967375">
    <w:abstractNumId w:val="8"/>
  </w:num>
  <w:num w:numId="31" w16cid:durableId="1186292186">
    <w:abstractNumId w:val="23"/>
  </w:num>
  <w:num w:numId="32" w16cid:durableId="2078478182">
    <w:abstractNumId w:val="14"/>
  </w:num>
  <w:num w:numId="33" w16cid:durableId="1204757002">
    <w:abstractNumId w:val="32"/>
  </w:num>
  <w:num w:numId="34" w16cid:durableId="726683803">
    <w:abstractNumId w:val="2"/>
  </w:num>
  <w:num w:numId="35" w16cid:durableId="1539661139">
    <w:abstractNumId w:val="7"/>
  </w:num>
  <w:num w:numId="36" w16cid:durableId="1576862930">
    <w:abstractNumId w:val="33"/>
  </w:num>
  <w:num w:numId="37" w16cid:durableId="1915234334">
    <w:abstractNumId w:val="4"/>
  </w:num>
  <w:num w:numId="38" w16cid:durableId="133261702">
    <w:abstractNumId w:val="19"/>
  </w:num>
  <w:num w:numId="39" w16cid:durableId="1772163418">
    <w:abstractNumId w:val="0"/>
  </w:num>
  <w:num w:numId="40" w16cid:durableId="1185944045">
    <w:abstractNumId w:val="28"/>
  </w:num>
  <w:num w:numId="41" w16cid:durableId="1816486951">
    <w:abstractNumId w:val="25"/>
  </w:num>
  <w:num w:numId="42" w16cid:durableId="1009791633">
    <w:abstractNumId w:val="39"/>
  </w:num>
  <w:num w:numId="43" w16cid:durableId="1031761453">
    <w:abstractNumId w:val="11"/>
  </w:num>
  <w:num w:numId="44" w16cid:durableId="35103277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FD6"/>
    <w:rsid w:val="001554D9"/>
    <w:rsid w:val="00163A05"/>
    <w:rsid w:val="003A5267"/>
    <w:rsid w:val="004C4FD6"/>
    <w:rsid w:val="00650785"/>
    <w:rsid w:val="007A1436"/>
    <w:rsid w:val="00846FC3"/>
    <w:rsid w:val="008C2728"/>
    <w:rsid w:val="00B4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E480"/>
  <w15:chartTrackingRefBased/>
  <w15:docId w15:val="{62FFC66A-FFF0-4246-88E1-1B5E0EF2C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4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4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4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4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FD6"/>
    <w:rPr>
      <w:rFonts w:eastAsiaTheme="majorEastAsia" w:cstheme="majorBidi"/>
      <w:color w:val="272727" w:themeColor="text1" w:themeTint="D8"/>
    </w:rPr>
  </w:style>
  <w:style w:type="paragraph" w:styleId="Title">
    <w:name w:val="Title"/>
    <w:basedOn w:val="Normal"/>
    <w:next w:val="Normal"/>
    <w:link w:val="TitleChar"/>
    <w:uiPriority w:val="10"/>
    <w:qFormat/>
    <w:rsid w:val="004C4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FD6"/>
    <w:pPr>
      <w:spacing w:before="160"/>
      <w:jc w:val="center"/>
    </w:pPr>
    <w:rPr>
      <w:i/>
      <w:iCs/>
      <w:color w:val="404040" w:themeColor="text1" w:themeTint="BF"/>
    </w:rPr>
  </w:style>
  <w:style w:type="character" w:customStyle="1" w:styleId="QuoteChar">
    <w:name w:val="Quote Char"/>
    <w:basedOn w:val="DefaultParagraphFont"/>
    <w:link w:val="Quote"/>
    <w:uiPriority w:val="29"/>
    <w:rsid w:val="004C4FD6"/>
    <w:rPr>
      <w:i/>
      <w:iCs/>
      <w:color w:val="404040" w:themeColor="text1" w:themeTint="BF"/>
    </w:rPr>
  </w:style>
  <w:style w:type="paragraph" w:styleId="ListParagraph">
    <w:name w:val="List Paragraph"/>
    <w:basedOn w:val="Normal"/>
    <w:uiPriority w:val="34"/>
    <w:qFormat/>
    <w:rsid w:val="004C4FD6"/>
    <w:pPr>
      <w:ind w:left="720"/>
      <w:contextualSpacing/>
    </w:pPr>
  </w:style>
  <w:style w:type="character" w:styleId="IntenseEmphasis">
    <w:name w:val="Intense Emphasis"/>
    <w:basedOn w:val="DefaultParagraphFont"/>
    <w:uiPriority w:val="21"/>
    <w:qFormat/>
    <w:rsid w:val="004C4FD6"/>
    <w:rPr>
      <w:i/>
      <w:iCs/>
      <w:color w:val="0F4761" w:themeColor="accent1" w:themeShade="BF"/>
    </w:rPr>
  </w:style>
  <w:style w:type="paragraph" w:styleId="IntenseQuote">
    <w:name w:val="Intense Quote"/>
    <w:basedOn w:val="Normal"/>
    <w:next w:val="Normal"/>
    <w:link w:val="IntenseQuoteChar"/>
    <w:uiPriority w:val="30"/>
    <w:qFormat/>
    <w:rsid w:val="004C4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FD6"/>
    <w:rPr>
      <w:i/>
      <w:iCs/>
      <w:color w:val="0F4761" w:themeColor="accent1" w:themeShade="BF"/>
    </w:rPr>
  </w:style>
  <w:style w:type="character" w:styleId="IntenseReference">
    <w:name w:val="Intense Reference"/>
    <w:basedOn w:val="DefaultParagraphFont"/>
    <w:uiPriority w:val="32"/>
    <w:qFormat/>
    <w:rsid w:val="004C4FD6"/>
    <w:rPr>
      <w:b/>
      <w:bCs/>
      <w:smallCaps/>
      <w:color w:val="0F4761" w:themeColor="accent1" w:themeShade="BF"/>
      <w:spacing w:val="5"/>
    </w:rPr>
  </w:style>
  <w:style w:type="paragraph" w:styleId="NormalWeb">
    <w:name w:val="Normal (Web)"/>
    <w:basedOn w:val="Normal"/>
    <w:uiPriority w:val="99"/>
    <w:semiHidden/>
    <w:unhideWhenUsed/>
    <w:rsid w:val="004C4F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4FD6"/>
    <w:rPr>
      <w:b/>
      <w:bCs/>
    </w:rPr>
  </w:style>
  <w:style w:type="character" w:customStyle="1" w:styleId="relative">
    <w:name w:val="relative"/>
    <w:basedOn w:val="DefaultParagraphFont"/>
    <w:rsid w:val="004C4FD6"/>
  </w:style>
  <w:style w:type="paragraph" w:customStyle="1" w:styleId="not-prose">
    <w:name w:val="not-prose"/>
    <w:basedOn w:val="Normal"/>
    <w:rsid w:val="004C4FD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7A143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7A14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652</Words>
  <Characters>4029</Characters>
  <Application>Microsoft Office Word</Application>
  <DocSecurity>0</DocSecurity>
  <Lines>82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2026-03-13T04:59:00Z</dcterms:created>
  <dcterms:modified xsi:type="dcterms:W3CDTF">2026-03-16T15:29:00Z</dcterms:modified>
</cp:coreProperties>
</file>