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6F28" w14:textId="77777777" w:rsidR="007560E1" w:rsidRPr="008228FF" w:rsidRDefault="007560E1" w:rsidP="007560E1">
      <w:pPr>
        <w:rPr>
          <w:i/>
          <w:iCs/>
          <w:sz w:val="23"/>
          <w:szCs w:val="23"/>
        </w:rPr>
      </w:pPr>
      <w:r w:rsidRPr="008228FF">
        <w:rPr>
          <w:i/>
          <w:iCs/>
          <w:sz w:val="23"/>
          <w:szCs w:val="23"/>
        </w:rPr>
        <w:t>Party/Political Ideology Note</w:t>
      </w:r>
    </w:p>
    <w:p w14:paraId="156A3DE1" w14:textId="77777777" w:rsidR="007560E1" w:rsidRDefault="007560E1" w:rsidP="007560E1">
      <w:pPr>
        <w:rPr>
          <w:sz w:val="23"/>
          <w:szCs w:val="23"/>
        </w:rPr>
      </w:pPr>
      <w:r>
        <w:rPr>
          <w:sz w:val="23"/>
          <w:szCs w:val="23"/>
        </w:rPr>
        <w:t xml:space="preserve">Including party identification and standard measures of fiscal and social political ideology would be appropriate if this chapter’s aim were limited to isolating the effects of contact on carceral state policy preferences specifically. Under that framing, the question is whether contact moves CJ attitudes net of one’s broader politics, and controlling for party and ideology is the obvious way to test that. But in orienting this prospectus toward a slightly broader/different claim, there’s reason to reserve party/ideology for the next layer. </w:t>
      </w:r>
    </w:p>
    <w:p w14:paraId="27D4AD3E" w14:textId="77777777" w:rsidR="007560E1" w:rsidRDefault="007560E1" w:rsidP="007560E1">
      <w:pPr>
        <w:rPr>
          <w:sz w:val="23"/>
          <w:szCs w:val="23"/>
        </w:rPr>
      </w:pPr>
      <w:r>
        <w:rPr>
          <w:sz w:val="23"/>
          <w:szCs w:val="23"/>
        </w:rPr>
        <w:t xml:space="preserve">If contact with the carceral state produces coherent political orientations grounded in experiential knowledge of the system – something closer to “dual knowledge” – then partisanship and ideology may themselves be partially downstream of the process I’m trying to study. Controlling for them in the kitchen sink model risks absorbing variation I want to understand, or that is still an open question. In contrast, introducing party/ideology in the next leg and the degree to which they attenuate the contact effect could be more informative. It could suggest that contact is associated with not just distinct CJ preferences, but an orientation that runs in part through partisan/ideological identification. On the flip, there’s reason that would not be the case: partisan identity is sticky, and we also know from existing work (citation?) that carceral citizens are not a </w:t>
      </w:r>
      <w:proofErr w:type="gramStart"/>
      <w:r>
        <w:rPr>
          <w:sz w:val="23"/>
          <w:szCs w:val="23"/>
        </w:rPr>
        <w:t>Blue</w:t>
      </w:r>
      <w:proofErr w:type="gramEnd"/>
      <w:r>
        <w:rPr>
          <w:sz w:val="23"/>
          <w:szCs w:val="23"/>
        </w:rPr>
        <w:t xml:space="preserve"> monolith. </w:t>
      </w:r>
    </w:p>
    <w:p w14:paraId="2506E876" w14:textId="77777777" w:rsidR="007560E1" w:rsidRDefault="007560E1" w:rsidP="007560E1">
      <w:pPr>
        <w:rPr>
          <w:sz w:val="23"/>
          <w:szCs w:val="23"/>
        </w:rPr>
      </w:pPr>
      <w:r>
        <w:rPr>
          <w:sz w:val="23"/>
          <w:szCs w:val="23"/>
        </w:rPr>
        <w:t xml:space="preserve">Still, I’m going to consume one more moment to note that this choice does connect to the larger arc of the prospectus I’ve been trying to work through/articulate. If carceral impacted communities hold internally consistent policy orientations that reflect experiential knowledge rather than partisan cues, this matters for establishing carceral citizens status as political subjects as legitimate </w:t>
      </w:r>
      <w:r>
        <w:rPr>
          <w:i/>
          <w:iCs/>
          <w:sz w:val="23"/>
          <w:szCs w:val="23"/>
        </w:rPr>
        <w:t>knowers</w:t>
      </w:r>
      <w:r>
        <w:rPr>
          <w:sz w:val="23"/>
          <w:szCs w:val="23"/>
        </w:rPr>
        <w:t xml:space="preserve"> who (in Fricker/Pottle’s sense) epistemic capacities are essential to human value, and who are done an injustice when their knowledge/speech is prejudicially discredited on the basis of their identity (and other stuff). The other stuff: the injustice is also done when, in short, their knowledge is structurally excluded, including because of an absence of resources for its articulation. Establishing this – not just (a) distinct CJ policy preferences, whose presence raises immediate questions about </w:t>
      </w:r>
      <w:r>
        <w:rPr>
          <w:i/>
          <w:iCs/>
          <w:sz w:val="23"/>
          <w:szCs w:val="23"/>
        </w:rPr>
        <w:t xml:space="preserve">substantive representation </w:t>
      </w:r>
      <w:r>
        <w:rPr>
          <w:sz w:val="23"/>
          <w:szCs w:val="23"/>
        </w:rPr>
        <w:t xml:space="preserve">(under what conditions are carceral constituencies’ policy preferences represented/realized), but also (b) signs of distinct, experience-grounded orientations toward the state – is a precondition for any subsequently-developed claim </w:t>
      </w:r>
      <w:r w:rsidRPr="00953B94">
        <w:rPr>
          <w:sz w:val="23"/>
          <w:szCs w:val="23"/>
        </w:rPr>
        <w:t>about epistemic injustice in political representation: that the credibility of these groups' knowledge is systematically deflated (testimonial injustice), and that the interpretive resources to make their experiences politically legible are underdeveloped (hermeneutic injustice), in part because of their exclusion from descriptive representation.</w:t>
      </w:r>
      <w:r>
        <w:rPr>
          <w:sz w:val="23"/>
          <w:szCs w:val="23"/>
        </w:rPr>
        <w:t xml:space="preserve"> Moreover, it helps me legitimate starting the prospectus with a measure of preferences, rather than interests. </w:t>
      </w:r>
    </w:p>
    <w:p w14:paraId="1510AE8B" w14:textId="77777777" w:rsidR="007560E1" w:rsidRDefault="007560E1" w:rsidP="007560E1">
      <w:pPr>
        <w:rPr>
          <w:sz w:val="23"/>
          <w:szCs w:val="23"/>
        </w:rPr>
      </w:pPr>
      <w:r w:rsidRPr="00953B94">
        <w:rPr>
          <w:sz w:val="23"/>
          <w:szCs w:val="23"/>
        </w:rPr>
        <w:t xml:space="preserve">I should note what this data cannot establish. The survey's contact measures ask only about experiences within the last five years, and the data are cross-sectional. I cannot claim that contact alone produces the orientations I observe — endogeneity is a real concern, and </w:t>
      </w:r>
      <w:r w:rsidRPr="00953B94">
        <w:rPr>
          <w:sz w:val="23"/>
          <w:szCs w:val="23"/>
        </w:rPr>
        <w:lastRenderedPageBreak/>
        <w:t>political identity and ideology may be shaped by the accumulated legacies of the carceral state on distinct communities over much longer time horizons than this survey captures. What I can show is whether contact is independently associated with distinguishable orientations, and whether the structure of those associations is consistent with the theoretical account I have outlined. Causal identification is beyond the scope of this test.</w:t>
      </w:r>
    </w:p>
    <w:p w14:paraId="3C04BC66" w14:textId="77777777" w:rsidR="007560E1" w:rsidRDefault="007560E1" w:rsidP="007560E1">
      <w:pPr>
        <w:rPr>
          <w:rFonts w:ascii="Calibri" w:eastAsia="Calibri" w:hAnsi="Calibri" w:cs="Calibri"/>
        </w:rPr>
      </w:pPr>
      <w:r>
        <w:rPr>
          <w:rFonts w:ascii="Calibri" w:eastAsia="Calibri" w:hAnsi="Calibri" w:cs="Calibri"/>
        </w:rPr>
        <w:t>….</w:t>
      </w:r>
    </w:p>
    <w:p w14:paraId="2FA70E31" w14:textId="77777777" w:rsidR="001554D9" w:rsidRDefault="001554D9"/>
    <w:sectPr w:rsidR="0015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1"/>
    <w:rsid w:val="001554D9"/>
    <w:rsid w:val="003A5267"/>
    <w:rsid w:val="004078FF"/>
    <w:rsid w:val="007560E1"/>
    <w:rsid w:val="008C2728"/>
    <w:rsid w:val="00B4476B"/>
    <w:rsid w:val="00B5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CFDFAE"/>
  <w15:chartTrackingRefBased/>
  <w15:docId w15:val="{5F0420E8-4D7D-B846-B444-41236B77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0E1"/>
  </w:style>
  <w:style w:type="paragraph" w:styleId="Heading1">
    <w:name w:val="heading 1"/>
    <w:basedOn w:val="Normal"/>
    <w:next w:val="Normal"/>
    <w:link w:val="Heading1Char"/>
    <w:uiPriority w:val="9"/>
    <w:qFormat/>
    <w:rsid w:val="00756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0E1"/>
    <w:rPr>
      <w:rFonts w:eastAsiaTheme="majorEastAsia" w:cstheme="majorBidi"/>
      <w:color w:val="272727" w:themeColor="text1" w:themeTint="D8"/>
    </w:rPr>
  </w:style>
  <w:style w:type="paragraph" w:styleId="Title">
    <w:name w:val="Title"/>
    <w:basedOn w:val="Normal"/>
    <w:next w:val="Normal"/>
    <w:link w:val="TitleChar"/>
    <w:uiPriority w:val="10"/>
    <w:qFormat/>
    <w:rsid w:val="00756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0E1"/>
    <w:pPr>
      <w:spacing w:before="160"/>
      <w:jc w:val="center"/>
    </w:pPr>
    <w:rPr>
      <w:i/>
      <w:iCs/>
      <w:color w:val="404040" w:themeColor="text1" w:themeTint="BF"/>
    </w:rPr>
  </w:style>
  <w:style w:type="character" w:customStyle="1" w:styleId="QuoteChar">
    <w:name w:val="Quote Char"/>
    <w:basedOn w:val="DefaultParagraphFont"/>
    <w:link w:val="Quote"/>
    <w:uiPriority w:val="29"/>
    <w:rsid w:val="007560E1"/>
    <w:rPr>
      <w:i/>
      <w:iCs/>
      <w:color w:val="404040" w:themeColor="text1" w:themeTint="BF"/>
    </w:rPr>
  </w:style>
  <w:style w:type="paragraph" w:styleId="ListParagraph">
    <w:name w:val="List Paragraph"/>
    <w:basedOn w:val="Normal"/>
    <w:uiPriority w:val="34"/>
    <w:qFormat/>
    <w:rsid w:val="007560E1"/>
    <w:pPr>
      <w:ind w:left="720"/>
      <w:contextualSpacing/>
    </w:pPr>
  </w:style>
  <w:style w:type="character" w:styleId="IntenseEmphasis">
    <w:name w:val="Intense Emphasis"/>
    <w:basedOn w:val="DefaultParagraphFont"/>
    <w:uiPriority w:val="21"/>
    <w:qFormat/>
    <w:rsid w:val="007560E1"/>
    <w:rPr>
      <w:i/>
      <w:iCs/>
      <w:color w:val="0F4761" w:themeColor="accent1" w:themeShade="BF"/>
    </w:rPr>
  </w:style>
  <w:style w:type="paragraph" w:styleId="IntenseQuote">
    <w:name w:val="Intense Quote"/>
    <w:basedOn w:val="Normal"/>
    <w:next w:val="Normal"/>
    <w:link w:val="IntenseQuoteChar"/>
    <w:uiPriority w:val="30"/>
    <w:qFormat/>
    <w:rsid w:val="00756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0E1"/>
    <w:rPr>
      <w:i/>
      <w:iCs/>
      <w:color w:val="0F4761" w:themeColor="accent1" w:themeShade="BF"/>
    </w:rPr>
  </w:style>
  <w:style w:type="character" w:styleId="IntenseReference">
    <w:name w:val="Intense Reference"/>
    <w:basedOn w:val="DefaultParagraphFont"/>
    <w:uiPriority w:val="32"/>
    <w:qFormat/>
    <w:rsid w:val="007560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3286</Characters>
  <Application>Microsoft Office Word</Application>
  <DocSecurity>0</DocSecurity>
  <Lines>55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2026-03-04T05:34:00Z</dcterms:created>
  <dcterms:modified xsi:type="dcterms:W3CDTF">2026-03-04T13:55:00Z</dcterms:modified>
</cp:coreProperties>
</file>