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6A743" w14:textId="579D8022" w:rsidR="00111FF6" w:rsidRDefault="003E70C9" w:rsidP="00E520D2">
      <w:pPr>
        <w:pStyle w:val="Heading1"/>
      </w:pPr>
      <w:r>
        <w:t xml:space="preserve">Test </w:t>
      </w:r>
      <w:r w:rsidR="00E520D2">
        <w:t>“3” Outline</w:t>
      </w:r>
      <w:r>
        <w:t xml:space="preserve"> </w:t>
      </w:r>
    </w:p>
    <w:p w14:paraId="1B989BB9" w14:textId="6F91A469" w:rsidR="003E70C9" w:rsidRDefault="00E520D2">
      <w:r w:rsidRPr="00E520D2">
        <w:rPr>
          <w:i/>
          <w:iCs/>
        </w:rPr>
        <w:t>Question</w:t>
      </w:r>
      <w:r>
        <w:t xml:space="preserve">: </w:t>
      </w:r>
    </w:p>
    <w:p w14:paraId="5503263F" w14:textId="77777777" w:rsidR="00E520D2" w:rsidRDefault="00E520D2" w:rsidP="00E520D2">
      <w:pPr>
        <w:pStyle w:val="ListParagraph"/>
        <w:numPr>
          <w:ilvl w:val="0"/>
          <w:numId w:val="3"/>
        </w:numPr>
      </w:pPr>
      <w:r>
        <w:t>The extent to which carceral citizens are:</w:t>
      </w:r>
    </w:p>
    <w:p w14:paraId="32C964B3" w14:textId="74DF3426" w:rsidR="00E520D2" w:rsidRDefault="00E520D2" w:rsidP="00E520D2">
      <w:pPr>
        <w:pStyle w:val="ListParagraph"/>
        <w:numPr>
          <w:ilvl w:val="1"/>
          <w:numId w:val="3"/>
        </w:numPr>
      </w:pPr>
      <w:proofErr w:type="gramStart"/>
      <w:r>
        <w:t>symbolically represented</w:t>
      </w:r>
      <w:proofErr w:type="gramEnd"/>
      <w:r>
        <w:t xml:space="preserve"> by state legislators</w:t>
      </w:r>
    </w:p>
    <w:p w14:paraId="0BB1ACE6" w14:textId="2D1FFF0A" w:rsidR="00E520D2" w:rsidRDefault="00E520D2" w:rsidP="00E520D2">
      <w:pPr>
        <w:pStyle w:val="ListParagraph"/>
        <w:numPr>
          <w:ilvl w:val="1"/>
          <w:numId w:val="3"/>
        </w:numPr>
      </w:pPr>
      <w:r>
        <w:t>substantively represented by state legislators</w:t>
      </w:r>
    </w:p>
    <w:p w14:paraId="5C415E68" w14:textId="2FB1BB88" w:rsidR="00E520D2" w:rsidRDefault="00E520D2" w:rsidP="00E520D2">
      <w:pPr>
        <w:pStyle w:val="ListParagraph"/>
        <w:numPr>
          <w:ilvl w:val="1"/>
          <w:numId w:val="3"/>
        </w:numPr>
      </w:pPr>
      <w:r>
        <w:t>epistemically included</w:t>
      </w:r>
    </w:p>
    <w:p w14:paraId="2BA53F9B" w14:textId="1550BDB2" w:rsidR="00E520D2" w:rsidRDefault="00E520D2" w:rsidP="00E520D2">
      <w:pPr>
        <w:pStyle w:val="ListParagraph"/>
        <w:numPr>
          <w:ilvl w:val="2"/>
          <w:numId w:val="3"/>
        </w:numPr>
      </w:pPr>
      <w:r>
        <w:t xml:space="preserve">not = all symbolic rep </w:t>
      </w:r>
    </w:p>
    <w:p w14:paraId="0BD755F2" w14:textId="2536DCCF" w:rsidR="00E520D2" w:rsidRDefault="00E520D2" w:rsidP="00E520D2">
      <w:pPr>
        <w:pStyle w:val="ListParagraph"/>
        <w:numPr>
          <w:ilvl w:val="2"/>
          <w:numId w:val="3"/>
        </w:numPr>
      </w:pPr>
      <w:r>
        <w:t>not = all substantive rep</w:t>
      </w:r>
    </w:p>
    <w:p w14:paraId="7822E4BD" w14:textId="2E3E6B40" w:rsidR="00E520D2" w:rsidRDefault="00E520D2" w:rsidP="00E520D2">
      <w:pPr>
        <w:pStyle w:val="ListParagraph"/>
        <w:numPr>
          <w:ilvl w:val="2"/>
          <w:numId w:val="3"/>
        </w:numPr>
      </w:pPr>
      <w:r>
        <w:t>requires being seen as legitimate political knowers</w:t>
      </w:r>
    </w:p>
    <w:p w14:paraId="711FAAFD" w14:textId="421156DE" w:rsidR="00E520D2" w:rsidRDefault="00E520D2" w:rsidP="00E520D2">
      <w:pPr>
        <w:pStyle w:val="ListParagraph"/>
        <w:numPr>
          <w:ilvl w:val="2"/>
          <w:numId w:val="3"/>
        </w:numPr>
      </w:pPr>
      <w:r>
        <w:t>requires being constructed as a constituency</w:t>
      </w:r>
    </w:p>
    <w:p w14:paraId="5C144475" w14:textId="38D95C8C" w:rsidR="00E520D2" w:rsidRDefault="00E520D2">
      <w:pPr>
        <w:rPr>
          <w:i/>
          <w:iCs/>
        </w:rPr>
      </w:pPr>
      <w:r>
        <w:rPr>
          <w:i/>
          <w:iCs/>
        </w:rPr>
        <w:t>Hypotheses:</w:t>
      </w:r>
    </w:p>
    <w:p w14:paraId="3959DD67" w14:textId="77777777" w:rsidR="00E520D2" w:rsidRDefault="00E520D2"/>
    <w:p w14:paraId="6713805E" w14:textId="615C7A3B" w:rsidR="00E520D2" w:rsidRPr="00E520D2" w:rsidRDefault="00C55C3B" w:rsidP="00C55C3B">
      <w:pPr>
        <w:pStyle w:val="Heading2"/>
      </w:pPr>
      <w:bookmarkStart w:id="0" w:name="_Toc220591757"/>
      <w:r>
        <w:t xml:space="preserve"> Data/Design</w:t>
      </w:r>
      <w:bookmarkEnd w:id="0"/>
    </w:p>
    <w:p w14:paraId="3DC81CD7" w14:textId="2B586917" w:rsidR="00A66865" w:rsidRDefault="00A66865" w:rsidP="00C55C3B">
      <w:pPr>
        <w:pStyle w:val="ListParagraph"/>
        <w:numPr>
          <w:ilvl w:val="0"/>
          <w:numId w:val="4"/>
        </w:numPr>
        <w:rPr>
          <w:i/>
          <w:iCs/>
        </w:rPr>
      </w:pPr>
      <w:r>
        <w:rPr>
          <w:i/>
          <w:iCs/>
        </w:rPr>
        <w:t xml:space="preserve">If distinguishing between substantive and symbolic, substantive: </w:t>
      </w:r>
    </w:p>
    <w:p w14:paraId="35DFE8CE" w14:textId="542C2D06" w:rsidR="00C55C3B" w:rsidRDefault="00C55C3B" w:rsidP="00A66865">
      <w:pPr>
        <w:pStyle w:val="ListParagraph"/>
        <w:numPr>
          <w:ilvl w:val="1"/>
          <w:numId w:val="4"/>
        </w:numPr>
        <w:rPr>
          <w:i/>
          <w:iCs/>
        </w:rPr>
      </w:pPr>
      <w:r>
        <w:rPr>
          <w:i/>
          <w:iCs/>
        </w:rPr>
        <w:t>Scrape bill introductions, bill text</w:t>
      </w:r>
    </w:p>
    <w:p w14:paraId="35187FD3" w14:textId="399CE143" w:rsidR="00C55C3B" w:rsidRDefault="00C55C3B" w:rsidP="00A66865">
      <w:pPr>
        <w:pStyle w:val="ListParagraph"/>
        <w:numPr>
          <w:ilvl w:val="1"/>
          <w:numId w:val="4"/>
        </w:numPr>
        <w:rPr>
          <w:i/>
          <w:iCs/>
        </w:rPr>
      </w:pPr>
      <w:r>
        <w:rPr>
          <w:i/>
          <w:iCs/>
        </w:rPr>
        <w:t xml:space="preserve">Scrape </w:t>
      </w:r>
      <w:r w:rsidR="00A66865">
        <w:rPr>
          <w:i/>
          <w:iCs/>
        </w:rPr>
        <w:t>floor speeches, hearings from states where available</w:t>
      </w:r>
    </w:p>
    <w:p w14:paraId="4CAEA459" w14:textId="3BC21311" w:rsidR="00A66865" w:rsidRPr="00A66865" w:rsidRDefault="00A66865" w:rsidP="00A66865">
      <w:pPr>
        <w:pStyle w:val="ListParagraph"/>
        <w:numPr>
          <w:ilvl w:val="0"/>
          <w:numId w:val="4"/>
        </w:numPr>
        <w:rPr>
          <w:i/>
          <w:iCs/>
        </w:rPr>
      </w:pPr>
      <w:r w:rsidRPr="00C55C3B">
        <w:rPr>
          <w:i/>
          <w:iCs/>
        </w:rPr>
        <w:t>Apply coding scheme to policy</w:t>
      </w:r>
    </w:p>
    <w:p w14:paraId="4E2AFB39" w14:textId="724142DA" w:rsidR="00A66865" w:rsidRDefault="00A66865" w:rsidP="00C55C3B">
      <w:pPr>
        <w:pStyle w:val="ListParagraph"/>
        <w:numPr>
          <w:ilvl w:val="0"/>
          <w:numId w:val="4"/>
        </w:numPr>
        <w:rPr>
          <w:i/>
          <w:iCs/>
        </w:rPr>
      </w:pPr>
      <w:r>
        <w:rPr>
          <w:i/>
          <w:iCs/>
        </w:rPr>
        <w:t>If “…”, symbolic:</w:t>
      </w:r>
    </w:p>
    <w:p w14:paraId="438C4A25" w14:textId="41073FE5" w:rsidR="00A66865" w:rsidRDefault="00A66865" w:rsidP="00C55C3B">
      <w:pPr>
        <w:pStyle w:val="ListParagraph"/>
        <w:numPr>
          <w:ilvl w:val="0"/>
          <w:numId w:val="4"/>
        </w:numPr>
        <w:rPr>
          <w:i/>
          <w:iCs/>
        </w:rPr>
      </w:pPr>
      <w:r>
        <w:rPr>
          <w:i/>
          <w:iCs/>
        </w:rPr>
        <w:t>Scrape:</w:t>
      </w:r>
    </w:p>
    <w:p w14:paraId="02572289" w14:textId="58C1D626" w:rsidR="00A66865" w:rsidRDefault="00A66865" w:rsidP="00A66865">
      <w:pPr>
        <w:pStyle w:val="ListParagraph"/>
        <w:numPr>
          <w:ilvl w:val="1"/>
          <w:numId w:val="4"/>
        </w:numPr>
        <w:rPr>
          <w:i/>
          <w:iCs/>
        </w:rPr>
      </w:pPr>
      <w:r>
        <w:rPr>
          <w:i/>
          <w:iCs/>
        </w:rPr>
        <w:t>Social media, news</w:t>
      </w:r>
    </w:p>
    <w:p w14:paraId="2609783F" w14:textId="3A6C4214" w:rsidR="00A66865" w:rsidRDefault="00A66865" w:rsidP="00A66865">
      <w:pPr>
        <w:pStyle w:val="ListParagraph"/>
        <w:numPr>
          <w:ilvl w:val="1"/>
          <w:numId w:val="4"/>
        </w:numPr>
        <w:rPr>
          <w:i/>
          <w:iCs/>
        </w:rPr>
      </w:pPr>
      <w:r>
        <w:rPr>
          <w:i/>
          <w:iCs/>
        </w:rPr>
        <w:t>District newsletters, legislator websites</w:t>
      </w:r>
    </w:p>
    <w:p w14:paraId="6FC3539F" w14:textId="752F30D1" w:rsidR="003E70C9" w:rsidRPr="00C55C3B" w:rsidRDefault="00C55C3B" w:rsidP="00C55C3B">
      <w:pPr>
        <w:pStyle w:val="ListParagraph"/>
        <w:numPr>
          <w:ilvl w:val="0"/>
          <w:numId w:val="4"/>
        </w:numPr>
        <w:rPr>
          <w:i/>
          <w:iCs/>
        </w:rPr>
      </w:pPr>
      <w:r>
        <w:rPr>
          <w:i/>
          <w:iCs/>
        </w:rPr>
        <w:t>A</w:t>
      </w:r>
      <w:r w:rsidR="003E70C9" w:rsidRPr="00C55C3B">
        <w:rPr>
          <w:i/>
          <w:iCs/>
        </w:rPr>
        <w:t>pply coding scheme to symbolic</w:t>
      </w:r>
    </w:p>
    <w:p w14:paraId="6CA78FF8" w14:textId="2BA3D992" w:rsidR="00E520D2" w:rsidRDefault="00E520D2">
      <w:r>
        <w:t xml:space="preserve">[framing: take “dual knowledge”] as my starting point. </w:t>
      </w:r>
    </w:p>
    <w:p w14:paraId="21CE66D5" w14:textId="77777777" w:rsidR="00E520D2" w:rsidRDefault="00E520D2" w:rsidP="00E520D2">
      <w:r>
        <w:t>E</w:t>
      </w:r>
      <w:r w:rsidR="008F3BA2">
        <w:t xml:space="preserve">xisting scholarship treats symbolic representation as either normatively meaningful recognition (Eulau &amp; </w:t>
      </w:r>
      <w:proofErr w:type="spellStart"/>
      <w:r w:rsidR="008F3BA2">
        <w:t>Karps</w:t>
      </w:r>
      <w:proofErr w:type="spellEnd"/>
      <w:r w:rsidR="008F3BA2">
        <w:t xml:space="preserve"> 1977, Mansbridge 1999) or as a potential correlate for substantive action (Vishwanath 2025)</w:t>
      </w:r>
      <w:r>
        <w:t xml:space="preserve">. </w:t>
      </w:r>
    </w:p>
    <w:p w14:paraId="5BAE64B4" w14:textId="3B82BE61" w:rsidR="00E520D2" w:rsidRDefault="00E520D2" w:rsidP="00E520D2">
      <w:r>
        <w:t xml:space="preserve">In empirical work, </w:t>
      </w:r>
      <w:r w:rsidR="008F3BA2" w:rsidRPr="00E520D2">
        <w:rPr>
          <w:u w:val="single"/>
        </w:rPr>
        <w:t>symbolic gestures</w:t>
      </w:r>
      <w:r w:rsidR="008F3BA2">
        <w:t xml:space="preserve"> are often treated as though operating along a single dimension</w:t>
      </w:r>
      <w:r>
        <w:t xml:space="preserve"> (Vishwanath 2025)</w:t>
      </w:r>
      <w:r w:rsidR="008F3BA2">
        <w:t xml:space="preserve">. </w:t>
      </w:r>
      <w:r>
        <w:t xml:space="preserve">However, theories of epistemic injustice and selective hearing suggest that symbolic representation can take qualitatively different forms – some of which may recognize carceral citizens as political actors and knowers, while others reaffirm their </w:t>
      </w:r>
      <w:proofErr w:type="spellStart"/>
      <w:r>
        <w:t>margianalization</w:t>
      </w:r>
      <w:proofErr w:type="spellEnd"/>
      <w:r>
        <w:t xml:space="preserve"> through hollow or distancing gestures (Pottle 2024; Weave), </w:t>
      </w:r>
    </w:p>
    <w:p w14:paraId="6C4BD46B" w14:textId="77777777" w:rsidR="00E520D2" w:rsidRDefault="00E520D2">
      <w:r>
        <w:lastRenderedPageBreak/>
        <w:t xml:space="preserve">Similarly, sponsored or cosponsored legislation is often treated as constituting </w:t>
      </w:r>
      <w:r w:rsidRPr="00E520D2">
        <w:rPr>
          <w:u w:val="single"/>
        </w:rPr>
        <w:t>“substantive” representation</w:t>
      </w:r>
      <w:r>
        <w:t xml:space="preserve"> or policy responsiveness with broad topical coding schemes that overlook both the degree to which policy solutions are those most preferred by/[in the interests of] the constituencies to which they supposedly respond, or construct (Miler, though double check how she codes poverty-related bills, Disch, Schneider and Ingram 1993). </w:t>
      </w:r>
    </w:p>
    <w:p w14:paraId="77B166B3" w14:textId="411669F3" w:rsidR="00A66865" w:rsidRPr="00A66865" w:rsidRDefault="00E520D2" w:rsidP="00A66865">
      <w:r>
        <w:t xml:space="preserve"> </w:t>
      </w:r>
      <w:r w:rsidR="00A66865">
        <w:t xml:space="preserve">Drawing on theories of epistemic injustice and selective hearing </w:t>
      </w:r>
      <w:r w:rsidR="00A66865" w:rsidRPr="00A66865">
        <w:t xml:space="preserve">(Pottle 2025; Weaver, Prowse, and Piston 2019), I argue that </w:t>
      </w:r>
      <w:r w:rsidR="00A66865">
        <w:t xml:space="preserve">both </w:t>
      </w:r>
      <w:r w:rsidR="00A66865" w:rsidRPr="00A66865">
        <w:t>symbolic</w:t>
      </w:r>
      <w:r w:rsidR="00A66865">
        <w:t xml:space="preserve"> and substantive</w:t>
      </w:r>
      <w:r w:rsidR="00A66865" w:rsidRPr="00A66865">
        <w:t xml:space="preserve"> representation </w:t>
      </w:r>
      <w:r w:rsidR="00A66865" w:rsidRPr="00A66865">
        <w:rPr>
          <w:u w:val="single"/>
        </w:rPr>
        <w:t>can take qualitatively different forms</w:t>
      </w:r>
      <w:r w:rsidR="00A66865" w:rsidRPr="00A66865">
        <w:t xml:space="preserve"> – some of which recognize incarcerated people as political actors and knowers, and others that reaffirm their marginalization through hollow or distancing gestures. By introducing a tiered framework that distinguishes symbolic inclusion, epistemic inclusion, and responsiveness, this project clarifies when symbolic recognition is democratically meaningful and when it reproduces epistemic exclusion.</w:t>
      </w:r>
      <w:r w:rsidR="00833744">
        <w:t xml:space="preserve"> This test’s methodological contribution, then, is in adapting text-as-data approaches to a population whose exclusion is central to the political </w:t>
      </w:r>
      <w:proofErr w:type="gramStart"/>
      <w:r w:rsidR="00833744">
        <w:t>process, and</w:t>
      </w:r>
      <w:proofErr w:type="gramEnd"/>
      <w:r w:rsidR="00833744">
        <w:t xml:space="preserve"> establishing whether standard measures of representation communicate or obscure forms of political presence and absence for marginalized communities. It seeks to demonstrate the value of developing representational research designs that are attentive to epistemic inclusion as a substantive outcome.</w:t>
      </w:r>
    </w:p>
    <w:p w14:paraId="3E254944" w14:textId="7C10AAB5" w:rsidR="00E520D2" w:rsidRDefault="00A66865">
      <w:r>
        <w:t xml:space="preserve"> Thus, having established distinct [preferences/approaches] to criminal legal policy in test 1 [or, established evidence that/whether impacted communities have distinct epistemological approaches to understanding the carceral state], and having established [that carceral constituencies appear descriptively unrepresented] in test 2, my first objective in this study is to establish baseline evidence on whether and when carceral citizens appear in legislators’ representational imaginaries, how frequently such recognition occurs in general and in relation to carceral state policy</w:t>
      </w:r>
      <w:r w:rsidR="00833744">
        <w:t xml:space="preserve">, and how it varies by state/district carceral context and legislator identity. [In other </w:t>
      </w:r>
      <w:proofErr w:type="gramStart"/>
      <w:r w:rsidR="00833744">
        <w:t>words</w:t>
      </w:r>
      <w:proofErr w:type="gramEnd"/>
      <w:r w:rsidR="00833744">
        <w:t xml:space="preserve"> version of the last piece is does descriptive representation matter for substantive/symbolic representation/epistemic inclusion]. </w:t>
      </w:r>
    </w:p>
    <w:p w14:paraId="7641B06D" w14:textId="77777777" w:rsidR="00833744" w:rsidRDefault="00833744"/>
    <w:p w14:paraId="01605B72" w14:textId="7970F6ED" w:rsidR="00833744" w:rsidRDefault="00833744">
      <w:r w:rsidRPr="00833744">
        <w:rPr>
          <w:i/>
          <w:iCs/>
        </w:rPr>
        <w:t>Variables</w:t>
      </w:r>
      <w:r>
        <w:t>:</w:t>
      </w:r>
    </w:p>
    <w:p w14:paraId="0F96D228" w14:textId="3B3206F9" w:rsidR="00026B60" w:rsidRDefault="00026B60">
      <w:r>
        <w:t>DV – “Substantive” Representation</w:t>
      </w:r>
    </w:p>
    <w:p w14:paraId="50FD3062" w14:textId="5D69ECB2" w:rsidR="00026B60" w:rsidRDefault="00026B60" w:rsidP="00026B60">
      <w:pPr>
        <w:pStyle w:val="ListParagraph"/>
        <w:numPr>
          <w:ilvl w:val="0"/>
          <w:numId w:val="5"/>
        </w:numPr>
      </w:pPr>
      <w:r>
        <w:t xml:space="preserve">Bill sponsorship, </w:t>
      </w:r>
      <w:proofErr w:type="spellStart"/>
      <w:r>
        <w:t>cosponsorship</w:t>
      </w:r>
      <w:proofErr w:type="spellEnd"/>
    </w:p>
    <w:p w14:paraId="7835E478" w14:textId="44625A30" w:rsidR="00026B60" w:rsidRDefault="00026B60" w:rsidP="00026B60">
      <w:pPr>
        <w:pStyle w:val="ListParagraph"/>
        <w:numPr>
          <w:ilvl w:val="1"/>
          <w:numId w:val="5"/>
        </w:numPr>
      </w:pPr>
      <w:r>
        <w:t>(who files, cosponsors what)</w:t>
      </w:r>
    </w:p>
    <w:p w14:paraId="5EC31D6E" w14:textId="77777777" w:rsidR="00026B60" w:rsidRDefault="00026B60" w:rsidP="00026B60">
      <w:pPr>
        <w:pStyle w:val="ListParagraph"/>
        <w:numPr>
          <w:ilvl w:val="0"/>
          <w:numId w:val="5"/>
        </w:numPr>
      </w:pPr>
    </w:p>
    <w:p w14:paraId="3B67049B" w14:textId="6A2D17FF" w:rsidR="00833744" w:rsidRDefault="00030BD8">
      <w:r>
        <w:lastRenderedPageBreak/>
        <w:t>DV – Symbolic Representation</w:t>
      </w:r>
    </w:p>
    <w:p w14:paraId="6998DCD6" w14:textId="77777777" w:rsidR="00030BD8" w:rsidRDefault="00030BD8">
      <w:r w:rsidRPr="00030BD8">
        <w:t>Building on Popkin’s (1994) conception of symbolic cues, Eulau and Karp’s (1997) framing of symbolic gestures as those that generate trust and recognition, and Vishwanath’s (2025) dual attention to symbols and explicit mentions, I operationalize symbolic representation as a range of public rhetorical moves through which legislators acknowledge, invoke, or otherwise signal the presence and interests of incarcerated people in their representational work. These rhetorical moves may name, acknowledge, humanize, or locate carceral citizens as constituents. At the same time, recent work warns against assuming that all symbolic acts are normatively equal: Pottle (2025) and Weaver et al (2019) show that elites may deploy symbolic cues that are hollow, distancing, or epistemically unjust. To capture this variation, I employ a coding scheme summarized</w:t>
      </w:r>
      <w:r>
        <w:t xml:space="preserve"> below, </w:t>
      </w:r>
      <w:r w:rsidRPr="00030BD8">
        <w:t xml:space="preserve">which distinguishes between anticipated forms of symbolic representation. Using this framework, I will analyze state legislators’ newsletters, floor speeches and committee testimony where available, and social media posts, supplemented with congressional newsletters and floor speeches if needed as benchmarks. Texts will be obtained from legislator websites, legislative archives, and publicly accessible platforms. </w:t>
      </w:r>
    </w:p>
    <w:p w14:paraId="46C78C23" w14:textId="77777777" w:rsidR="00030BD8" w:rsidRDefault="00030BD8">
      <w:r>
        <w:t>DV – [what constitutes as epistemic inclusion? Just the blow or combinations?]</w:t>
      </w:r>
    </w:p>
    <w:p w14:paraId="7D7FEA3E" w14:textId="77777777" w:rsidR="00030BD8" w:rsidRPr="00030BD8" w:rsidRDefault="00030BD8" w:rsidP="00030BD8">
      <w:r w:rsidRPr="00030BD8">
        <w:t xml:space="preserve">This project’s secondary dependent variable, epistemic inclusion, refers to instances where legislators treat incarcerated people as knowers – acknowledging their perspectives, testimony, political claims – which may involve Weaver et al (2019) call the “hidden curriculum” of state domination. In table 1, epistemic inclusion is operationalized through indicators such as references to incarcerated </w:t>
      </w:r>
      <w:proofErr w:type="gramStart"/>
      <w:r w:rsidRPr="00030BD8">
        <w:t>people’s</w:t>
      </w:r>
      <w:proofErr w:type="gramEnd"/>
      <w:r w:rsidRPr="00030BD8">
        <w:t xml:space="preserve"> lived experiences, demands, protest activity, or policy expertise. What I term “bridging behavior” – legislators, for example, quoting incarcerated individuals or noting prison visits – may also constitute a symbolic gesture that is epistemically inclusive. Because access to state committee testimony and records varies substantially, I will assess feasibility in a targeted sample of states with accessible archives, and states where I know </w:t>
      </w:r>
      <w:proofErr w:type="gramStart"/>
      <w:r w:rsidRPr="00030BD8">
        <w:t>directly-impacted</w:t>
      </w:r>
      <w:proofErr w:type="gramEnd"/>
      <w:r w:rsidRPr="00030BD8">
        <w:t xml:space="preserve"> advocates to work closely with lawmakers. Congressional committee transcripts may serve as an additional comparative data source.  This exploratory component will determine whether epistemic inclusion can be systematically observed across deliberative venues. </w:t>
      </w:r>
    </w:p>
    <w:p w14:paraId="5A4CAEFF" w14:textId="77777777" w:rsidR="00030BD8" w:rsidRDefault="00030BD8">
      <w:r>
        <w:t>DV – responsiveness as necessary in qualitatively particular forms?</w:t>
      </w:r>
    </w:p>
    <w:p w14:paraId="656A6B14" w14:textId="3115331F" w:rsidR="00030BD8" w:rsidRDefault="00026B60">
      <w:r>
        <w:t>. . .</w:t>
      </w:r>
      <w:r w:rsidR="00030BD8" w:rsidRPr="00030BD8">
        <w:t xml:space="preserve">concerns whether legislators act as bridges to incarcerated communities by referencing prison visits, direct correspondence, engagement with family members, or by reading letters or testimony from incarcerated people into the public record. A more expansive project would consider policy responsiveness by way of bill sponsorship and </w:t>
      </w:r>
      <w:proofErr w:type="spellStart"/>
      <w:r w:rsidR="00030BD8" w:rsidRPr="00030BD8">
        <w:lastRenderedPageBreak/>
        <w:t>cosponsorship</w:t>
      </w:r>
      <w:proofErr w:type="spellEnd"/>
      <w:r w:rsidR="00030BD8" w:rsidRPr="00030BD8">
        <w:t xml:space="preserve">, with an analysis of both text and bill histories to delineate between epistemically inclusive policy and explore the degree to which policy activity is predicted by symbolic and epistemic representation. Here, however, I just treat responsiveness as an exploratory indicator. </w:t>
      </w:r>
    </w:p>
    <w:p w14:paraId="46A5A60F" w14:textId="7BE5F3A7" w:rsidR="00026B60" w:rsidRDefault="00107B1A" w:rsidP="00026B60">
      <w:pPr>
        <w:spacing w:line="360" w:lineRule="auto"/>
        <w:rPr>
          <w:rFonts w:ascii="Times New Roman" w:hAnsi="Times New Roman" w:cs="Times New Roman"/>
        </w:rPr>
      </w:pPr>
      <w:r>
        <w:rPr>
          <w:rFonts w:ascii="Times New Roman" w:hAnsi="Times New Roman" w:cs="Times New Roman"/>
        </w:rPr>
        <w:t xml:space="preserve">Table: </w:t>
      </w:r>
      <w:r w:rsidR="00026B60">
        <w:rPr>
          <w:rFonts w:ascii="Times New Roman" w:hAnsi="Times New Roman" w:cs="Times New Roman"/>
        </w:rPr>
        <w:t>Summarizes Dimensions of Symbolic Recognition – Potential Coding Scheme</w:t>
      </w:r>
    </w:p>
    <w:tbl>
      <w:tblPr>
        <w:tblStyle w:val="TableGrid"/>
        <w:tblW w:w="0" w:type="auto"/>
        <w:tblLook w:val="04A0" w:firstRow="1" w:lastRow="0" w:firstColumn="1" w:lastColumn="0" w:noHBand="0" w:noVBand="1"/>
      </w:tblPr>
      <w:tblGrid>
        <w:gridCol w:w="3116"/>
        <w:gridCol w:w="3117"/>
        <w:gridCol w:w="3117"/>
      </w:tblGrid>
      <w:tr w:rsidR="00026B60" w14:paraId="4846B1D1" w14:textId="77777777" w:rsidTr="00780D8A">
        <w:tc>
          <w:tcPr>
            <w:tcW w:w="9350" w:type="dxa"/>
            <w:gridSpan w:val="3"/>
          </w:tcPr>
          <w:p w14:paraId="5BE055C1" w14:textId="77777777" w:rsidR="00026B60" w:rsidRDefault="00026B60" w:rsidP="00780D8A">
            <w:pPr>
              <w:rPr>
                <w:rFonts w:ascii="Times New Roman" w:hAnsi="Times New Roman" w:cs="Times New Roman"/>
              </w:rPr>
            </w:pPr>
            <w:r>
              <w:rPr>
                <w:rFonts w:ascii="Times New Roman" w:hAnsi="Times New Roman" w:cs="Times New Roman"/>
              </w:rPr>
              <w:t>Table 1: Dimensions of Recognition</w:t>
            </w:r>
          </w:p>
        </w:tc>
      </w:tr>
      <w:tr w:rsidR="00026B60" w14:paraId="5B528BC4" w14:textId="77777777" w:rsidTr="00780D8A">
        <w:tc>
          <w:tcPr>
            <w:tcW w:w="3116" w:type="dxa"/>
          </w:tcPr>
          <w:p w14:paraId="5B207D8F" w14:textId="77777777" w:rsidR="00026B60" w:rsidRPr="003C1581" w:rsidRDefault="00026B60" w:rsidP="00780D8A">
            <w:pPr>
              <w:rPr>
                <w:rFonts w:ascii="Times New Roman" w:hAnsi="Times New Roman" w:cs="Times New Roman"/>
                <w:b/>
                <w:bCs/>
              </w:rPr>
            </w:pPr>
            <w:r w:rsidRPr="003C1581">
              <w:rPr>
                <w:rFonts w:ascii="Times New Roman" w:hAnsi="Times New Roman" w:cs="Times New Roman"/>
                <w:b/>
                <w:bCs/>
              </w:rPr>
              <w:t>Absent or Negative Recognition</w:t>
            </w:r>
          </w:p>
        </w:tc>
        <w:tc>
          <w:tcPr>
            <w:tcW w:w="6234" w:type="dxa"/>
            <w:gridSpan w:val="2"/>
          </w:tcPr>
          <w:p w14:paraId="087DC09A" w14:textId="77777777" w:rsidR="00026B60" w:rsidRDefault="00026B60" w:rsidP="00780D8A">
            <w:pPr>
              <w:rPr>
                <w:rFonts w:ascii="Times New Roman" w:hAnsi="Times New Roman" w:cs="Times New Roman"/>
              </w:rPr>
            </w:pPr>
            <w:r>
              <w:rPr>
                <w:rFonts w:ascii="Times New Roman" w:hAnsi="Times New Roman" w:cs="Times New Roman"/>
              </w:rPr>
              <w:t>Absence of mentions in conspicuous contexts</w:t>
            </w:r>
          </w:p>
        </w:tc>
      </w:tr>
      <w:tr w:rsidR="00026B60" w14:paraId="27221D46" w14:textId="77777777" w:rsidTr="00780D8A">
        <w:tc>
          <w:tcPr>
            <w:tcW w:w="3116" w:type="dxa"/>
          </w:tcPr>
          <w:p w14:paraId="08C8C469" w14:textId="77777777" w:rsidR="00026B60" w:rsidRPr="003C1581" w:rsidRDefault="00026B60" w:rsidP="00780D8A">
            <w:pPr>
              <w:rPr>
                <w:rFonts w:ascii="Times New Roman" w:hAnsi="Times New Roman" w:cs="Times New Roman"/>
                <w:i/>
                <w:iCs/>
              </w:rPr>
            </w:pPr>
          </w:p>
        </w:tc>
        <w:tc>
          <w:tcPr>
            <w:tcW w:w="3117" w:type="dxa"/>
          </w:tcPr>
          <w:p w14:paraId="19239A55" w14:textId="77777777" w:rsidR="00026B60" w:rsidRDefault="00026B60" w:rsidP="00780D8A">
            <w:pPr>
              <w:rPr>
                <w:rFonts w:ascii="Times New Roman" w:hAnsi="Times New Roman" w:cs="Times New Roman"/>
              </w:rPr>
            </w:pPr>
            <w:r>
              <w:rPr>
                <w:rFonts w:ascii="Times New Roman" w:hAnsi="Times New Roman" w:cs="Times New Roman"/>
              </w:rPr>
              <w:t>Across speech from high-incarceration (within or from) district representatives (aggregate)</w:t>
            </w:r>
          </w:p>
        </w:tc>
        <w:tc>
          <w:tcPr>
            <w:tcW w:w="3117" w:type="dxa"/>
          </w:tcPr>
          <w:p w14:paraId="05E46C79" w14:textId="77777777" w:rsidR="00026B60" w:rsidRDefault="00026B60" w:rsidP="00780D8A">
            <w:pPr>
              <w:rPr>
                <w:rFonts w:ascii="Times New Roman" w:hAnsi="Times New Roman" w:cs="Times New Roman"/>
              </w:rPr>
            </w:pPr>
            <w:r>
              <w:rPr>
                <w:rFonts w:ascii="Times New Roman" w:hAnsi="Times New Roman" w:cs="Times New Roman"/>
              </w:rPr>
              <w:t>In relevant policy discussion or forums (committees)</w:t>
            </w:r>
          </w:p>
        </w:tc>
      </w:tr>
      <w:tr w:rsidR="00026B60" w14:paraId="530CCACE" w14:textId="77777777" w:rsidTr="00780D8A">
        <w:tc>
          <w:tcPr>
            <w:tcW w:w="3116" w:type="dxa"/>
          </w:tcPr>
          <w:p w14:paraId="62C9CC90" w14:textId="77777777" w:rsidR="00026B60" w:rsidRDefault="00026B60" w:rsidP="00780D8A">
            <w:pPr>
              <w:rPr>
                <w:rFonts w:ascii="Times New Roman" w:hAnsi="Times New Roman" w:cs="Times New Roman"/>
              </w:rPr>
            </w:pPr>
            <w:r>
              <w:rPr>
                <w:rFonts w:ascii="Times New Roman" w:hAnsi="Times New Roman" w:cs="Times New Roman"/>
              </w:rPr>
              <w:t xml:space="preserve">*Negative or </w:t>
            </w:r>
            <w:r w:rsidRPr="003C1581">
              <w:rPr>
                <w:rFonts w:ascii="Times New Roman" w:hAnsi="Times New Roman" w:cs="Times New Roman"/>
                <w:b/>
                <w:bCs/>
              </w:rPr>
              <w:t>Distancing</w:t>
            </w:r>
            <w:r>
              <w:rPr>
                <w:rFonts w:ascii="Times New Roman" w:hAnsi="Times New Roman" w:cs="Times New Roman"/>
                <w:b/>
                <w:bCs/>
              </w:rPr>
              <w:t xml:space="preserve"> Recognition</w:t>
            </w:r>
          </w:p>
        </w:tc>
        <w:tc>
          <w:tcPr>
            <w:tcW w:w="6234" w:type="dxa"/>
            <w:gridSpan w:val="2"/>
          </w:tcPr>
          <w:p w14:paraId="72B98AC0" w14:textId="77777777" w:rsidR="00026B60" w:rsidRDefault="00026B60" w:rsidP="00780D8A">
            <w:pPr>
              <w:rPr>
                <w:rFonts w:ascii="Times New Roman" w:hAnsi="Times New Roman" w:cs="Times New Roman"/>
              </w:rPr>
            </w:pPr>
            <w:r>
              <w:rPr>
                <w:rFonts w:ascii="Times New Roman" w:hAnsi="Times New Roman" w:cs="Times New Roman"/>
              </w:rPr>
              <w:t xml:space="preserve">Recognition of counter-constituencies; framing of policy as opposed to carceral interests. </w:t>
            </w:r>
          </w:p>
        </w:tc>
      </w:tr>
      <w:tr w:rsidR="00026B60" w14:paraId="02575846" w14:textId="77777777" w:rsidTr="00780D8A">
        <w:tc>
          <w:tcPr>
            <w:tcW w:w="3116" w:type="dxa"/>
          </w:tcPr>
          <w:p w14:paraId="2CCD1FC6" w14:textId="77777777" w:rsidR="00026B60" w:rsidRPr="003C1581" w:rsidRDefault="00026B60" w:rsidP="00780D8A">
            <w:pPr>
              <w:rPr>
                <w:rFonts w:ascii="Times New Roman" w:hAnsi="Times New Roman" w:cs="Times New Roman"/>
                <w:b/>
                <w:bCs/>
              </w:rPr>
            </w:pPr>
            <w:r w:rsidRPr="003C1581">
              <w:rPr>
                <w:rFonts w:ascii="Times New Roman" w:hAnsi="Times New Roman" w:cs="Times New Roman"/>
                <w:b/>
                <w:bCs/>
              </w:rPr>
              <w:t>Hollow</w:t>
            </w:r>
            <w:r>
              <w:rPr>
                <w:rFonts w:ascii="Times New Roman" w:hAnsi="Times New Roman" w:cs="Times New Roman"/>
                <w:b/>
                <w:bCs/>
              </w:rPr>
              <w:t xml:space="preserve"> Recognition</w:t>
            </w:r>
          </w:p>
        </w:tc>
        <w:tc>
          <w:tcPr>
            <w:tcW w:w="6234" w:type="dxa"/>
            <w:gridSpan w:val="2"/>
          </w:tcPr>
          <w:p w14:paraId="5448A7B9" w14:textId="77777777" w:rsidR="00026B60" w:rsidRDefault="00026B60" w:rsidP="00780D8A">
            <w:pPr>
              <w:rPr>
                <w:rFonts w:ascii="Times New Roman" w:hAnsi="Times New Roman" w:cs="Times New Roman"/>
              </w:rPr>
            </w:pPr>
          </w:p>
        </w:tc>
      </w:tr>
      <w:tr w:rsidR="00026B60" w14:paraId="40948FCE" w14:textId="77777777" w:rsidTr="00780D8A">
        <w:tc>
          <w:tcPr>
            <w:tcW w:w="3116" w:type="dxa"/>
          </w:tcPr>
          <w:p w14:paraId="6BE236C4" w14:textId="77777777" w:rsidR="00026B60" w:rsidRDefault="00026B60" w:rsidP="00780D8A">
            <w:pPr>
              <w:rPr>
                <w:rFonts w:ascii="Times New Roman" w:hAnsi="Times New Roman" w:cs="Times New Roman"/>
              </w:rPr>
            </w:pPr>
          </w:p>
        </w:tc>
        <w:tc>
          <w:tcPr>
            <w:tcW w:w="6234" w:type="dxa"/>
            <w:gridSpan w:val="2"/>
          </w:tcPr>
          <w:p w14:paraId="605BE607" w14:textId="77777777" w:rsidR="00026B60" w:rsidRDefault="00026B60" w:rsidP="00780D8A">
            <w:pPr>
              <w:rPr>
                <w:rFonts w:ascii="Times New Roman" w:hAnsi="Times New Roman" w:cs="Times New Roman"/>
              </w:rPr>
            </w:pPr>
            <w:r>
              <w:rPr>
                <w:rFonts w:ascii="Times New Roman" w:hAnsi="Times New Roman" w:cs="Times New Roman"/>
              </w:rPr>
              <w:t>Rhetorical support for CJ that never ingrates carceral constituency perspective; Support for/action on policies reflecting “selective hearing”</w:t>
            </w:r>
          </w:p>
        </w:tc>
      </w:tr>
      <w:tr w:rsidR="00026B60" w14:paraId="4FE0BBBA" w14:textId="77777777" w:rsidTr="00780D8A">
        <w:tc>
          <w:tcPr>
            <w:tcW w:w="3116" w:type="dxa"/>
          </w:tcPr>
          <w:p w14:paraId="1E5DB5F1" w14:textId="77777777" w:rsidR="00026B60" w:rsidRPr="003C1581" w:rsidRDefault="00026B60" w:rsidP="00780D8A">
            <w:pPr>
              <w:rPr>
                <w:rFonts w:ascii="Times New Roman" w:hAnsi="Times New Roman" w:cs="Times New Roman"/>
                <w:b/>
                <w:bCs/>
              </w:rPr>
            </w:pPr>
            <w:r>
              <w:rPr>
                <w:rFonts w:ascii="Times New Roman" w:hAnsi="Times New Roman" w:cs="Times New Roman"/>
                <w:b/>
                <w:bCs/>
              </w:rPr>
              <w:t>Centering Recognition</w:t>
            </w:r>
          </w:p>
        </w:tc>
        <w:tc>
          <w:tcPr>
            <w:tcW w:w="6234" w:type="dxa"/>
            <w:gridSpan w:val="2"/>
          </w:tcPr>
          <w:p w14:paraId="0C19ABCE" w14:textId="77777777" w:rsidR="00026B60" w:rsidRDefault="00026B60" w:rsidP="00780D8A">
            <w:pPr>
              <w:rPr>
                <w:rFonts w:ascii="Times New Roman" w:hAnsi="Times New Roman" w:cs="Times New Roman"/>
              </w:rPr>
            </w:pPr>
          </w:p>
        </w:tc>
      </w:tr>
      <w:tr w:rsidR="00026B60" w14:paraId="2971314D" w14:textId="77777777" w:rsidTr="00780D8A">
        <w:tc>
          <w:tcPr>
            <w:tcW w:w="3116" w:type="dxa"/>
          </w:tcPr>
          <w:p w14:paraId="7B8EA9C1" w14:textId="77777777" w:rsidR="00026B60" w:rsidRDefault="00026B60" w:rsidP="00780D8A">
            <w:pPr>
              <w:rPr>
                <w:rFonts w:ascii="Times New Roman" w:hAnsi="Times New Roman" w:cs="Times New Roman"/>
              </w:rPr>
            </w:pPr>
          </w:p>
        </w:tc>
        <w:tc>
          <w:tcPr>
            <w:tcW w:w="3117" w:type="dxa"/>
          </w:tcPr>
          <w:p w14:paraId="2B13537D" w14:textId="77777777" w:rsidR="00026B60" w:rsidRPr="00227487" w:rsidRDefault="00026B60" w:rsidP="00780D8A">
            <w:pPr>
              <w:rPr>
                <w:rFonts w:ascii="Times New Roman" w:hAnsi="Times New Roman" w:cs="Times New Roman"/>
                <w:i/>
                <w:iCs/>
              </w:rPr>
            </w:pPr>
            <w:r>
              <w:rPr>
                <w:rFonts w:ascii="Times New Roman" w:hAnsi="Times New Roman" w:cs="Times New Roman"/>
                <w:i/>
                <w:iCs/>
              </w:rPr>
              <w:t>Explicit</w:t>
            </w:r>
          </w:p>
        </w:tc>
        <w:tc>
          <w:tcPr>
            <w:tcW w:w="3117" w:type="dxa"/>
          </w:tcPr>
          <w:p w14:paraId="1F76BE59" w14:textId="77777777" w:rsidR="00026B60" w:rsidRDefault="00026B60" w:rsidP="00780D8A">
            <w:pPr>
              <w:rPr>
                <w:rFonts w:ascii="Times New Roman" w:hAnsi="Times New Roman" w:cs="Times New Roman"/>
              </w:rPr>
            </w:pPr>
            <w:r>
              <w:rPr>
                <w:rFonts w:ascii="Times New Roman" w:hAnsi="Times New Roman" w:cs="Times New Roman"/>
              </w:rPr>
              <w:t>Direct constituency naming (“my constituents behind the wall,” or “my constituent, who is in MCI-Norfolk”)</w:t>
            </w:r>
          </w:p>
        </w:tc>
      </w:tr>
      <w:tr w:rsidR="00026B60" w14:paraId="4F368DA2" w14:textId="77777777" w:rsidTr="00780D8A">
        <w:tc>
          <w:tcPr>
            <w:tcW w:w="3116" w:type="dxa"/>
          </w:tcPr>
          <w:p w14:paraId="767D300F" w14:textId="77777777" w:rsidR="00026B60" w:rsidRDefault="00026B60" w:rsidP="00780D8A">
            <w:pPr>
              <w:rPr>
                <w:rFonts w:ascii="Times New Roman" w:hAnsi="Times New Roman" w:cs="Times New Roman"/>
              </w:rPr>
            </w:pPr>
          </w:p>
        </w:tc>
        <w:tc>
          <w:tcPr>
            <w:tcW w:w="3117" w:type="dxa"/>
          </w:tcPr>
          <w:p w14:paraId="3BA9AE87" w14:textId="77777777" w:rsidR="00026B60" w:rsidRDefault="00026B60" w:rsidP="00780D8A">
            <w:pPr>
              <w:rPr>
                <w:rFonts w:ascii="Times New Roman" w:hAnsi="Times New Roman" w:cs="Times New Roman"/>
                <w:i/>
                <w:iCs/>
              </w:rPr>
            </w:pPr>
            <w:r>
              <w:rPr>
                <w:rFonts w:ascii="Times New Roman" w:hAnsi="Times New Roman" w:cs="Times New Roman"/>
                <w:i/>
                <w:iCs/>
              </w:rPr>
              <w:t>Adjacent or Implicit</w:t>
            </w:r>
          </w:p>
        </w:tc>
        <w:tc>
          <w:tcPr>
            <w:tcW w:w="3117" w:type="dxa"/>
          </w:tcPr>
          <w:p w14:paraId="77994D47" w14:textId="77777777" w:rsidR="00026B60" w:rsidRDefault="00026B60" w:rsidP="00780D8A">
            <w:pPr>
              <w:rPr>
                <w:rFonts w:ascii="Times New Roman" w:hAnsi="Times New Roman" w:cs="Times New Roman"/>
              </w:rPr>
            </w:pPr>
            <w:r>
              <w:rPr>
                <w:rFonts w:ascii="Times New Roman" w:hAnsi="Times New Roman" w:cs="Times New Roman"/>
              </w:rPr>
              <w:t>(“our brothers behind the wall;” “my constituents who drive 3 hours to see their loved ones in MCI-Norfolk”)</w:t>
            </w:r>
          </w:p>
        </w:tc>
      </w:tr>
      <w:tr w:rsidR="00026B60" w14:paraId="0446FD63" w14:textId="77777777" w:rsidTr="00780D8A">
        <w:tc>
          <w:tcPr>
            <w:tcW w:w="3116" w:type="dxa"/>
          </w:tcPr>
          <w:p w14:paraId="7AE46EF8" w14:textId="77777777" w:rsidR="00026B60" w:rsidRDefault="00026B60" w:rsidP="00780D8A">
            <w:pPr>
              <w:rPr>
                <w:rFonts w:ascii="Times New Roman" w:hAnsi="Times New Roman" w:cs="Times New Roman"/>
              </w:rPr>
            </w:pPr>
          </w:p>
        </w:tc>
        <w:tc>
          <w:tcPr>
            <w:tcW w:w="3117" w:type="dxa"/>
          </w:tcPr>
          <w:p w14:paraId="2882083F" w14:textId="77777777" w:rsidR="00026B60" w:rsidRDefault="00026B60" w:rsidP="00780D8A">
            <w:pPr>
              <w:rPr>
                <w:rFonts w:ascii="Times New Roman" w:hAnsi="Times New Roman" w:cs="Times New Roman"/>
                <w:i/>
                <w:iCs/>
              </w:rPr>
            </w:pPr>
            <w:r>
              <w:rPr>
                <w:rFonts w:ascii="Times New Roman" w:hAnsi="Times New Roman" w:cs="Times New Roman"/>
                <w:i/>
                <w:iCs/>
              </w:rPr>
              <w:t xml:space="preserve">Humanizing </w:t>
            </w:r>
          </w:p>
        </w:tc>
        <w:tc>
          <w:tcPr>
            <w:tcW w:w="3117" w:type="dxa"/>
          </w:tcPr>
          <w:p w14:paraId="1F831EF2" w14:textId="77777777" w:rsidR="00026B60" w:rsidRDefault="00026B60" w:rsidP="00780D8A">
            <w:pPr>
              <w:rPr>
                <w:rFonts w:ascii="Times New Roman" w:hAnsi="Times New Roman" w:cs="Times New Roman"/>
              </w:rPr>
            </w:pPr>
            <w:r>
              <w:rPr>
                <w:rFonts w:ascii="Times New Roman" w:hAnsi="Times New Roman" w:cs="Times New Roman"/>
              </w:rPr>
              <w:t>Carceral citizens as moral agents, community members, rights-bearing (dignity, family ties, political voice, deserving of)</w:t>
            </w:r>
          </w:p>
        </w:tc>
      </w:tr>
      <w:tr w:rsidR="00026B60" w14:paraId="6E0983E6" w14:textId="77777777" w:rsidTr="00780D8A">
        <w:tc>
          <w:tcPr>
            <w:tcW w:w="3116" w:type="dxa"/>
          </w:tcPr>
          <w:p w14:paraId="32737FC7" w14:textId="77777777" w:rsidR="00026B60" w:rsidRPr="00CD42D5" w:rsidRDefault="00026B60" w:rsidP="00780D8A">
            <w:pPr>
              <w:rPr>
                <w:rFonts w:ascii="Times New Roman" w:hAnsi="Times New Roman" w:cs="Times New Roman"/>
                <w:i/>
                <w:iCs/>
              </w:rPr>
            </w:pPr>
            <w:r w:rsidRPr="00CD42D5">
              <w:rPr>
                <w:rFonts w:ascii="Times New Roman" w:hAnsi="Times New Roman" w:cs="Times New Roman"/>
                <w:i/>
                <w:iCs/>
              </w:rPr>
              <w:t>Potential cites of epistemic inclusion</w:t>
            </w:r>
          </w:p>
        </w:tc>
        <w:tc>
          <w:tcPr>
            <w:tcW w:w="3117" w:type="dxa"/>
          </w:tcPr>
          <w:p w14:paraId="13F9D3B5" w14:textId="77777777" w:rsidR="00026B60" w:rsidRDefault="00026B60" w:rsidP="00780D8A">
            <w:pPr>
              <w:rPr>
                <w:rFonts w:ascii="Times New Roman" w:hAnsi="Times New Roman" w:cs="Times New Roman"/>
                <w:i/>
                <w:iCs/>
              </w:rPr>
            </w:pPr>
            <w:r>
              <w:rPr>
                <w:rFonts w:ascii="Times New Roman" w:hAnsi="Times New Roman" w:cs="Times New Roman"/>
                <w:i/>
                <w:iCs/>
              </w:rPr>
              <w:t>As Knowers (Episteme?)</w:t>
            </w:r>
          </w:p>
        </w:tc>
        <w:tc>
          <w:tcPr>
            <w:tcW w:w="3117" w:type="dxa"/>
          </w:tcPr>
          <w:p w14:paraId="723B7522" w14:textId="77777777" w:rsidR="00026B60" w:rsidRDefault="00026B60" w:rsidP="00780D8A">
            <w:pPr>
              <w:rPr>
                <w:rFonts w:ascii="Times New Roman" w:hAnsi="Times New Roman" w:cs="Times New Roman"/>
              </w:rPr>
            </w:pPr>
            <w:r>
              <w:rPr>
                <w:rFonts w:ascii="Times New Roman" w:hAnsi="Times New Roman" w:cs="Times New Roman"/>
              </w:rPr>
              <w:t>References to perspectives, political voice, direct demands; framing carceral political action (protest, direct participation) as legitimate political action; references to “hidden curriculum” (Weaver)</w:t>
            </w:r>
          </w:p>
        </w:tc>
      </w:tr>
      <w:tr w:rsidR="00026B60" w14:paraId="15019628" w14:textId="77777777" w:rsidTr="00780D8A">
        <w:tc>
          <w:tcPr>
            <w:tcW w:w="3116" w:type="dxa"/>
          </w:tcPr>
          <w:p w14:paraId="7E15F3C8" w14:textId="77777777" w:rsidR="00026B60" w:rsidRDefault="00026B60" w:rsidP="00780D8A">
            <w:pPr>
              <w:rPr>
                <w:rFonts w:ascii="Times New Roman" w:hAnsi="Times New Roman" w:cs="Times New Roman"/>
              </w:rPr>
            </w:pPr>
          </w:p>
        </w:tc>
        <w:tc>
          <w:tcPr>
            <w:tcW w:w="3117" w:type="dxa"/>
          </w:tcPr>
          <w:p w14:paraId="2B3628C8" w14:textId="77777777" w:rsidR="00026B60" w:rsidRDefault="00026B60" w:rsidP="00780D8A">
            <w:pPr>
              <w:rPr>
                <w:rFonts w:ascii="Times New Roman" w:hAnsi="Times New Roman" w:cs="Times New Roman"/>
                <w:i/>
                <w:iCs/>
              </w:rPr>
            </w:pPr>
          </w:p>
        </w:tc>
        <w:tc>
          <w:tcPr>
            <w:tcW w:w="3117" w:type="dxa"/>
          </w:tcPr>
          <w:p w14:paraId="57C75480" w14:textId="77777777" w:rsidR="00026B60" w:rsidRDefault="00026B60" w:rsidP="00780D8A">
            <w:pPr>
              <w:rPr>
                <w:rFonts w:ascii="Times New Roman" w:hAnsi="Times New Roman" w:cs="Times New Roman"/>
              </w:rPr>
            </w:pPr>
            <w:r>
              <w:rPr>
                <w:rFonts w:ascii="Times New Roman" w:hAnsi="Times New Roman" w:cs="Times New Roman"/>
              </w:rPr>
              <w:t>References to legislator-initiated direct contact (prison visits)</w:t>
            </w:r>
          </w:p>
        </w:tc>
      </w:tr>
      <w:tr w:rsidR="00026B60" w14:paraId="28BD1811" w14:textId="77777777" w:rsidTr="00780D8A">
        <w:tc>
          <w:tcPr>
            <w:tcW w:w="3116" w:type="dxa"/>
          </w:tcPr>
          <w:p w14:paraId="78EA4655" w14:textId="77777777" w:rsidR="00026B60" w:rsidRPr="00C91B6B" w:rsidRDefault="00026B60" w:rsidP="00780D8A">
            <w:pPr>
              <w:rPr>
                <w:rFonts w:ascii="Times New Roman" w:hAnsi="Times New Roman" w:cs="Times New Roman"/>
                <w:i/>
                <w:iCs/>
              </w:rPr>
            </w:pPr>
            <w:r>
              <w:rPr>
                <w:rFonts w:ascii="Times New Roman" w:hAnsi="Times New Roman" w:cs="Times New Roman"/>
                <w:i/>
                <w:iCs/>
              </w:rPr>
              <w:lastRenderedPageBreak/>
              <w:t>Potential responsiveness</w:t>
            </w:r>
          </w:p>
        </w:tc>
        <w:tc>
          <w:tcPr>
            <w:tcW w:w="3117" w:type="dxa"/>
          </w:tcPr>
          <w:p w14:paraId="4E9927DC" w14:textId="77777777" w:rsidR="00026B60" w:rsidRDefault="00026B60" w:rsidP="00780D8A">
            <w:pPr>
              <w:rPr>
                <w:rFonts w:ascii="Times New Roman" w:hAnsi="Times New Roman" w:cs="Times New Roman"/>
                <w:i/>
                <w:iCs/>
              </w:rPr>
            </w:pPr>
            <w:r>
              <w:rPr>
                <w:rFonts w:ascii="Times New Roman" w:hAnsi="Times New Roman" w:cs="Times New Roman"/>
                <w:i/>
                <w:iCs/>
              </w:rPr>
              <w:t xml:space="preserve">“Bridging” or Injecting </w:t>
            </w:r>
            <w:proofErr w:type="gramStart"/>
            <w:r>
              <w:rPr>
                <w:rFonts w:ascii="Times New Roman" w:hAnsi="Times New Roman" w:cs="Times New Roman"/>
                <w:i/>
                <w:iCs/>
              </w:rPr>
              <w:t>CC’s</w:t>
            </w:r>
            <w:proofErr w:type="gramEnd"/>
            <w:r>
              <w:rPr>
                <w:rFonts w:ascii="Times New Roman" w:hAnsi="Times New Roman" w:cs="Times New Roman"/>
                <w:i/>
                <w:iCs/>
              </w:rPr>
              <w:t xml:space="preserve"> as Knowers </w:t>
            </w:r>
          </w:p>
        </w:tc>
        <w:tc>
          <w:tcPr>
            <w:tcW w:w="3117" w:type="dxa"/>
          </w:tcPr>
          <w:p w14:paraId="649AFBDC" w14:textId="77777777" w:rsidR="00026B60" w:rsidRDefault="00026B60" w:rsidP="00780D8A">
            <w:pPr>
              <w:rPr>
                <w:rFonts w:ascii="Times New Roman" w:hAnsi="Times New Roman" w:cs="Times New Roman"/>
              </w:rPr>
            </w:pPr>
            <w:r>
              <w:rPr>
                <w:rFonts w:ascii="Times New Roman" w:hAnsi="Times New Roman" w:cs="Times New Roman"/>
              </w:rPr>
              <w:t>Direct engagement with carceral constituent recorded or live testimony, reading/direct quoting</w:t>
            </w:r>
          </w:p>
        </w:tc>
      </w:tr>
    </w:tbl>
    <w:p w14:paraId="781B33F8" w14:textId="77777777" w:rsidR="00026B60" w:rsidRDefault="00026B60"/>
    <w:p w14:paraId="5BE2D05B" w14:textId="7DBDD183" w:rsidR="008F3BA2" w:rsidRDefault="00833744">
      <w:r w:rsidRPr="00833744">
        <w:rPr>
          <w:i/>
          <w:iCs/>
        </w:rPr>
        <w:t>Data Sources</w:t>
      </w:r>
      <w:r>
        <w:t>:</w:t>
      </w:r>
    </w:p>
    <w:p w14:paraId="2B055351" w14:textId="77777777" w:rsidR="008F3BA2" w:rsidRDefault="008F3BA2"/>
    <w:p w14:paraId="47628216" w14:textId="2BACFFF2" w:rsidR="008F3BA2" w:rsidRDefault="008F3BA2">
      <w:r>
        <w:t>Questions:</w:t>
      </w:r>
    </w:p>
    <w:p w14:paraId="05A9745D" w14:textId="2A0B22EF" w:rsidR="008F3BA2" w:rsidRDefault="008F3BA2" w:rsidP="008F3BA2">
      <w:pPr>
        <w:pStyle w:val="ListParagraph"/>
        <w:numPr>
          <w:ilvl w:val="0"/>
          <w:numId w:val="1"/>
        </w:numPr>
      </w:pPr>
      <w:r>
        <w:t xml:space="preserve">What would it take to </w:t>
      </w:r>
      <w:r w:rsidR="00087D6A">
        <w:t>gather speech data</w:t>
      </w:r>
    </w:p>
    <w:p w14:paraId="02EB260E" w14:textId="77777777" w:rsidR="00237C4B" w:rsidRDefault="00237C4B" w:rsidP="008F3BA2">
      <w:pPr>
        <w:pStyle w:val="ListParagraph"/>
        <w:numPr>
          <w:ilvl w:val="0"/>
          <w:numId w:val="1"/>
        </w:numPr>
      </w:pPr>
      <w:r>
        <w:t>What would it take to scrape data from:</w:t>
      </w:r>
    </w:p>
    <w:p w14:paraId="4D5AE5C4" w14:textId="740EF896" w:rsidR="00087D6A" w:rsidRDefault="00237C4B" w:rsidP="00237C4B">
      <w:pPr>
        <w:pStyle w:val="ListParagraph"/>
        <w:numPr>
          <w:ilvl w:val="1"/>
          <w:numId w:val="1"/>
        </w:numPr>
      </w:pPr>
      <w:r>
        <w:t>Legislator websites</w:t>
      </w:r>
    </w:p>
    <w:p w14:paraId="739DD927" w14:textId="7AC43A26" w:rsidR="00237C4B" w:rsidRDefault="00237C4B" w:rsidP="00237C4B">
      <w:pPr>
        <w:pStyle w:val="ListParagraph"/>
        <w:numPr>
          <w:ilvl w:val="1"/>
          <w:numId w:val="1"/>
        </w:numPr>
      </w:pPr>
      <w:r>
        <w:t>Social media</w:t>
      </w:r>
    </w:p>
    <w:p w14:paraId="3E7B140E" w14:textId="33DB2042" w:rsidR="00237C4B" w:rsidRDefault="00237C4B" w:rsidP="00237C4B">
      <w:pPr>
        <w:pStyle w:val="ListParagraph"/>
        <w:numPr>
          <w:ilvl w:val="1"/>
          <w:numId w:val="1"/>
        </w:numPr>
      </w:pPr>
      <w:r>
        <w:t>District newsletters</w:t>
      </w:r>
    </w:p>
    <w:p w14:paraId="18EA2D24" w14:textId="23BF3F27" w:rsidR="00883FAD" w:rsidRDefault="00883FAD" w:rsidP="00883FAD">
      <w:r>
        <w:t>Include</w:t>
      </w:r>
    </w:p>
    <w:p w14:paraId="77600864" w14:textId="0FE59F7B" w:rsidR="00883FAD" w:rsidRDefault="00883FAD" w:rsidP="00883FAD">
      <w:pPr>
        <w:pStyle w:val="ListParagraph"/>
        <w:numPr>
          <w:ilvl w:val="0"/>
          <w:numId w:val="2"/>
        </w:numPr>
      </w:pPr>
      <w:r>
        <w:t xml:space="preserve">CJ legislation </w:t>
      </w:r>
    </w:p>
    <w:p w14:paraId="389F361C" w14:textId="1569DCC0" w:rsidR="00883FAD" w:rsidRDefault="00883FAD" w:rsidP="00883FAD">
      <w:pPr>
        <w:pStyle w:val="ListParagraph"/>
        <w:numPr>
          <w:ilvl w:val="0"/>
          <w:numId w:val="2"/>
        </w:numPr>
      </w:pPr>
      <w:r>
        <w:t>Related or relevant legislation that might be in other committees</w:t>
      </w:r>
    </w:p>
    <w:p w14:paraId="3E32E1E5" w14:textId="2559E7CE" w:rsidR="00883FAD" w:rsidRDefault="00883FAD" w:rsidP="00883FAD">
      <w:pPr>
        <w:pStyle w:val="ListParagraph"/>
        <w:numPr>
          <w:ilvl w:val="1"/>
          <w:numId w:val="2"/>
        </w:numPr>
      </w:pPr>
      <w:r>
        <w:t>Ie – voting, election law</w:t>
      </w:r>
    </w:p>
    <w:p w14:paraId="02AAFED6" w14:textId="7D90C44A" w:rsidR="00883FAD" w:rsidRDefault="00883FAD" w:rsidP="00883FAD">
      <w:pPr>
        <w:pStyle w:val="ListParagraph"/>
        <w:numPr>
          <w:ilvl w:val="1"/>
          <w:numId w:val="2"/>
        </w:numPr>
      </w:pPr>
      <w:r>
        <w:t xml:space="preserve">Ie – </w:t>
      </w:r>
    </w:p>
    <w:p w14:paraId="32B27E7B" w14:textId="22D27BFE" w:rsidR="00107B1A" w:rsidRDefault="00107B1A">
      <w:r>
        <w:br w:type="page"/>
      </w:r>
    </w:p>
    <w:p w14:paraId="0755F926" w14:textId="77777777" w:rsidR="00107B1A" w:rsidRPr="004E75E9" w:rsidRDefault="00107B1A" w:rsidP="00107B1A">
      <w:pPr>
        <w:spacing w:line="360" w:lineRule="auto"/>
        <w:rPr>
          <w:rFonts w:ascii="Times New Roman" w:hAnsi="Times New Roman" w:cs="Times New Roman"/>
        </w:rPr>
      </w:pPr>
      <w:r w:rsidRPr="004E75E9">
        <w:rPr>
          <w:rFonts w:ascii="Times New Roman" w:hAnsi="Times New Roman" w:cs="Times New Roman"/>
          <w:b/>
          <w:bCs/>
        </w:rPr>
        <w:lastRenderedPageBreak/>
        <w:t>Table 2: Potential Measures, Data Sources, and Feasibility Assessment</w:t>
      </w:r>
    </w:p>
    <w:p w14:paraId="0843DEC8" w14:textId="77777777" w:rsidR="00107B1A" w:rsidRPr="004E75E9" w:rsidRDefault="00107B1A" w:rsidP="00107B1A">
      <w:pPr>
        <w:spacing w:line="360" w:lineRule="auto"/>
        <w:rPr>
          <w:rFonts w:ascii="Times New Roman" w:hAnsi="Times New Roman" w:cs="Times New Roman"/>
        </w:rPr>
      </w:pPr>
      <w:r w:rsidRPr="004E75E9">
        <w:rPr>
          <w:rFonts w:ascii="Times New Roman" w:hAnsi="Times New Roman" w:cs="Times New Roman"/>
          <w:i/>
          <w:iCs/>
        </w:rPr>
        <w:t>This table summarizes potential dependent variables, data sources, and platforms for measuring symbolic representation, epistemic inclusion, and responsiveness to carceral constituencies. Feasibility ratings reflect data accessibility and methodological complexity.</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9"/>
        <w:gridCol w:w="2527"/>
        <w:gridCol w:w="1142"/>
        <w:gridCol w:w="1148"/>
        <w:gridCol w:w="2752"/>
      </w:tblGrid>
      <w:tr w:rsidR="00107B1A" w:rsidRPr="004E75E9" w14:paraId="3C12E28B" w14:textId="77777777" w:rsidTr="00780D8A">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D9E2F3"/>
          </w:tcPr>
          <w:p w14:paraId="2EC64612"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Measure</w:t>
            </w:r>
          </w:p>
        </w:tc>
        <w:tc>
          <w:tcPr>
            <w:tcW w:w="2800" w:type="dxa"/>
            <w:tcBorders>
              <w:top w:val="single" w:sz="1" w:space="0" w:color="999999"/>
              <w:left w:val="single" w:sz="1" w:space="0" w:color="999999"/>
              <w:bottom w:val="single" w:sz="1" w:space="0" w:color="999999"/>
              <w:right w:val="single" w:sz="1" w:space="0" w:color="999999"/>
            </w:tcBorders>
            <w:shd w:val="clear" w:color="auto" w:fill="D9E2F3"/>
          </w:tcPr>
          <w:p w14:paraId="077AE8D9"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Data Sources / Platforms</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11438B2D"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Level</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673EF59E"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Feasibility</w:t>
            </w:r>
          </w:p>
        </w:tc>
        <w:tc>
          <w:tcPr>
            <w:tcW w:w="3600" w:type="dxa"/>
            <w:tcBorders>
              <w:top w:val="single" w:sz="1" w:space="0" w:color="999999"/>
              <w:left w:val="single" w:sz="1" w:space="0" w:color="999999"/>
              <w:bottom w:val="single" w:sz="1" w:space="0" w:color="999999"/>
              <w:right w:val="single" w:sz="1" w:space="0" w:color="999999"/>
            </w:tcBorders>
            <w:shd w:val="clear" w:color="auto" w:fill="D9E2F3"/>
          </w:tcPr>
          <w:p w14:paraId="7561980B"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Theoretical Relevance</w:t>
            </w:r>
          </w:p>
        </w:tc>
      </w:tr>
      <w:tr w:rsidR="00107B1A" w:rsidRPr="004E75E9" w14:paraId="31B48772" w14:textId="77777777" w:rsidTr="00780D8A">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3B89D4C6"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i/>
                <w:iCs/>
              </w:rPr>
              <w:t>A. Committee &amp; Deliberative Speech</w:t>
            </w:r>
          </w:p>
        </w:tc>
      </w:tr>
      <w:tr w:rsidR="00107B1A" w:rsidRPr="004E75E9" w14:paraId="531951FE"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75BD003F"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Legislator speech in committee hearings</w:t>
            </w:r>
          </w:p>
        </w:tc>
        <w:tc>
          <w:tcPr>
            <w:tcW w:w="2800" w:type="dxa"/>
            <w:tcBorders>
              <w:top w:val="single" w:sz="1" w:space="0" w:color="999999"/>
              <w:left w:val="single" w:sz="1" w:space="0" w:color="999999"/>
              <w:bottom w:val="single" w:sz="1" w:space="0" w:color="999999"/>
              <w:right w:val="single" w:sz="1" w:space="0" w:color="999999"/>
            </w:tcBorders>
          </w:tcPr>
          <w:p w14:paraId="6EBF56F0"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legislature archives; YouTube channels; hearing transcripts (PDFs); ProQuest Congressional (federal)</w:t>
            </w:r>
          </w:p>
        </w:tc>
        <w:tc>
          <w:tcPr>
            <w:tcW w:w="1200" w:type="dxa"/>
            <w:tcBorders>
              <w:top w:val="single" w:sz="1" w:space="0" w:color="999999"/>
              <w:left w:val="single" w:sz="1" w:space="0" w:color="999999"/>
              <w:bottom w:val="single" w:sz="1" w:space="0" w:color="999999"/>
              <w:right w:val="single" w:sz="1" w:space="0" w:color="999999"/>
            </w:tcBorders>
          </w:tcPr>
          <w:p w14:paraId="3D771E50"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DD2B6E9"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37BFC5F0"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 xml:space="preserve">Epistemic inclusion in Pottle's sense: whose knowledge is treated as relevant inside decision-making. Aligns with Ban &amp; </w:t>
            </w:r>
            <w:proofErr w:type="spellStart"/>
            <w:r w:rsidRPr="004E75E9">
              <w:rPr>
                <w:rFonts w:ascii="Times New Roman" w:hAnsi="Times New Roman" w:cs="Times New Roman"/>
              </w:rPr>
              <w:t>Kaslovsky</w:t>
            </w:r>
            <w:proofErr w:type="spellEnd"/>
            <w:r w:rsidRPr="004E75E9">
              <w:rPr>
                <w:rFonts w:ascii="Times New Roman" w:hAnsi="Times New Roman" w:cs="Times New Roman"/>
              </w:rPr>
              <w:t xml:space="preserve"> (2025) on internal vs. external rhetoric.</w:t>
            </w:r>
          </w:p>
        </w:tc>
      </w:tr>
      <w:tr w:rsidR="00107B1A" w:rsidRPr="004E75E9" w14:paraId="073DA9E1"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0D6B53E5"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Treatment of incarcerated testimony</w:t>
            </w:r>
          </w:p>
        </w:tc>
        <w:tc>
          <w:tcPr>
            <w:tcW w:w="2800" w:type="dxa"/>
            <w:tcBorders>
              <w:top w:val="single" w:sz="1" w:space="0" w:color="999999"/>
              <w:left w:val="single" w:sz="1" w:space="0" w:color="999999"/>
              <w:bottom w:val="single" w:sz="1" w:space="0" w:color="999999"/>
              <w:right w:val="single" w:sz="1" w:space="0" w:color="999999"/>
            </w:tcBorders>
          </w:tcPr>
          <w:p w14:paraId="697E2AC4"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Hearing records; advocacy group websites; FOIA/public records requests</w:t>
            </w:r>
          </w:p>
        </w:tc>
        <w:tc>
          <w:tcPr>
            <w:tcW w:w="1200" w:type="dxa"/>
            <w:tcBorders>
              <w:top w:val="single" w:sz="1" w:space="0" w:color="999999"/>
              <w:left w:val="single" w:sz="1" w:space="0" w:color="999999"/>
              <w:bottom w:val="single" w:sz="1" w:space="0" w:color="999999"/>
              <w:right w:val="single" w:sz="1" w:space="0" w:color="999999"/>
            </w:tcBorders>
          </w:tcPr>
          <w:p w14:paraId="283B9259"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06A1E73"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High</w:t>
            </w:r>
          </w:p>
        </w:tc>
        <w:tc>
          <w:tcPr>
            <w:tcW w:w="3600" w:type="dxa"/>
            <w:tcBorders>
              <w:top w:val="single" w:sz="1" w:space="0" w:color="999999"/>
              <w:left w:val="single" w:sz="1" w:space="0" w:color="999999"/>
              <w:bottom w:val="single" w:sz="1" w:space="0" w:color="999999"/>
              <w:right w:val="single" w:sz="1" w:space="0" w:color="999999"/>
            </w:tcBorders>
          </w:tcPr>
          <w:p w14:paraId="521EEB82"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Direct operationalization of testimonial justice vs. injustice (Pottle 2025). Whether legislators reference, credit, or dismiss testimony from incarcerated or formerly incarcerated people.</w:t>
            </w:r>
          </w:p>
        </w:tc>
      </w:tr>
      <w:tr w:rsidR="00107B1A" w:rsidRPr="004E75E9" w14:paraId="38F6590D"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63AAD36F"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Committee questions on bills</w:t>
            </w:r>
          </w:p>
        </w:tc>
        <w:tc>
          <w:tcPr>
            <w:tcW w:w="2800" w:type="dxa"/>
            <w:tcBorders>
              <w:top w:val="single" w:sz="1" w:space="0" w:color="999999"/>
              <w:left w:val="single" w:sz="1" w:space="0" w:color="999999"/>
              <w:bottom w:val="single" w:sz="1" w:space="0" w:color="999999"/>
              <w:right w:val="single" w:sz="1" w:space="0" w:color="999999"/>
            </w:tcBorders>
          </w:tcPr>
          <w:p w14:paraId="2B7E3A18"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committee archives; Congress.gov; ProQuest Congressional</w:t>
            </w:r>
          </w:p>
        </w:tc>
        <w:tc>
          <w:tcPr>
            <w:tcW w:w="1200" w:type="dxa"/>
            <w:tcBorders>
              <w:top w:val="single" w:sz="1" w:space="0" w:color="999999"/>
              <w:left w:val="single" w:sz="1" w:space="0" w:color="999999"/>
              <w:bottom w:val="single" w:sz="1" w:space="0" w:color="999999"/>
              <w:right w:val="single" w:sz="1" w:space="0" w:color="999999"/>
            </w:tcBorders>
          </w:tcPr>
          <w:p w14:paraId="24876C5C"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A54BD64"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FF29978"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 xml:space="preserve">Whether questions center incarcerated people's experiences vs. victims, police, or budgets. Captures how legislators think, not </w:t>
            </w:r>
            <w:r w:rsidRPr="004E75E9">
              <w:rPr>
                <w:rFonts w:ascii="Times New Roman" w:hAnsi="Times New Roman" w:cs="Times New Roman"/>
              </w:rPr>
              <w:lastRenderedPageBreak/>
              <w:t>just what they vote on (</w:t>
            </w:r>
            <w:proofErr w:type="spellStart"/>
            <w:r w:rsidRPr="004E75E9">
              <w:rPr>
                <w:rFonts w:ascii="Times New Roman" w:hAnsi="Times New Roman" w:cs="Times New Roman"/>
              </w:rPr>
              <w:t>Fenno</w:t>
            </w:r>
            <w:proofErr w:type="spellEnd"/>
            <w:r w:rsidRPr="004E75E9">
              <w:rPr>
                <w:rFonts w:ascii="Times New Roman" w:hAnsi="Times New Roman" w:cs="Times New Roman"/>
              </w:rPr>
              <w:t xml:space="preserve"> 1978).</w:t>
            </w:r>
          </w:p>
        </w:tc>
      </w:tr>
      <w:tr w:rsidR="00107B1A" w:rsidRPr="004E75E9" w14:paraId="273A7941"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5DC31400"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lastRenderedPageBreak/>
              <w:t>Floor speeches</w:t>
            </w:r>
          </w:p>
        </w:tc>
        <w:tc>
          <w:tcPr>
            <w:tcW w:w="2800" w:type="dxa"/>
            <w:tcBorders>
              <w:top w:val="single" w:sz="1" w:space="0" w:color="999999"/>
              <w:left w:val="single" w:sz="1" w:space="0" w:color="999999"/>
              <w:bottom w:val="single" w:sz="1" w:space="0" w:color="999999"/>
              <w:right w:val="single" w:sz="1" w:space="0" w:color="999999"/>
            </w:tcBorders>
          </w:tcPr>
          <w:p w14:paraId="1FE31A65"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 xml:space="preserve">Congressional Record; </w:t>
            </w:r>
            <w:proofErr w:type="spellStart"/>
            <w:r w:rsidRPr="004E75E9">
              <w:rPr>
                <w:rFonts w:ascii="Times New Roman" w:hAnsi="Times New Roman" w:cs="Times New Roman"/>
              </w:rPr>
              <w:t>GovInfo</w:t>
            </w:r>
            <w:proofErr w:type="spellEnd"/>
            <w:r w:rsidRPr="004E75E9">
              <w:rPr>
                <w:rFonts w:ascii="Times New Roman" w:hAnsi="Times New Roman" w:cs="Times New Roman"/>
              </w:rPr>
              <w:t xml:space="preserve"> API; state legislative journals</w:t>
            </w:r>
          </w:p>
        </w:tc>
        <w:tc>
          <w:tcPr>
            <w:tcW w:w="1200" w:type="dxa"/>
            <w:tcBorders>
              <w:top w:val="single" w:sz="1" w:space="0" w:color="999999"/>
              <w:left w:val="single" w:sz="1" w:space="0" w:color="999999"/>
              <w:bottom w:val="single" w:sz="1" w:space="0" w:color="999999"/>
              <w:right w:val="single" w:sz="1" w:space="0" w:color="999999"/>
            </w:tcBorders>
          </w:tcPr>
          <w:p w14:paraId="667858B9"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F0AEB7"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796B5F78"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Explicit constituent naming and framing differences by identity. Used by Vishwanath (2025) and Gillion (2016).</w:t>
            </w:r>
          </w:p>
        </w:tc>
      </w:tr>
      <w:tr w:rsidR="00107B1A" w:rsidRPr="004E75E9" w14:paraId="2BF1E1A5"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094A736E"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Letters entered into legislative record</w:t>
            </w:r>
          </w:p>
        </w:tc>
        <w:tc>
          <w:tcPr>
            <w:tcW w:w="2800" w:type="dxa"/>
            <w:tcBorders>
              <w:top w:val="single" w:sz="1" w:space="0" w:color="999999"/>
              <w:left w:val="single" w:sz="1" w:space="0" w:color="999999"/>
              <w:bottom w:val="single" w:sz="1" w:space="0" w:color="999999"/>
              <w:right w:val="single" w:sz="1" w:space="0" w:color="999999"/>
            </w:tcBorders>
          </w:tcPr>
          <w:p w14:paraId="083AFB03"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Hearing transcripts; legislative journals</w:t>
            </w:r>
          </w:p>
        </w:tc>
        <w:tc>
          <w:tcPr>
            <w:tcW w:w="1200" w:type="dxa"/>
            <w:tcBorders>
              <w:top w:val="single" w:sz="1" w:space="0" w:color="999999"/>
              <w:left w:val="single" w:sz="1" w:space="0" w:color="999999"/>
              <w:bottom w:val="single" w:sz="1" w:space="0" w:color="999999"/>
              <w:right w:val="single" w:sz="1" w:space="0" w:color="999999"/>
            </w:tcBorders>
          </w:tcPr>
          <w:p w14:paraId="59BC5078"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867F625"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375AA828"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When legislators read letters from incarcerated people into hearings—direct evidence of testimonial inclusion.</w:t>
            </w:r>
          </w:p>
        </w:tc>
      </w:tr>
      <w:tr w:rsidR="00107B1A" w:rsidRPr="004E75E9" w14:paraId="7DF1E29A" w14:textId="77777777" w:rsidTr="00780D8A">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796A4BFB"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i/>
                <w:iCs/>
              </w:rPr>
              <w:t>B. Constituent-Facing Communication</w:t>
            </w:r>
          </w:p>
        </w:tc>
      </w:tr>
      <w:tr w:rsidR="00107B1A" w:rsidRPr="004E75E9" w14:paraId="5E1B87C9"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438F290D"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Legislator newsletters</w:t>
            </w:r>
          </w:p>
        </w:tc>
        <w:tc>
          <w:tcPr>
            <w:tcW w:w="2800" w:type="dxa"/>
            <w:tcBorders>
              <w:top w:val="single" w:sz="1" w:space="0" w:color="999999"/>
              <w:left w:val="single" w:sz="1" w:space="0" w:color="999999"/>
              <w:bottom w:val="single" w:sz="1" w:space="0" w:color="999999"/>
              <w:right w:val="single" w:sz="1" w:space="0" w:color="999999"/>
            </w:tcBorders>
          </w:tcPr>
          <w:p w14:paraId="6626C258"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 xml:space="preserve">Individual legislator websites; state listserv archives; Internet Archive (Wayback Machine); </w:t>
            </w:r>
            <w:proofErr w:type="spellStart"/>
            <w:r w:rsidRPr="004E75E9">
              <w:rPr>
                <w:rFonts w:ascii="Times New Roman" w:hAnsi="Times New Roman" w:cs="Times New Roman"/>
              </w:rPr>
              <w:t>DCinbox</w:t>
            </w:r>
            <w:proofErr w:type="spellEnd"/>
            <w:r w:rsidRPr="004E75E9">
              <w:rPr>
                <w:rFonts w:ascii="Times New Roman" w:hAnsi="Times New Roman" w:cs="Times New Roman"/>
              </w:rPr>
              <w:t xml:space="preserve"> (congressional)</w:t>
            </w:r>
          </w:p>
        </w:tc>
        <w:tc>
          <w:tcPr>
            <w:tcW w:w="1200" w:type="dxa"/>
            <w:tcBorders>
              <w:top w:val="single" w:sz="1" w:space="0" w:color="999999"/>
              <w:left w:val="single" w:sz="1" w:space="0" w:color="999999"/>
              <w:bottom w:val="single" w:sz="1" w:space="0" w:color="999999"/>
              <w:right w:val="single" w:sz="1" w:space="0" w:color="999999"/>
            </w:tcBorders>
          </w:tcPr>
          <w:p w14:paraId="77FA9603"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6359EE71"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0C1D60E9"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Closest state analogue to Vishwanath's (2025) DV. Clean symbolic representation measure: whether incarcerated people are named as part of "the district."</w:t>
            </w:r>
          </w:p>
        </w:tc>
      </w:tr>
      <w:tr w:rsidR="00107B1A" w:rsidRPr="004E75E9" w14:paraId="728B5D32"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61350C40"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Social media (Twitter/X, Facebook, Instagram)</w:t>
            </w:r>
          </w:p>
        </w:tc>
        <w:tc>
          <w:tcPr>
            <w:tcW w:w="2800" w:type="dxa"/>
            <w:tcBorders>
              <w:top w:val="single" w:sz="1" w:space="0" w:color="999999"/>
              <w:left w:val="single" w:sz="1" w:space="0" w:color="999999"/>
              <w:bottom w:val="single" w:sz="1" w:space="0" w:color="999999"/>
              <w:right w:val="single" w:sz="1" w:space="0" w:color="999999"/>
            </w:tcBorders>
          </w:tcPr>
          <w:p w14:paraId="4B23D21C"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 xml:space="preserve">Twitter/X API; </w:t>
            </w:r>
            <w:proofErr w:type="spellStart"/>
            <w:r w:rsidRPr="004E75E9">
              <w:rPr>
                <w:rFonts w:ascii="Times New Roman" w:hAnsi="Times New Roman" w:cs="Times New Roman"/>
              </w:rPr>
              <w:t>CrowdTangle</w:t>
            </w:r>
            <w:proofErr w:type="spellEnd"/>
            <w:r w:rsidRPr="004E75E9">
              <w:rPr>
                <w:rFonts w:ascii="Times New Roman" w:hAnsi="Times New Roman" w:cs="Times New Roman"/>
              </w:rPr>
              <w:t xml:space="preserve"> (Facebook/Instagram); manual scraping</w:t>
            </w:r>
          </w:p>
        </w:tc>
        <w:tc>
          <w:tcPr>
            <w:tcW w:w="1200" w:type="dxa"/>
            <w:tcBorders>
              <w:top w:val="single" w:sz="1" w:space="0" w:color="999999"/>
              <w:left w:val="single" w:sz="1" w:space="0" w:color="999999"/>
              <w:bottom w:val="single" w:sz="1" w:space="0" w:color="999999"/>
              <w:right w:val="single" w:sz="1" w:space="0" w:color="999999"/>
            </w:tcBorders>
          </w:tcPr>
          <w:p w14:paraId="3840545D"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6F1459C"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410832A3"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 xml:space="preserve">Real-time, lower-filter discourse. Mentions of incarceration, hashtags tied to advocacy campaigns, responses to events (uprisings, lawsuits, </w:t>
            </w:r>
            <w:r w:rsidRPr="004E75E9">
              <w:rPr>
                <w:rFonts w:ascii="Times New Roman" w:hAnsi="Times New Roman" w:cs="Times New Roman"/>
              </w:rPr>
              <w:lastRenderedPageBreak/>
              <w:t>deaths). Less sanitized than newsletters.</w:t>
            </w:r>
          </w:p>
        </w:tc>
      </w:tr>
      <w:tr w:rsidR="00107B1A" w:rsidRPr="004E75E9" w14:paraId="29BB40EC"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67833A07"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lastRenderedPageBreak/>
              <w:t>Member websites &amp; press releases</w:t>
            </w:r>
          </w:p>
        </w:tc>
        <w:tc>
          <w:tcPr>
            <w:tcW w:w="2800" w:type="dxa"/>
            <w:tcBorders>
              <w:top w:val="single" w:sz="1" w:space="0" w:color="999999"/>
              <w:left w:val="single" w:sz="1" w:space="0" w:color="999999"/>
              <w:bottom w:val="single" w:sz="1" w:space="0" w:color="999999"/>
              <w:right w:val="single" w:sz="1" w:space="0" w:color="999999"/>
            </w:tcBorders>
          </w:tcPr>
          <w:p w14:paraId="305609EB"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Archived websites; Internet Archive; current legislator sites</w:t>
            </w:r>
          </w:p>
        </w:tc>
        <w:tc>
          <w:tcPr>
            <w:tcW w:w="1200" w:type="dxa"/>
            <w:tcBorders>
              <w:top w:val="single" w:sz="1" w:space="0" w:color="999999"/>
              <w:left w:val="single" w:sz="1" w:space="0" w:color="999999"/>
              <w:bottom w:val="single" w:sz="1" w:space="0" w:color="999999"/>
              <w:right w:val="single" w:sz="1" w:space="0" w:color="999999"/>
            </w:tcBorders>
          </w:tcPr>
          <w:p w14:paraId="6FC73B02"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492FB63C"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466EF509"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Fenno-style home style analysis. Prison visit announcements as behavioral indicator of epistemic exposure.</w:t>
            </w:r>
          </w:p>
        </w:tc>
      </w:tr>
      <w:tr w:rsidR="00107B1A" w:rsidRPr="004E75E9" w14:paraId="72DA3964"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0FB671BB"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Op-eds &amp; media quotes</w:t>
            </w:r>
          </w:p>
        </w:tc>
        <w:tc>
          <w:tcPr>
            <w:tcW w:w="2800" w:type="dxa"/>
            <w:tcBorders>
              <w:top w:val="single" w:sz="1" w:space="0" w:color="999999"/>
              <w:left w:val="single" w:sz="1" w:space="0" w:color="999999"/>
              <w:bottom w:val="single" w:sz="1" w:space="0" w:color="999999"/>
              <w:right w:val="single" w:sz="1" w:space="0" w:color="999999"/>
            </w:tcBorders>
          </w:tcPr>
          <w:p w14:paraId="6535DE29"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LexisNexis; local newspapers; Google News archives</w:t>
            </w:r>
          </w:p>
        </w:tc>
        <w:tc>
          <w:tcPr>
            <w:tcW w:w="1200" w:type="dxa"/>
            <w:tcBorders>
              <w:top w:val="single" w:sz="1" w:space="0" w:color="999999"/>
              <w:left w:val="single" w:sz="1" w:space="0" w:color="999999"/>
              <w:bottom w:val="single" w:sz="1" w:space="0" w:color="999999"/>
              <w:right w:val="single" w:sz="1" w:space="0" w:color="999999"/>
            </w:tcBorders>
          </w:tcPr>
          <w:p w14:paraId="5E98B2D2"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310F9A8"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D4673ED"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Highly curated elite discourse. Signals willingness to take public risk on carceral issues (Gillion 2016; Pottle 2025).</w:t>
            </w:r>
          </w:p>
        </w:tc>
      </w:tr>
      <w:tr w:rsidR="00107B1A" w:rsidRPr="004E75E9" w14:paraId="6887A989" w14:textId="77777777" w:rsidTr="00780D8A">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38D8998E"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i/>
                <w:iCs/>
              </w:rPr>
              <w:t>C. Bills, Amendments, and Sponsorship</w:t>
            </w:r>
          </w:p>
        </w:tc>
      </w:tr>
      <w:tr w:rsidR="00107B1A" w:rsidRPr="004E75E9" w14:paraId="15FC4E54"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377FDB84"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Bill introductions &amp; sponsorship language</w:t>
            </w:r>
          </w:p>
        </w:tc>
        <w:tc>
          <w:tcPr>
            <w:tcW w:w="2800" w:type="dxa"/>
            <w:tcBorders>
              <w:top w:val="single" w:sz="1" w:space="0" w:color="999999"/>
              <w:left w:val="single" w:sz="1" w:space="0" w:color="999999"/>
              <w:bottom w:val="single" w:sz="1" w:space="0" w:color="999999"/>
              <w:right w:val="single" w:sz="1" w:space="0" w:color="999999"/>
            </w:tcBorders>
          </w:tcPr>
          <w:p w14:paraId="3F151C43" w14:textId="77777777" w:rsidR="00107B1A" w:rsidRPr="004E75E9" w:rsidRDefault="00107B1A" w:rsidP="00780D8A">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state bill tracking systems</w:t>
            </w:r>
          </w:p>
        </w:tc>
        <w:tc>
          <w:tcPr>
            <w:tcW w:w="1200" w:type="dxa"/>
            <w:tcBorders>
              <w:top w:val="single" w:sz="1" w:space="0" w:color="999999"/>
              <w:left w:val="single" w:sz="1" w:space="0" w:color="999999"/>
              <w:bottom w:val="single" w:sz="1" w:space="0" w:color="999999"/>
              <w:right w:val="single" w:sz="1" w:space="0" w:color="999999"/>
            </w:tcBorders>
          </w:tcPr>
          <w:p w14:paraId="27EA10DB"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9956538"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358F002"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How incarcerated people are described in bill text—as rights-bearing, risks, or costs. Substantive + symbolic intersection (Miler 2018; Schneider &amp; Ingram 1993).</w:t>
            </w:r>
          </w:p>
        </w:tc>
      </w:tr>
      <w:tr w:rsidR="00107B1A" w:rsidRPr="004E75E9" w14:paraId="56C48F58"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0B559894" w14:textId="77777777" w:rsidR="00107B1A" w:rsidRPr="004E75E9" w:rsidRDefault="00107B1A" w:rsidP="00780D8A">
            <w:pPr>
              <w:spacing w:line="360" w:lineRule="auto"/>
              <w:rPr>
                <w:rFonts w:ascii="Times New Roman" w:hAnsi="Times New Roman" w:cs="Times New Roman"/>
              </w:rPr>
            </w:pPr>
            <w:proofErr w:type="spellStart"/>
            <w:r w:rsidRPr="004E75E9">
              <w:rPr>
                <w:rFonts w:ascii="Times New Roman" w:hAnsi="Times New Roman" w:cs="Times New Roman"/>
                <w:b/>
                <w:bCs/>
              </w:rPr>
              <w:t>Cosponsorship</w:t>
            </w:r>
            <w:proofErr w:type="spellEnd"/>
            <w:r w:rsidRPr="004E75E9">
              <w:rPr>
                <w:rFonts w:ascii="Times New Roman" w:hAnsi="Times New Roman" w:cs="Times New Roman"/>
                <w:b/>
                <w:bCs/>
              </w:rPr>
              <w:t xml:space="preserve"> patterns</w:t>
            </w:r>
          </w:p>
        </w:tc>
        <w:tc>
          <w:tcPr>
            <w:tcW w:w="2800" w:type="dxa"/>
            <w:tcBorders>
              <w:top w:val="single" w:sz="1" w:space="0" w:color="999999"/>
              <w:left w:val="single" w:sz="1" w:space="0" w:color="999999"/>
              <w:bottom w:val="single" w:sz="1" w:space="0" w:color="999999"/>
              <w:right w:val="single" w:sz="1" w:space="0" w:color="999999"/>
            </w:tcBorders>
          </w:tcPr>
          <w:p w14:paraId="6DCB11BF" w14:textId="77777777" w:rsidR="00107B1A" w:rsidRPr="004E75E9" w:rsidRDefault="00107B1A" w:rsidP="00780D8A">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Congress.gov</w:t>
            </w:r>
          </w:p>
        </w:tc>
        <w:tc>
          <w:tcPr>
            <w:tcW w:w="1200" w:type="dxa"/>
            <w:tcBorders>
              <w:top w:val="single" w:sz="1" w:space="0" w:color="999999"/>
              <w:left w:val="single" w:sz="1" w:space="0" w:color="999999"/>
              <w:bottom w:val="single" w:sz="1" w:space="0" w:color="999999"/>
              <w:right w:val="single" w:sz="1" w:space="0" w:color="999999"/>
            </w:tcBorders>
          </w:tcPr>
          <w:p w14:paraId="2274BE21"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3AEC7A2"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32D9547"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 xml:space="preserve">Coalition signals around carceral policy. May indicate which legislators are willing to publicly associate with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positions.</w:t>
            </w:r>
          </w:p>
        </w:tc>
      </w:tr>
      <w:tr w:rsidR="00107B1A" w:rsidRPr="004E75E9" w14:paraId="44145260" w14:textId="77777777" w:rsidTr="00780D8A">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4DBC18E8"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i/>
                <w:iCs/>
              </w:rPr>
              <w:lastRenderedPageBreak/>
              <w:t>D. Advocacy &amp; Civil Society Interface</w:t>
            </w:r>
          </w:p>
        </w:tc>
      </w:tr>
      <w:tr w:rsidR="00107B1A" w:rsidRPr="004E75E9" w14:paraId="3FD6198D"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5AA8FB66"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Advocacy group testimonials &amp; endorsements</w:t>
            </w:r>
          </w:p>
        </w:tc>
        <w:tc>
          <w:tcPr>
            <w:tcW w:w="2800" w:type="dxa"/>
            <w:tcBorders>
              <w:top w:val="single" w:sz="1" w:space="0" w:color="999999"/>
              <w:left w:val="single" w:sz="1" w:space="0" w:color="999999"/>
              <w:bottom w:val="single" w:sz="1" w:space="0" w:color="999999"/>
              <w:right w:val="single" w:sz="1" w:space="0" w:color="999999"/>
            </w:tcBorders>
          </w:tcPr>
          <w:p w14:paraId="1FC15FAF"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ACLU state affiliates; prison policy organizations; campaign websites</w:t>
            </w:r>
          </w:p>
        </w:tc>
        <w:tc>
          <w:tcPr>
            <w:tcW w:w="1200" w:type="dxa"/>
            <w:tcBorders>
              <w:top w:val="single" w:sz="1" w:space="0" w:color="999999"/>
              <w:left w:val="single" w:sz="1" w:space="0" w:color="999999"/>
              <w:bottom w:val="single" w:sz="1" w:space="0" w:color="999999"/>
              <w:right w:val="single" w:sz="1" w:space="0" w:color="999999"/>
            </w:tcBorders>
          </w:tcPr>
          <w:p w14:paraId="58807811"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38B068E"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7876262"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 xml:space="preserve">External validation of symbolic and substantive representation. Which legislators are praised as "champions" by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orgs (Minta 2011; Gillion 2016).</w:t>
            </w:r>
          </w:p>
        </w:tc>
      </w:tr>
      <w:tr w:rsidR="00107B1A" w:rsidRPr="004E75E9" w14:paraId="638A39E4"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139F08CC"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Amicus briefs / letters to DOJ</w:t>
            </w:r>
          </w:p>
        </w:tc>
        <w:tc>
          <w:tcPr>
            <w:tcW w:w="2800" w:type="dxa"/>
            <w:tcBorders>
              <w:top w:val="single" w:sz="1" w:space="0" w:color="999999"/>
              <w:left w:val="single" w:sz="1" w:space="0" w:color="999999"/>
              <w:bottom w:val="single" w:sz="1" w:space="0" w:color="999999"/>
              <w:right w:val="single" w:sz="1" w:space="0" w:color="999999"/>
            </w:tcBorders>
          </w:tcPr>
          <w:p w14:paraId="57213407"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Court records; DOJ archives; advocacy group compilations</w:t>
            </w:r>
          </w:p>
        </w:tc>
        <w:tc>
          <w:tcPr>
            <w:tcW w:w="1200" w:type="dxa"/>
            <w:tcBorders>
              <w:top w:val="single" w:sz="1" w:space="0" w:color="999999"/>
              <w:left w:val="single" w:sz="1" w:space="0" w:color="999999"/>
              <w:bottom w:val="single" w:sz="1" w:space="0" w:color="999999"/>
              <w:right w:val="single" w:sz="1" w:space="0" w:color="999999"/>
            </w:tcBorders>
          </w:tcPr>
          <w:p w14:paraId="2FD5DA0B"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A1AA83F"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2BB540F8"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Legislators taking public positions in litigation moments. Behavioral indicator of responsiveness beyond speech.</w:t>
            </w:r>
          </w:p>
        </w:tc>
      </w:tr>
      <w:tr w:rsidR="00107B1A" w:rsidRPr="004E75E9" w14:paraId="3300E92E" w14:textId="77777777" w:rsidTr="00780D8A">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48DBCAD3"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i/>
                <w:iCs/>
              </w:rPr>
              <w:t>E. Contextual &amp; Agenda Measures</w:t>
            </w:r>
          </w:p>
        </w:tc>
      </w:tr>
      <w:tr w:rsidR="00107B1A" w:rsidRPr="004E75E9" w14:paraId="7FC7DCD2"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44FE4C19"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Party platforms</w:t>
            </w:r>
          </w:p>
        </w:tc>
        <w:tc>
          <w:tcPr>
            <w:tcW w:w="2800" w:type="dxa"/>
            <w:tcBorders>
              <w:top w:val="single" w:sz="1" w:space="0" w:color="999999"/>
              <w:left w:val="single" w:sz="1" w:space="0" w:color="999999"/>
              <w:bottom w:val="single" w:sz="1" w:space="0" w:color="999999"/>
              <w:right w:val="single" w:sz="1" w:space="0" w:color="999999"/>
            </w:tcBorders>
          </w:tcPr>
          <w:p w14:paraId="6ABA325F"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American Presidency Project (UCSB); state party websites</w:t>
            </w:r>
          </w:p>
        </w:tc>
        <w:tc>
          <w:tcPr>
            <w:tcW w:w="1200" w:type="dxa"/>
            <w:tcBorders>
              <w:top w:val="single" w:sz="1" w:space="0" w:color="999999"/>
              <w:left w:val="single" w:sz="1" w:space="0" w:color="999999"/>
              <w:bottom w:val="single" w:sz="1" w:space="0" w:color="999999"/>
              <w:right w:val="single" w:sz="1" w:space="0" w:color="999999"/>
            </w:tcBorders>
          </w:tcPr>
          <w:p w14:paraId="042B57CF"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DD445E4"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2389FD51"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Whether incarcerated people are framed as publics or problems. Agenda visibility at party level.</w:t>
            </w:r>
          </w:p>
        </w:tc>
      </w:tr>
      <w:tr w:rsidR="00107B1A" w:rsidRPr="004E75E9" w14:paraId="4E8D316D"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316F60AC"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Policy Agendas Project coding</w:t>
            </w:r>
          </w:p>
        </w:tc>
        <w:tc>
          <w:tcPr>
            <w:tcW w:w="2800" w:type="dxa"/>
            <w:tcBorders>
              <w:top w:val="single" w:sz="1" w:space="0" w:color="999999"/>
              <w:left w:val="single" w:sz="1" w:space="0" w:color="999999"/>
              <w:bottom w:val="single" w:sz="1" w:space="0" w:color="999999"/>
              <w:right w:val="single" w:sz="1" w:space="0" w:color="999999"/>
            </w:tcBorders>
          </w:tcPr>
          <w:p w14:paraId="18DC6E0B"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Policy Agendas Project database</w:t>
            </w:r>
          </w:p>
        </w:tc>
        <w:tc>
          <w:tcPr>
            <w:tcW w:w="1200" w:type="dxa"/>
            <w:tcBorders>
              <w:top w:val="single" w:sz="1" w:space="0" w:color="999999"/>
              <w:left w:val="single" w:sz="1" w:space="0" w:color="999999"/>
              <w:bottom w:val="single" w:sz="1" w:space="0" w:color="999999"/>
              <w:right w:val="single" w:sz="1" w:space="0" w:color="999999"/>
            </w:tcBorders>
          </w:tcPr>
          <w:p w14:paraId="5B766161"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Federal (primarily)</w:t>
            </w:r>
          </w:p>
        </w:tc>
        <w:tc>
          <w:tcPr>
            <w:tcW w:w="1200" w:type="dxa"/>
            <w:tcBorders>
              <w:top w:val="single" w:sz="1" w:space="0" w:color="999999"/>
              <w:left w:val="single" w:sz="1" w:space="0" w:color="999999"/>
              <w:bottom w:val="single" w:sz="1" w:space="0" w:color="999999"/>
              <w:right w:val="single" w:sz="1" w:space="0" w:color="999999"/>
            </w:tcBorders>
          </w:tcPr>
          <w:p w14:paraId="6782A7B8"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A6923C0"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How much party/legislative content centers on carceral communities across 21 major topic codes and 220+ subtopics.</w:t>
            </w:r>
          </w:p>
        </w:tc>
      </w:tr>
      <w:tr w:rsidR="00107B1A" w:rsidRPr="004E75E9" w14:paraId="0639E063"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19ADF0AD"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lastRenderedPageBreak/>
              <w:t>Protest-triggered speech</w:t>
            </w:r>
          </w:p>
        </w:tc>
        <w:tc>
          <w:tcPr>
            <w:tcW w:w="2800" w:type="dxa"/>
            <w:tcBorders>
              <w:top w:val="single" w:sz="1" w:space="0" w:color="999999"/>
              <w:left w:val="single" w:sz="1" w:space="0" w:color="999999"/>
              <w:bottom w:val="single" w:sz="1" w:space="0" w:color="999999"/>
              <w:right w:val="single" w:sz="1" w:space="0" w:color="999999"/>
            </w:tcBorders>
          </w:tcPr>
          <w:p w14:paraId="40F6DAAA"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News archives; legislative speech databases; social media</w:t>
            </w:r>
          </w:p>
        </w:tc>
        <w:tc>
          <w:tcPr>
            <w:tcW w:w="1200" w:type="dxa"/>
            <w:tcBorders>
              <w:top w:val="single" w:sz="1" w:space="0" w:color="999999"/>
              <w:left w:val="single" w:sz="1" w:space="0" w:color="999999"/>
              <w:bottom w:val="single" w:sz="1" w:space="0" w:color="999999"/>
              <w:right w:val="single" w:sz="1" w:space="0" w:color="999999"/>
            </w:tcBorders>
          </w:tcPr>
          <w:p w14:paraId="592F7FFA"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E4D79F5"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4D4C6134"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Whether legislators speak differently after prison uprisings, deaths, or lawsuits. Event-driven responsiveness (Gillion 2016).</w:t>
            </w:r>
          </w:p>
        </w:tc>
      </w:tr>
      <w:tr w:rsidR="00107B1A" w:rsidRPr="004E75E9" w14:paraId="457F65AB" w14:textId="77777777" w:rsidTr="00780D8A">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7561D6EE"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i/>
                <w:iCs/>
              </w:rPr>
              <w:t>F. Infrastructural &amp; Identification Sources (Not Primary DVs)</w:t>
            </w:r>
          </w:p>
        </w:tc>
      </w:tr>
      <w:tr w:rsidR="00107B1A" w:rsidRPr="004E75E9" w14:paraId="5FC89DA6"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436C18AD"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NCSL resources</w:t>
            </w:r>
          </w:p>
        </w:tc>
        <w:tc>
          <w:tcPr>
            <w:tcW w:w="2800" w:type="dxa"/>
            <w:tcBorders>
              <w:top w:val="single" w:sz="1" w:space="0" w:color="999999"/>
              <w:left w:val="single" w:sz="1" w:space="0" w:color="999999"/>
              <w:bottom w:val="single" w:sz="1" w:space="0" w:color="999999"/>
              <w:right w:val="single" w:sz="1" w:space="0" w:color="999999"/>
            </w:tcBorders>
          </w:tcPr>
          <w:p w14:paraId="24FB9099"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National Conference of State Legislatures website</w:t>
            </w:r>
          </w:p>
        </w:tc>
        <w:tc>
          <w:tcPr>
            <w:tcW w:w="1200" w:type="dxa"/>
            <w:tcBorders>
              <w:top w:val="single" w:sz="1" w:space="0" w:color="999999"/>
              <w:left w:val="single" w:sz="1" w:space="0" w:color="999999"/>
              <w:bottom w:val="single" w:sz="1" w:space="0" w:color="999999"/>
              <w:right w:val="single" w:sz="1" w:space="0" w:color="999999"/>
            </w:tcBorders>
          </w:tcPr>
          <w:p w14:paraId="61E6F8B3"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w:t>
            </w:r>
          </w:p>
        </w:tc>
        <w:tc>
          <w:tcPr>
            <w:tcW w:w="1200" w:type="dxa"/>
            <w:tcBorders>
              <w:top w:val="single" w:sz="1" w:space="0" w:color="999999"/>
              <w:left w:val="single" w:sz="1" w:space="0" w:color="999999"/>
              <w:bottom w:val="single" w:sz="1" w:space="0" w:color="999999"/>
              <w:right w:val="single" w:sz="1" w:space="0" w:color="999999"/>
            </w:tcBorders>
          </w:tcPr>
          <w:p w14:paraId="74DFD0ED"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495F1580"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Bill summaries and policy briefs (framing); legislator participation in task forces; committee memberships; state comparisons. Useful for identifying "policy-active" legislators.</w:t>
            </w:r>
          </w:p>
        </w:tc>
      </w:tr>
      <w:tr w:rsidR="00107B1A" w:rsidRPr="004E75E9" w14:paraId="5D9029A5" w14:textId="77777777" w:rsidTr="00780D8A">
        <w:tc>
          <w:tcPr>
            <w:tcW w:w="2000" w:type="dxa"/>
            <w:tcBorders>
              <w:top w:val="single" w:sz="1" w:space="0" w:color="999999"/>
              <w:left w:val="single" w:sz="1" w:space="0" w:color="999999"/>
              <w:bottom w:val="single" w:sz="1" w:space="0" w:color="999999"/>
              <w:right w:val="single" w:sz="1" w:space="0" w:color="999999"/>
            </w:tcBorders>
          </w:tcPr>
          <w:p w14:paraId="2E54D474"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b/>
                <w:bCs/>
              </w:rPr>
              <w:t>Legislator prison visits</w:t>
            </w:r>
          </w:p>
        </w:tc>
        <w:tc>
          <w:tcPr>
            <w:tcW w:w="2800" w:type="dxa"/>
            <w:tcBorders>
              <w:top w:val="single" w:sz="1" w:space="0" w:color="999999"/>
              <w:left w:val="single" w:sz="1" w:space="0" w:color="999999"/>
              <w:bottom w:val="single" w:sz="1" w:space="0" w:color="999999"/>
              <w:right w:val="single" w:sz="1" w:space="0" w:color="999999"/>
            </w:tcBorders>
          </w:tcPr>
          <w:p w14:paraId="0767363E"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Press releases; oversight reports; news coverage; social media</w:t>
            </w:r>
          </w:p>
        </w:tc>
        <w:tc>
          <w:tcPr>
            <w:tcW w:w="1200" w:type="dxa"/>
            <w:tcBorders>
              <w:top w:val="single" w:sz="1" w:space="0" w:color="999999"/>
              <w:left w:val="single" w:sz="1" w:space="0" w:color="999999"/>
              <w:bottom w:val="single" w:sz="1" w:space="0" w:color="999999"/>
              <w:right w:val="single" w:sz="1" w:space="0" w:color="999999"/>
            </w:tcBorders>
          </w:tcPr>
          <w:p w14:paraId="1D98A2AC"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3A5522A"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84DD924" w14:textId="77777777" w:rsidR="00107B1A" w:rsidRPr="004E75E9" w:rsidRDefault="00107B1A" w:rsidP="00780D8A">
            <w:pPr>
              <w:spacing w:line="360" w:lineRule="auto"/>
              <w:rPr>
                <w:rFonts w:ascii="Times New Roman" w:hAnsi="Times New Roman" w:cs="Times New Roman"/>
              </w:rPr>
            </w:pPr>
            <w:r w:rsidRPr="004E75E9">
              <w:rPr>
                <w:rFonts w:ascii="Times New Roman" w:hAnsi="Times New Roman" w:cs="Times New Roman"/>
              </w:rPr>
              <w:t>Behavioral indicator of epistemic exposure and direct contact. May predict epistemic inclusion in speech.</w:t>
            </w:r>
          </w:p>
        </w:tc>
      </w:tr>
    </w:tbl>
    <w:p w14:paraId="7E9A8A9C" w14:textId="77777777" w:rsidR="00107B1A" w:rsidRPr="004E75E9" w:rsidRDefault="00107B1A" w:rsidP="00107B1A">
      <w:pPr>
        <w:spacing w:line="240" w:lineRule="auto"/>
        <w:rPr>
          <w:rFonts w:ascii="Times New Roman" w:hAnsi="Times New Roman" w:cs="Times New Roman"/>
        </w:rPr>
      </w:pPr>
      <w:r w:rsidRPr="004E75E9">
        <w:rPr>
          <w:rFonts w:ascii="Times New Roman" w:hAnsi="Times New Roman" w:cs="Times New Roman"/>
          <w:b/>
          <w:bCs/>
        </w:rPr>
        <w:t xml:space="preserve">Note: </w:t>
      </w:r>
      <w:r w:rsidRPr="004E75E9">
        <w:rPr>
          <w:rFonts w:ascii="Times New Roman" w:hAnsi="Times New Roman" w:cs="Times New Roman"/>
        </w:rPr>
        <w:t xml:space="preserve">Feasibility ratings are </w:t>
      </w:r>
      <w:r>
        <w:rPr>
          <w:rFonts w:ascii="Times New Roman" w:hAnsi="Times New Roman" w:cs="Times New Roman"/>
        </w:rPr>
        <w:t>guesses</w:t>
      </w:r>
      <w:r w:rsidRPr="004E75E9">
        <w:rPr>
          <w:rFonts w:ascii="Times New Roman" w:hAnsi="Times New Roman" w:cs="Times New Roman"/>
        </w:rPr>
        <w:t>. "Low" indicates readily available, systematized data. "High" indicates significant collection challenges (e.g., inconsistent state archives, required FOIA requests, or manual compilation). Technical approaches may include supervised machine learning for sentence classification, R-based scraping, and potential selection of 4-6 representative state cases for deeper analysis.</w:t>
      </w:r>
    </w:p>
    <w:p w14:paraId="7FEB778A" w14:textId="77777777" w:rsidR="00840AEA" w:rsidRDefault="00840AEA" w:rsidP="00883FAD"/>
    <w:sectPr w:rsidR="00840A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E4673"/>
    <w:multiLevelType w:val="hybridMultilevel"/>
    <w:tmpl w:val="D5D62578"/>
    <w:lvl w:ilvl="0" w:tplc="E67A89E2">
      <w:start w:val="2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5D5DC2"/>
    <w:multiLevelType w:val="hybridMultilevel"/>
    <w:tmpl w:val="32D0E3D2"/>
    <w:lvl w:ilvl="0" w:tplc="A8D6B352">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B5E10BD"/>
    <w:multiLevelType w:val="hybridMultilevel"/>
    <w:tmpl w:val="2B8AC680"/>
    <w:lvl w:ilvl="0" w:tplc="E67A89E2">
      <w:start w:val="2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026ACD"/>
    <w:multiLevelType w:val="hybridMultilevel"/>
    <w:tmpl w:val="F6BE6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4CE5EC4"/>
    <w:multiLevelType w:val="hybridMultilevel"/>
    <w:tmpl w:val="7F58EA64"/>
    <w:lvl w:ilvl="0" w:tplc="A8D6B352">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8582361">
    <w:abstractNumId w:val="2"/>
  </w:num>
  <w:num w:numId="2" w16cid:durableId="1189416591">
    <w:abstractNumId w:val="0"/>
  </w:num>
  <w:num w:numId="3" w16cid:durableId="1705670759">
    <w:abstractNumId w:val="3"/>
  </w:num>
  <w:num w:numId="4" w16cid:durableId="1679575779">
    <w:abstractNumId w:val="1"/>
  </w:num>
  <w:num w:numId="5" w16cid:durableId="9222280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0C9"/>
    <w:rsid w:val="00026B60"/>
    <w:rsid w:val="00030BD8"/>
    <w:rsid w:val="00087D6A"/>
    <w:rsid w:val="000B384D"/>
    <w:rsid w:val="00107B1A"/>
    <w:rsid w:val="00111FF6"/>
    <w:rsid w:val="00237C4B"/>
    <w:rsid w:val="0030716D"/>
    <w:rsid w:val="003E70C9"/>
    <w:rsid w:val="004C7E67"/>
    <w:rsid w:val="007A17A7"/>
    <w:rsid w:val="00833744"/>
    <w:rsid w:val="00840AEA"/>
    <w:rsid w:val="00883FAD"/>
    <w:rsid w:val="008F3BA2"/>
    <w:rsid w:val="00A66865"/>
    <w:rsid w:val="00C55C3B"/>
    <w:rsid w:val="00E520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DD364D4"/>
  <w15:chartTrackingRefBased/>
  <w15:docId w15:val="{C1C81A56-EBF8-414F-B589-BB86C4C60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70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70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70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70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70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70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70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70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70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0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70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70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70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70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70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70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70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70C9"/>
    <w:rPr>
      <w:rFonts w:eastAsiaTheme="majorEastAsia" w:cstheme="majorBidi"/>
      <w:color w:val="272727" w:themeColor="text1" w:themeTint="D8"/>
    </w:rPr>
  </w:style>
  <w:style w:type="paragraph" w:styleId="Title">
    <w:name w:val="Title"/>
    <w:basedOn w:val="Normal"/>
    <w:next w:val="Normal"/>
    <w:link w:val="TitleChar"/>
    <w:uiPriority w:val="10"/>
    <w:qFormat/>
    <w:rsid w:val="003E70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70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70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70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70C9"/>
    <w:pPr>
      <w:spacing w:before="160"/>
      <w:jc w:val="center"/>
    </w:pPr>
    <w:rPr>
      <w:i/>
      <w:iCs/>
      <w:color w:val="404040" w:themeColor="text1" w:themeTint="BF"/>
    </w:rPr>
  </w:style>
  <w:style w:type="character" w:customStyle="1" w:styleId="QuoteChar">
    <w:name w:val="Quote Char"/>
    <w:basedOn w:val="DefaultParagraphFont"/>
    <w:link w:val="Quote"/>
    <w:uiPriority w:val="29"/>
    <w:rsid w:val="003E70C9"/>
    <w:rPr>
      <w:i/>
      <w:iCs/>
      <w:color w:val="404040" w:themeColor="text1" w:themeTint="BF"/>
    </w:rPr>
  </w:style>
  <w:style w:type="paragraph" w:styleId="ListParagraph">
    <w:name w:val="List Paragraph"/>
    <w:basedOn w:val="Normal"/>
    <w:uiPriority w:val="34"/>
    <w:qFormat/>
    <w:rsid w:val="003E70C9"/>
    <w:pPr>
      <w:ind w:left="720"/>
      <w:contextualSpacing/>
    </w:pPr>
  </w:style>
  <w:style w:type="character" w:styleId="IntenseEmphasis">
    <w:name w:val="Intense Emphasis"/>
    <w:basedOn w:val="DefaultParagraphFont"/>
    <w:uiPriority w:val="21"/>
    <w:qFormat/>
    <w:rsid w:val="003E70C9"/>
    <w:rPr>
      <w:i/>
      <w:iCs/>
      <w:color w:val="0F4761" w:themeColor="accent1" w:themeShade="BF"/>
    </w:rPr>
  </w:style>
  <w:style w:type="paragraph" w:styleId="IntenseQuote">
    <w:name w:val="Intense Quote"/>
    <w:basedOn w:val="Normal"/>
    <w:next w:val="Normal"/>
    <w:link w:val="IntenseQuoteChar"/>
    <w:uiPriority w:val="30"/>
    <w:qFormat/>
    <w:rsid w:val="003E70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70C9"/>
    <w:rPr>
      <w:i/>
      <w:iCs/>
      <w:color w:val="0F4761" w:themeColor="accent1" w:themeShade="BF"/>
    </w:rPr>
  </w:style>
  <w:style w:type="character" w:styleId="IntenseReference">
    <w:name w:val="Intense Reference"/>
    <w:basedOn w:val="DefaultParagraphFont"/>
    <w:uiPriority w:val="32"/>
    <w:qFormat/>
    <w:rsid w:val="003E70C9"/>
    <w:rPr>
      <w:b/>
      <w:bCs/>
      <w:smallCaps/>
      <w:color w:val="0F4761" w:themeColor="accent1" w:themeShade="BF"/>
      <w:spacing w:val="5"/>
    </w:rPr>
  </w:style>
  <w:style w:type="table" w:styleId="TableGrid">
    <w:name w:val="Table Grid"/>
    <w:basedOn w:val="TableNormal"/>
    <w:uiPriority w:val="39"/>
    <w:rsid w:val="00026B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10</Pages>
  <Words>1921</Words>
  <Characters>12603</Characters>
  <Application>Microsoft Office Word</Application>
  <DocSecurity>0</DocSecurity>
  <Lines>300</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9</cp:revision>
  <dcterms:created xsi:type="dcterms:W3CDTF">2026-02-19T01:29:00Z</dcterms:created>
  <dcterms:modified xsi:type="dcterms:W3CDTF">2026-02-20T14:56:00Z</dcterms:modified>
</cp:coreProperties>
</file>