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130DF1D4"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AD405A">
              <w:rPr>
                <w:noProof/>
                <w:webHidden/>
              </w:rPr>
              <w:t>2</w:t>
            </w:r>
            <w:r w:rsidR="00C27A2F">
              <w:rPr>
                <w:noProof/>
                <w:webHidden/>
              </w:rPr>
              <w:fldChar w:fldCharType="end"/>
            </w:r>
          </w:hyperlink>
        </w:p>
        <w:p w14:paraId="6F6CCC6E" w14:textId="22589712"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sidR="00AD405A">
              <w:rPr>
                <w:noProof/>
                <w:webHidden/>
              </w:rPr>
              <w:t>2</w:t>
            </w:r>
            <w:r>
              <w:rPr>
                <w:noProof/>
                <w:webHidden/>
              </w:rPr>
              <w:fldChar w:fldCharType="end"/>
            </w:r>
          </w:hyperlink>
        </w:p>
        <w:p w14:paraId="3BEB7FF6" w14:textId="4373A9DD"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sidR="00AD405A">
              <w:rPr>
                <w:noProof/>
                <w:webHidden/>
              </w:rPr>
              <w:t>5</w:t>
            </w:r>
            <w:r>
              <w:rPr>
                <w:noProof/>
                <w:webHidden/>
              </w:rPr>
              <w:fldChar w:fldCharType="end"/>
            </w:r>
          </w:hyperlink>
        </w:p>
        <w:p w14:paraId="5498DEB3" w14:textId="3D4EF020"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sidR="00AD405A">
              <w:rPr>
                <w:noProof/>
                <w:webHidden/>
              </w:rPr>
              <w:t>5</w:t>
            </w:r>
            <w:r>
              <w:rPr>
                <w:noProof/>
                <w:webHidden/>
              </w:rPr>
              <w:fldChar w:fldCharType="end"/>
            </w:r>
          </w:hyperlink>
        </w:p>
        <w:p w14:paraId="07A46D2C" w14:textId="0A103DD2"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sidR="00AD405A">
              <w:rPr>
                <w:noProof/>
                <w:webHidden/>
              </w:rPr>
              <w:t>27</w:t>
            </w:r>
            <w:r>
              <w:rPr>
                <w:noProof/>
                <w:webHidden/>
              </w:rPr>
              <w:fldChar w:fldCharType="end"/>
            </w:r>
          </w:hyperlink>
        </w:p>
        <w:p w14:paraId="49FCD2ED" w14:textId="6D21CEBD"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sidR="00AD405A">
              <w:rPr>
                <w:noProof/>
                <w:webHidden/>
              </w:rPr>
              <w:t>27</w:t>
            </w:r>
            <w:r>
              <w:rPr>
                <w:noProof/>
                <w:webHidden/>
              </w:rPr>
              <w:fldChar w:fldCharType="end"/>
            </w:r>
          </w:hyperlink>
        </w:p>
        <w:p w14:paraId="0334B2CE" w14:textId="6EF55AF3"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sidR="00AD405A">
              <w:rPr>
                <w:noProof/>
                <w:webHidden/>
              </w:rPr>
              <w:t>27</w:t>
            </w:r>
            <w:r>
              <w:rPr>
                <w:noProof/>
                <w:webHidden/>
              </w:rPr>
              <w:fldChar w:fldCharType="end"/>
            </w:r>
          </w:hyperlink>
        </w:p>
        <w:p w14:paraId="17BC411C" w14:textId="35248310"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sidR="00AD405A">
              <w:rPr>
                <w:noProof/>
                <w:webHidden/>
              </w:rPr>
              <w:t>27</w:t>
            </w:r>
            <w:r>
              <w:rPr>
                <w:noProof/>
                <w:webHidden/>
              </w:rPr>
              <w:fldChar w:fldCharType="end"/>
            </w:r>
          </w:hyperlink>
        </w:p>
        <w:p w14:paraId="2C1A9276" w14:textId="1B215C3C"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sidR="00AD405A">
              <w:rPr>
                <w:noProof/>
                <w:webHidden/>
              </w:rPr>
              <w:t>27</w:t>
            </w:r>
            <w:r>
              <w:rPr>
                <w:noProof/>
                <w:webHidden/>
              </w:rPr>
              <w:fldChar w:fldCharType="end"/>
            </w:r>
          </w:hyperlink>
        </w:p>
        <w:p w14:paraId="127187B2" w14:textId="3F051974"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sidR="00AD405A">
              <w:rPr>
                <w:noProof/>
                <w:webHidden/>
              </w:rPr>
              <w:t>28</w:t>
            </w:r>
            <w:r>
              <w:rPr>
                <w:noProof/>
                <w:webHidden/>
              </w:rPr>
              <w:fldChar w:fldCharType="end"/>
            </w:r>
          </w:hyperlink>
        </w:p>
        <w:p w14:paraId="286F6E70" w14:textId="54B0BE06"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sidR="00AD405A">
              <w:rPr>
                <w:noProof/>
                <w:webHidden/>
              </w:rPr>
              <w:t>28</w:t>
            </w:r>
            <w:r>
              <w:rPr>
                <w:noProof/>
                <w:webHidden/>
              </w:rPr>
              <w:fldChar w:fldCharType="end"/>
            </w:r>
          </w:hyperlink>
        </w:p>
        <w:p w14:paraId="55EC900F" w14:textId="35E267A3"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w:t>
            </w:r>
            <w:r w:rsidRPr="0053585D">
              <w:rPr>
                <w:rStyle w:val="Hyperlink"/>
                <w:noProof/>
              </w:rPr>
              <w:t>c</w:t>
            </w:r>
            <w:r w:rsidRPr="0053585D">
              <w:rPr>
                <w:rStyle w:val="Hyperlink"/>
                <w:noProof/>
              </w:rPr>
              <w:t>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sidR="00AD405A">
              <w:rPr>
                <w:noProof/>
                <w:webHidden/>
              </w:rPr>
              <w:t>28</w:t>
            </w:r>
            <w:r>
              <w:rPr>
                <w:noProof/>
                <w:webHidden/>
              </w:rPr>
              <w:fldChar w:fldCharType="end"/>
            </w:r>
          </w:hyperlink>
        </w:p>
        <w:p w14:paraId="6F5F7353" w14:textId="4C8A44EC"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sidR="00AD405A">
              <w:rPr>
                <w:noProof/>
                <w:webHidden/>
              </w:rPr>
              <w:t>28</w:t>
            </w:r>
            <w:r>
              <w:rPr>
                <w:noProof/>
                <w:webHidden/>
              </w:rPr>
              <w:fldChar w:fldCharType="end"/>
            </w:r>
          </w:hyperlink>
        </w:p>
        <w:p w14:paraId="3BD83C3A" w14:textId="0EF87C88"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sidR="00AD405A">
              <w:rPr>
                <w:noProof/>
                <w:webHidden/>
              </w:rPr>
              <w:t>28</w:t>
            </w:r>
            <w:r>
              <w:rPr>
                <w:noProof/>
                <w:webHidden/>
              </w:rPr>
              <w:fldChar w:fldCharType="end"/>
            </w:r>
          </w:hyperlink>
        </w:p>
        <w:p w14:paraId="718B4752" w14:textId="18714889"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sidR="00AD405A">
              <w:rPr>
                <w:noProof/>
                <w:webHidden/>
              </w:rPr>
              <w:t>30</w:t>
            </w:r>
            <w:r>
              <w:rPr>
                <w:noProof/>
                <w:webHidden/>
              </w:rPr>
              <w:fldChar w:fldCharType="end"/>
            </w:r>
          </w:hyperlink>
        </w:p>
        <w:p w14:paraId="073C1538" w14:textId="6FE1BB1C"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sidR="00AD405A">
              <w:rPr>
                <w:noProof/>
                <w:webHidden/>
              </w:rPr>
              <w:t>30</w:t>
            </w:r>
            <w:r>
              <w:rPr>
                <w:noProof/>
                <w:webHidden/>
              </w:rPr>
              <w:fldChar w:fldCharType="end"/>
            </w:r>
          </w:hyperlink>
        </w:p>
        <w:p w14:paraId="2706C5B6" w14:textId="7DE9A178"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sidR="00AD405A">
              <w:rPr>
                <w:noProof/>
                <w:webHidden/>
              </w:rPr>
              <w:t>30</w:t>
            </w:r>
            <w:r>
              <w:rPr>
                <w:noProof/>
                <w:webHidden/>
              </w:rPr>
              <w:fldChar w:fldCharType="end"/>
            </w:r>
          </w:hyperlink>
        </w:p>
        <w:p w14:paraId="49DB8BB7" w14:textId="057F6159"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sidR="00AD405A">
              <w:rPr>
                <w:noProof/>
                <w:webHidden/>
              </w:rPr>
              <w:t>30</w:t>
            </w:r>
            <w:r>
              <w:rPr>
                <w:noProof/>
                <w:webHidden/>
              </w:rPr>
              <w:fldChar w:fldCharType="end"/>
            </w:r>
          </w:hyperlink>
        </w:p>
        <w:p w14:paraId="068BD8F4" w14:textId="09557EDF"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sidR="00AD405A">
              <w:rPr>
                <w:noProof/>
                <w:webHidden/>
              </w:rPr>
              <w:t>31</w:t>
            </w:r>
            <w:r>
              <w:rPr>
                <w:noProof/>
                <w:webHidden/>
              </w:rPr>
              <w:fldChar w:fldCharType="end"/>
            </w:r>
          </w:hyperlink>
        </w:p>
        <w:p w14:paraId="3E0ECA94" w14:textId="451073E1"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sidR="00AD405A">
              <w:rPr>
                <w:noProof/>
                <w:webHidden/>
              </w:rPr>
              <w:t>31</w:t>
            </w:r>
            <w:r>
              <w:rPr>
                <w:noProof/>
                <w:webHidden/>
              </w:rPr>
              <w:fldChar w:fldCharType="end"/>
            </w:r>
          </w:hyperlink>
        </w:p>
        <w:p w14:paraId="587E639C" w14:textId="12FB8998"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sidR="00AD405A">
              <w:rPr>
                <w:noProof/>
                <w:webHidden/>
              </w:rPr>
              <w:t>31</w:t>
            </w:r>
            <w:r>
              <w:rPr>
                <w:noProof/>
                <w:webHidden/>
              </w:rPr>
              <w:fldChar w:fldCharType="end"/>
            </w:r>
          </w:hyperlink>
        </w:p>
        <w:p w14:paraId="03C03B55" w14:textId="0E939849"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sidR="00AD405A">
              <w:rPr>
                <w:noProof/>
                <w:webHidden/>
              </w:rPr>
              <w:t>31</w:t>
            </w:r>
            <w:r>
              <w:rPr>
                <w:noProof/>
                <w:webHidden/>
              </w:rPr>
              <w:fldChar w:fldCharType="end"/>
            </w:r>
          </w:hyperlink>
        </w:p>
        <w:p w14:paraId="00B0CF53" w14:textId="48C77845"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sidR="00AD405A">
              <w:rPr>
                <w:noProof/>
                <w:webHidden/>
              </w:rPr>
              <w:t>31</w:t>
            </w:r>
            <w:r>
              <w:rPr>
                <w:noProof/>
                <w:webHidden/>
              </w:rPr>
              <w:fldChar w:fldCharType="end"/>
            </w:r>
          </w:hyperlink>
        </w:p>
        <w:p w14:paraId="1A0E5369" w14:textId="5521F03E"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sidR="00AD405A">
              <w:rPr>
                <w:noProof/>
                <w:webHidden/>
              </w:rPr>
              <w:t>31</w:t>
            </w:r>
            <w:r>
              <w:rPr>
                <w:noProof/>
                <w:webHidden/>
              </w:rPr>
              <w:fldChar w:fldCharType="end"/>
            </w:r>
          </w:hyperlink>
        </w:p>
        <w:p w14:paraId="32A295B9" w14:textId="34C89DA0"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sidR="00AD405A">
              <w:rPr>
                <w:noProof/>
                <w:webHidden/>
              </w:rPr>
              <w:t>31</w:t>
            </w:r>
            <w:r>
              <w:rPr>
                <w:noProof/>
                <w:webHidden/>
              </w:rPr>
              <w:fldChar w:fldCharType="end"/>
            </w:r>
          </w:hyperlink>
        </w:p>
        <w:p w14:paraId="2256B07D" w14:textId="1EC107DF"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sidR="00AD405A">
              <w:rPr>
                <w:noProof/>
                <w:webHidden/>
              </w:rPr>
              <w:t>31</w:t>
            </w:r>
            <w:r>
              <w:rPr>
                <w:noProof/>
                <w:webHidden/>
              </w:rPr>
              <w:fldChar w:fldCharType="end"/>
            </w:r>
          </w:hyperlink>
        </w:p>
        <w:p w14:paraId="72BD782C" w14:textId="361EDA49"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sidR="00AD405A">
              <w:rPr>
                <w:noProof/>
                <w:webHidden/>
              </w:rPr>
              <w:t>32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w:t>
      </w:r>
      <w:proofErr w:type="gramStart"/>
      <w:r w:rsidR="009800D5">
        <w:rPr>
          <w:rFonts w:ascii="Times New Roman" w:hAnsi="Times New Roman" w:cs="Times New Roman"/>
        </w:rPr>
        <w:t>symbolically represent</w:t>
      </w:r>
      <w:proofErr w:type="gramEnd"/>
      <w:r w:rsidR="009800D5">
        <w:rPr>
          <w:rFonts w:ascii="Times New Roman" w:hAnsi="Times New Roman" w:cs="Times New Roman"/>
        </w:rPr>
        <w:t xml:space="preserve">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A310F1">
      <w:pPr>
        <w:spacing w:line="24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A310F1">
      <w:pPr>
        <w:spacing w:line="240" w:lineRule="auto"/>
        <w:ind w:left="720"/>
        <w:rPr>
          <w:rFonts w:ascii="Times New Roman" w:hAnsi="Times New Roman" w:cs="Times New Roman"/>
        </w:rPr>
      </w:pPr>
      <w:r>
        <w:rPr>
          <w:rFonts w:ascii="Times New Roman" w:hAnsi="Times New Roman" w:cs="Times New Roman"/>
        </w:rPr>
        <w:t xml:space="preserve">Thus, while we know [] and </w:t>
      </w:r>
      <w:proofErr w:type="gramStart"/>
      <w:r>
        <w:rPr>
          <w:rFonts w:ascii="Times New Roman" w:hAnsi="Times New Roman" w:cs="Times New Roman"/>
        </w:rPr>
        <w:t>[ ]</w:t>
      </w:r>
      <w:proofErr w:type="gramEnd"/>
      <w:r>
        <w:rPr>
          <w:rFonts w:ascii="Times New Roman" w:hAnsi="Times New Roman" w:cs="Times New Roman"/>
        </w:rPr>
        <w:t xml:space="preserve">, </w:t>
      </w:r>
      <w:proofErr w:type="gramStart"/>
      <w:r w:rsidR="008804DB">
        <w:rPr>
          <w:rFonts w:ascii="Times New Roman" w:hAnsi="Times New Roman" w:cs="Times New Roman"/>
        </w:rPr>
        <w:t>legislators’</w:t>
      </w:r>
      <w:proofErr w:type="gramEnd"/>
      <w:r w:rsidR="008804DB">
        <w:rPr>
          <w:rFonts w:ascii="Times New Roman" w:hAnsi="Times New Roman" w:cs="Times New Roman"/>
        </w:rPr>
        <w:t xml:space="preserve">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A310F1">
      <w:pPr>
        <w:spacing w:line="240" w:lineRule="auto"/>
        <w:ind w:left="720"/>
        <w:rPr>
          <w:rFonts w:ascii="Times New Roman" w:hAnsi="Times New Roman" w:cs="Times New Roman"/>
        </w:rPr>
      </w:pPr>
      <w:r>
        <w:rPr>
          <w:rFonts w:ascii="Times New Roman" w:hAnsi="Times New Roman" w:cs="Times New Roman"/>
        </w:rPr>
        <w:t xml:space="preserve">[whether incarcerated people are recognized as constituents at </w:t>
      </w:r>
      <w:proofErr w:type="gramStart"/>
      <w:r>
        <w:rPr>
          <w:rFonts w:ascii="Times New Roman" w:hAnsi="Times New Roman" w:cs="Times New Roman"/>
        </w:rPr>
        <w:t>all</w:t>
      </w:r>
      <w:r w:rsidR="00DA65F4">
        <w:rPr>
          <w:rFonts w:ascii="Times New Roman" w:hAnsi="Times New Roman" w:cs="Times New Roman"/>
        </w:rPr>
        <w:t xml:space="preserve"> ;</w:t>
      </w:r>
      <w:proofErr w:type="gramEnd"/>
      <w:r w:rsidR="00DA65F4">
        <w:rPr>
          <w:rFonts w:ascii="Times New Roman" w:hAnsi="Times New Roman" w:cs="Times New Roman"/>
        </w:rPr>
        <w:t xml:space="preserve">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w:t>
      </w:r>
      <w:r w:rsidR="00860986">
        <w:rPr>
          <w:rFonts w:ascii="Times New Roman" w:hAnsi="Times New Roman" w:cs="Times New Roman"/>
        </w:rPr>
        <w:lastRenderedPageBreak/>
        <w:t xml:space="preserve">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w:t>
      </w:r>
      <w:proofErr w:type="gramStart"/>
      <w:r>
        <w:rPr>
          <w:rFonts w:ascii="Times New Roman" w:hAnsi="Times New Roman" w:cs="Times New Roman"/>
        </w:rPr>
        <w:t>actors in their own right</w:t>
      </w:r>
      <w:proofErr w:type="gramEnd"/>
      <w:r>
        <w:rPr>
          <w:rFonts w:ascii="Times New Roman" w:hAnsi="Times New Roman" w:cs="Times New Roman"/>
        </w:rPr>
        <w:t xml:space="preserve">.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proofErr w:type="gramStart"/>
      <w:r w:rsidR="00941B9C">
        <w:rPr>
          <w:rFonts w:ascii="Times New Roman" w:hAnsi="Times New Roman" w:cs="Times New Roman"/>
        </w:rPr>
        <w:t>( )</w:t>
      </w:r>
      <w:proofErr w:type="gramEnd"/>
      <w:r w:rsidR="00941B9C">
        <w:rPr>
          <w:rFonts w:ascii="Times New Roman" w:hAnsi="Times New Roman" w:cs="Times New Roman"/>
        </w:rPr>
        <w:t xml:space="preserve">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A310F1">
      <w:pPr>
        <w:spacing w:line="240" w:lineRule="auto"/>
        <w:rPr>
          <w:u w:val="single"/>
        </w:rPr>
      </w:pPr>
      <w:r w:rsidRPr="00F843D0">
        <w:rPr>
          <w:b/>
          <w:bCs/>
          <w:u w:val="single"/>
        </w:rPr>
        <w:t xml:space="preserve">Paragraph 4: </w:t>
      </w:r>
      <w:r w:rsidRPr="00F843D0">
        <w:rPr>
          <w:u w:val="single"/>
        </w:rPr>
        <w:t>Methods</w:t>
      </w:r>
    </w:p>
    <w:p w14:paraId="47BC13DE" w14:textId="77777777" w:rsidR="00143D48" w:rsidRDefault="00143D48" w:rsidP="00A310F1">
      <w:pPr>
        <w:pStyle w:val="ListParagraph"/>
        <w:numPr>
          <w:ilvl w:val="0"/>
          <w:numId w:val="7"/>
        </w:numPr>
        <w:spacing w:line="240" w:lineRule="auto"/>
      </w:pPr>
      <w:r>
        <w:t>Preview of method 1: weirdos vs impacted – how/what they think CJ pol</w:t>
      </w:r>
    </w:p>
    <w:p w14:paraId="155306D7" w14:textId="77777777" w:rsidR="00143D48" w:rsidRDefault="00143D48" w:rsidP="00A310F1">
      <w:pPr>
        <w:pStyle w:val="ListParagraph"/>
        <w:numPr>
          <w:ilvl w:val="0"/>
          <w:numId w:val="7"/>
        </w:numPr>
        <w:spacing w:line="240" w:lineRule="auto"/>
      </w:pPr>
      <w:r>
        <w:t xml:space="preserve">Preview of method 2: (a) legislators – how many weird, how many impacted (b) who files what (policy responsiveness) </w:t>
      </w:r>
    </w:p>
    <w:p w14:paraId="2D3A1BC1" w14:textId="77777777" w:rsidR="00143D48" w:rsidRDefault="00143D48" w:rsidP="00A310F1">
      <w:pPr>
        <w:pStyle w:val="ListParagraph"/>
        <w:numPr>
          <w:ilvl w:val="0"/>
          <w:numId w:val="7"/>
        </w:numPr>
        <w:spacing w:line="240" w:lineRule="auto"/>
      </w:pPr>
      <w:r>
        <w:t>Preview of method 3:</w:t>
      </w:r>
    </w:p>
    <w:p w14:paraId="2947970D" w14:textId="77777777" w:rsidR="00143D48" w:rsidRDefault="00143D48" w:rsidP="00A310F1">
      <w:pPr>
        <w:pStyle w:val="ListParagraph"/>
        <w:numPr>
          <w:ilvl w:val="1"/>
          <w:numId w:val="7"/>
        </w:numPr>
        <w:spacing w:line="240" w:lineRule="auto"/>
      </w:pPr>
      <w:r>
        <w:t>(a) who says what (symbolic)</w:t>
      </w:r>
    </w:p>
    <w:p w14:paraId="0DC03965" w14:textId="5EF1825B" w:rsidR="00143D48" w:rsidRDefault="00143D48" w:rsidP="00A310F1">
      <w:pPr>
        <w:pStyle w:val="ListParagraph"/>
        <w:numPr>
          <w:ilvl w:val="1"/>
          <w:numId w:val="7"/>
        </w:numPr>
        <w:spacing w:line="240" w:lineRule="auto"/>
      </w:pPr>
      <w:r>
        <w:lastRenderedPageBreak/>
        <w:t xml:space="preserve">(b) apply a coding scheme to 3a and 2b </w:t>
      </w:r>
      <w:r>
        <w:sym w:font="Wingdings" w:char="F0E0"/>
      </w:r>
      <w:r>
        <w:t xml:space="preserve"> how much is substantive/epistemically inclusive/treats as constituencies</w:t>
      </w:r>
    </w:p>
    <w:p w14:paraId="205D1A06" w14:textId="61C66872" w:rsidR="00B4437D" w:rsidRPr="00A310F1" w:rsidRDefault="00143D48" w:rsidP="00A310F1">
      <w:pPr>
        <w:spacing w:line="240" w:lineRule="auto"/>
        <w:rPr>
          <w:u w:val="single"/>
        </w:rPr>
      </w:pPr>
      <w:r>
        <w:t xml:space="preserve">Normal paper would have highlight of results </w:t>
      </w:r>
    </w:p>
    <w:p w14:paraId="793E2845" w14:textId="40884793" w:rsidR="00D11123" w:rsidRPr="006C0245" w:rsidRDefault="00D11123" w:rsidP="00A310F1">
      <w:pPr>
        <w:spacing w:line="240" w:lineRule="auto"/>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A310F1">
      <w:pPr>
        <w:spacing w:line="240" w:lineRule="auto"/>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4BCE0038" w14:textId="77777777" w:rsidR="0043512D" w:rsidRDefault="0043512D" w:rsidP="00D11123">
      <w:pPr>
        <w:jc w:val="center"/>
        <w:rPr>
          <w:b/>
          <w:bCs/>
        </w:rPr>
      </w:pPr>
    </w:p>
    <w:p w14:paraId="51F3F634" w14:textId="0B5EF914" w:rsidR="0077211D" w:rsidRPr="0077211D" w:rsidRDefault="0043512D" w:rsidP="00A56C15">
      <w:pPr>
        <w:pStyle w:val="Heading1"/>
      </w:pPr>
      <w:bookmarkStart w:id="7" w:name="_Toc220591734"/>
      <w:r>
        <w:t xml:space="preserve">II. </w:t>
      </w:r>
      <w:bookmarkEnd w:id="7"/>
      <w:r w:rsidR="00A310F1">
        <w:t>Theory</w:t>
      </w:r>
    </w:p>
    <w:p w14:paraId="130C518E" w14:textId="0C65BFB4" w:rsidR="0087482E" w:rsidRPr="00246AF1" w:rsidRDefault="00A310F1" w:rsidP="00E451D6">
      <w:pPr>
        <w:rPr>
          <w:b/>
          <w:bCs/>
        </w:rPr>
      </w:pPr>
      <w:bookmarkStart w:id="8" w:name="_Toc220591735"/>
      <w:r>
        <w:rPr>
          <w:b/>
          <w:bCs/>
        </w:rPr>
        <w:t>Evaluating Democratic Representation</w:t>
      </w:r>
    </w:p>
    <w:p w14:paraId="2B4A6208" w14:textId="448266FB" w:rsidR="00970A16" w:rsidRDefault="00E451D6" w:rsidP="005F2754">
      <w:pPr>
        <w:spacing w:line="360" w:lineRule="auto"/>
        <w:ind w:firstLine="720"/>
      </w:pPr>
      <w:r>
        <w:t xml:space="preserve">Representation is the normative core of democratic theory and evaluation. Political scientists have long understood democracy as not just a set of institutions and procedures, but rather as a </w:t>
      </w:r>
      <w:r w:rsidR="00794095">
        <w:t xml:space="preserve">living </w:t>
      </w:r>
      <w:r>
        <w:t>system whose legitimacy rests on the degree to which public authority reflects, responds to, and is accountable to the people it represents</w:t>
      </w:r>
      <w:r w:rsidR="00794095">
        <w:t xml:space="preserve"> (Locke p 1980</w:t>
      </w:r>
      <w:r w:rsidR="00970A16">
        <w:t>, Pitkin 1967</w:t>
      </w:r>
      <w:r w:rsidR="00794095">
        <w:t>)</w:t>
      </w:r>
      <w:r>
        <w:t>. Yet there is little consensus about what constitute</w:t>
      </w:r>
      <w:r w:rsidR="002F253B">
        <w:t>s</w:t>
      </w:r>
      <w:r>
        <w:t xml:space="preserve"> </w:t>
      </w:r>
      <w:r w:rsidR="00A830ED">
        <w:t>“</w:t>
      </w:r>
      <w:r>
        <w:t>good</w:t>
      </w:r>
      <w:r w:rsidR="00A830ED">
        <w:t>”</w:t>
      </w:r>
      <w:r>
        <w:t xml:space="preserve"> representation – </w:t>
      </w:r>
      <w:r w:rsidR="00A830ED">
        <w:t>nor</w:t>
      </w:r>
      <w:r w:rsidR="00730171">
        <w:t xml:space="preserve"> is there consensus on</w:t>
      </w:r>
      <w:r>
        <w:t xml:space="preserve"> how </w:t>
      </w:r>
      <w:r w:rsidR="00970A16">
        <w:t xml:space="preserve">it </w:t>
      </w:r>
      <w:r w:rsidR="00730171">
        <w:t>is best</w:t>
      </w:r>
      <w:r>
        <w:t xml:space="preserve"> measured. </w:t>
      </w:r>
      <w:r w:rsidR="0087482E">
        <w:t xml:space="preserve">At the most abstract level, debates about democratic representation diverge over the direction of their evaluative attention. Some scholars look “upstream,” or locate democratic quality in the institutional design of electoral systems, party structures, and incentive environments that regulate access to office and shape political behavior (). Others look “downstream,” </w:t>
      </w:r>
      <w:r w:rsidR="00970A16">
        <w:t>judging</w:t>
      </w:r>
      <w:r w:rsidR="0087482E">
        <w:t xml:space="preserve"> representation by its consequences: policy outputs, distributive equity, and responsiveness to constituent preferences, interests, or contact. </w:t>
      </w:r>
      <w:r w:rsidR="00970A16">
        <w:t>Some dynamics – such as institutional cultures and norms – operate on both sides, functioning as upstream filters that shape who enters office and as downstream consequences reshaped by who is present. Both</w:t>
      </w:r>
      <w:r w:rsidR="00A310F1">
        <w:t xml:space="preserve"> perspectives</w:t>
      </w:r>
      <w:r w:rsidR="00970A16">
        <w:t xml:space="preserve">, however, </w:t>
      </w:r>
      <w:r w:rsidR="00A310F1">
        <w:t xml:space="preserve">implicate </w:t>
      </w:r>
      <w:r w:rsidR="00970A16">
        <w:t>a prior empirical question: who holds office?</w:t>
      </w:r>
    </w:p>
    <w:p w14:paraId="239A8A68" w14:textId="7F338F53" w:rsidR="00970A16" w:rsidRPr="00970A16" w:rsidRDefault="00970A16" w:rsidP="00970A16">
      <w:pPr>
        <w:spacing w:line="360" w:lineRule="auto"/>
        <w:rPr>
          <w:b/>
          <w:bCs/>
        </w:rPr>
      </w:pPr>
      <w:r>
        <w:rPr>
          <w:b/>
          <w:bCs/>
        </w:rPr>
        <w:t>What is Descriptive Representation</w:t>
      </w:r>
    </w:p>
    <w:p w14:paraId="4E9564FA" w14:textId="51823FDE" w:rsidR="00A55848" w:rsidRDefault="00970A16" w:rsidP="00C72AA0">
      <w:pPr>
        <w:spacing w:line="360" w:lineRule="auto"/>
        <w:ind w:firstLine="720"/>
      </w:pPr>
      <w:r>
        <w:t>The study of w</w:t>
      </w:r>
      <w:r w:rsidR="00A310F1">
        <w:t xml:space="preserve">ho </w:t>
      </w:r>
      <w:r w:rsidR="00C72AA0">
        <w:t>holds office</w:t>
      </w:r>
      <w:r>
        <w:t xml:space="preserve"> – </w:t>
      </w:r>
      <w:r w:rsidR="00A310F1">
        <w:t xml:space="preserve">and the degree to which their characteristics are congruent with those of </w:t>
      </w:r>
      <w:r>
        <w:t>the populations they govern</w:t>
      </w:r>
      <w:r w:rsidR="00A310F1">
        <w:t xml:space="preserve"> – </w:t>
      </w:r>
      <w:r>
        <w:t>is the domain of descriptive representation:</w:t>
      </w:r>
      <w:r w:rsidR="00A310F1">
        <w:t xml:space="preserve"> whether “representatives are in their own persons and lives in some sense typical of the larger class of persons whom they represent (Mansbridge 1999, 629). </w:t>
      </w:r>
      <w:r>
        <w:t xml:space="preserve">First </w:t>
      </w:r>
      <w:r>
        <w:lastRenderedPageBreak/>
        <w:t xml:space="preserve">taken up systematically in the 1950s (Matthews 1954), the concept has since been examined across dimensions including </w:t>
      </w:r>
      <w:r w:rsidR="00CF121A">
        <w:t xml:space="preserve">race, gender, </w:t>
      </w:r>
      <w:r>
        <w:t xml:space="preserve">ethnicity, occupation, education, wealth, </w:t>
      </w:r>
      <w:r w:rsidR="00CF121A">
        <w:t xml:space="preserve">and class </w:t>
      </w:r>
      <w:r>
        <w:t xml:space="preserve">background (Carnes &amp; Lupu 2024). While these categories have prompted their own </w:t>
      </w:r>
      <w:r w:rsidR="002E11D9">
        <w:t xml:space="preserve">measurement debates (CITE), </w:t>
      </w:r>
      <w:r>
        <w:t>descriptive representation is analytically prior to questions of upstream and downstream quality, as it is necessary to understand who is present in democratic institutions in order to evaluate how well those institutions operate</w:t>
      </w:r>
      <w:r w:rsidR="00C72AA0">
        <w:t xml:space="preserve"> – scholars use these measures to diagnose whether access to office is broadly distributed or systematically filtered</w:t>
      </w:r>
      <w:r>
        <w:t xml:space="preserve">. At the same time, descriptive representation is not </w:t>
      </w:r>
      <w:r w:rsidR="00C72AA0">
        <w:t>only</w:t>
      </w:r>
      <w:r>
        <w:t xml:space="preserve"> a</w:t>
      </w:r>
      <w:r w:rsidR="00C72AA0">
        <w:t xml:space="preserve"> descriptive</w:t>
      </w:r>
      <w:r>
        <w:t xml:space="preserve"> baseline indicator. Rather, </w:t>
      </w:r>
      <w:r w:rsidR="00C72AA0">
        <w:t xml:space="preserve">who is present may shape how those institutions function – affecting both the institutional environments that regulate political competition, and the policy processes and outcomes that follow. In this sense, descriptive representation is analytically linked to both “upstream” and “downstream” dimensions of democratic quality: patterns of presence reflect </w:t>
      </w:r>
      <w:r w:rsidR="002A3F9E">
        <w:t>gatekeeping dynamics, recruitment patters</w:t>
      </w:r>
      <w:r w:rsidR="00C72AA0">
        <w:t>, and institutional norms that structure access to office, and may also influence agenda-setting, legislative deliberation, policy outputs, and citizens perceptions of political [</w:t>
      </w:r>
      <w:r w:rsidR="002A3F9E">
        <w:t xml:space="preserve"> symbolic dimensions of democratic governance</w:t>
      </w:r>
      <w:r w:rsidR="00C72AA0">
        <w:t>?]</w:t>
      </w:r>
      <w:r w:rsidR="002A3F9E">
        <w:t xml:space="preserve"> (Carnes &amp; Lupu, </w:t>
      </w:r>
      <w:commentRangeStart w:id="9"/>
      <w:r w:rsidR="002A3F9E">
        <w:t>Clayton</w:t>
      </w:r>
      <w:commentRangeEnd w:id="9"/>
      <w:r w:rsidR="002A3F9E">
        <w:rPr>
          <w:rStyle w:val="CommentReference"/>
        </w:rPr>
        <w:commentReference w:id="9"/>
      </w:r>
      <w:r w:rsidR="002A3F9E">
        <w:t>).</w:t>
      </w:r>
    </w:p>
    <w:p w14:paraId="51139941" w14:textId="30C0073E" w:rsidR="002A3F9E" w:rsidRDefault="00C72AA0" w:rsidP="008355EE">
      <w:pPr>
        <w:rPr>
          <w:b/>
          <w:bCs/>
        </w:rPr>
      </w:pPr>
      <w:r>
        <w:rPr>
          <w:b/>
          <w:bCs/>
        </w:rPr>
        <w:t>Why Theorists Think</w:t>
      </w:r>
      <w:r w:rsidR="002A3F9E">
        <w:rPr>
          <w:b/>
          <w:bCs/>
        </w:rPr>
        <w:t xml:space="preserve"> Descriptive Representation</w:t>
      </w:r>
      <w:r>
        <w:rPr>
          <w:b/>
          <w:bCs/>
        </w:rPr>
        <w:t xml:space="preserve"> Matters</w:t>
      </w:r>
    </w:p>
    <w:p w14:paraId="16688A98" w14:textId="00FE7C13" w:rsidR="00C72AA0" w:rsidRDefault="00837F45" w:rsidP="00C72AA0">
      <w:pPr>
        <w:spacing w:line="360" w:lineRule="auto"/>
        <w:ind w:firstLine="720"/>
      </w:pPr>
      <w:r>
        <w:t xml:space="preserve">The theoretical case for descriptive representation rests not on the assumption that shared identity </w:t>
      </w:r>
      <w:r w:rsidRPr="00C72AA0">
        <w:rPr>
          <w:i/>
          <w:iCs/>
        </w:rPr>
        <w:t>guarantees</w:t>
      </w:r>
      <w:r>
        <w:t xml:space="preserve"> agreement or shared preference between a legislator and constituent. Rather it </w:t>
      </w:r>
      <w:r w:rsidR="00C72AA0">
        <w:t xml:space="preserve">begins from a </w:t>
      </w:r>
      <w:r>
        <w:t xml:space="preserve">recognition that political institutions </w:t>
      </w:r>
      <w:r w:rsidR="00C72AA0">
        <w:t xml:space="preserve">are not neutral in structure or process. Patterns of who enters office reflect institutional filters – party recruitment, professional pipelines, financial barriers, and sedimented cultural norms and legacies of exclusion – that advantage some social groups over others (Carnes &amp; Lupu 2023, Clayton 2021). Descriptive congruence thus signals whether formal equality of opportunity has produced equal presence. Who is in the building is neither random nor a product of pure electoral competition alone. Rather, it reflects structured inclusion and exclusion. </w:t>
      </w:r>
    </w:p>
    <w:p w14:paraId="69666F9F" w14:textId="2CFC8DF1" w:rsidR="00C72AA0" w:rsidRDefault="001531D9" w:rsidP="00C72AA0">
      <w:pPr>
        <w:spacing w:line="360" w:lineRule="auto"/>
        <w:ind w:firstLine="720"/>
      </w:pPr>
      <w:r>
        <w:lastRenderedPageBreak/>
        <w:t xml:space="preserve">Proponents of descriptive representation further note that these upstream filters have downstream consequences. When certain groups are consistently underrepresented, their experiences may be less likely to inform legislative judgements and deliberation. Even in the aggregative conception of democracy – where representation is understood as the translation of existing preferences into policy through competition and majority rule – systematic absence can distort the process. Disadvantaged groups’ preferences may be excluded from the agenda before aggregation occurs, or distrust may dampen participation such that expressed preferences do not fully reflect underlying interests (Mansbridge 1999). Under these conditions, descriptive representation strengthens a precondition for fair aggregation: making marginalized interests visible enough to be counted. </w:t>
      </w:r>
    </w:p>
    <w:p w14:paraId="36896551" w14:textId="44D090E4" w:rsidR="001531D9" w:rsidRDefault="001531D9" w:rsidP="00C72AA0">
      <w:pPr>
        <w:spacing w:line="360" w:lineRule="auto"/>
        <w:ind w:firstLine="720"/>
      </w:pPr>
      <w:proofErr w:type="gramStart"/>
      <w:r>
        <w:t>Yet,</w:t>
      </w:r>
      <w:proofErr w:type="gramEnd"/>
      <w:r>
        <w:t xml:space="preserve"> the downstream case runs deeper still in conceptions of representation’s deliberative function. Legislator do not merely aggregate preferences, but define problems, interpret constituent claims, and weigh competing demands. Shared experiences in particular shape which constituencies’ legislators’ interpretations of problems mirror, how they respond to disparate </w:t>
      </w:r>
      <w:r w:rsidR="006B637B">
        <w:t>constituencies</w:t>
      </w:r>
      <w:r>
        <w:t xml:space="preserve">’ claims, and whose </w:t>
      </w:r>
      <w:proofErr w:type="gramStart"/>
      <w:r>
        <w:t>interests</w:t>
      </w:r>
      <w:proofErr w:type="gramEnd"/>
      <w:r>
        <w:t xml:space="preserve"> legislators consider politically relevant.   In these functions and interactions with their districts, legislators themselves even define constituencies (Disch 2021).</w:t>
      </w:r>
    </w:p>
    <w:p w14:paraId="7693308A" w14:textId="77777777" w:rsidR="00C72AA0" w:rsidRDefault="00C72AA0" w:rsidP="00C72AA0">
      <w:pPr>
        <w:spacing w:line="360" w:lineRule="auto"/>
        <w:ind w:firstLine="720"/>
      </w:pPr>
    </w:p>
    <w:p w14:paraId="2BE0EB4B" w14:textId="43999919" w:rsidR="00B22777" w:rsidRDefault="00837F45" w:rsidP="00C72AA0">
      <w:pPr>
        <w:spacing w:line="360" w:lineRule="auto"/>
        <w:ind w:firstLine="720"/>
      </w:pPr>
      <w:r>
        <w:t>are structure such that they systematically advantage some groups’ perspectives over others</w:t>
      </w:r>
      <w:r w:rsidR="00B22777">
        <w:t xml:space="preserve"> – reflecting both “upstream” determinants and “downstream” consequences of who is in the building. These compound, producing consequences for both the “aggregative” functions of democracy – the translation of existing preferences into policy through competition and majority rule – and its “deliberative” functions, or </w:t>
      </w:r>
      <w:proofErr w:type="gramStart"/>
      <w:r w:rsidR="00B22777">
        <w:t xml:space="preserve">understanding  </w:t>
      </w:r>
      <w:proofErr w:type="spellStart"/>
      <w:r w:rsidR="00B22777">
        <w:t>ofwhich</w:t>
      </w:r>
      <w:proofErr w:type="spellEnd"/>
      <w:proofErr w:type="gramEnd"/>
      <w:r w:rsidR="00B22777">
        <w:t xml:space="preserve"> policies serve constituents' interests, defining problems, and navigating conflicts among competing claims.</w:t>
      </w:r>
    </w:p>
    <w:p w14:paraId="1488997C" w14:textId="77777777" w:rsidR="00B22777" w:rsidRPr="00B22777" w:rsidRDefault="00B22777" w:rsidP="00B22777">
      <w:pPr>
        <w:spacing w:line="360" w:lineRule="auto"/>
        <w:ind w:firstLine="720"/>
      </w:pPr>
      <w:r>
        <w:t xml:space="preserve">On the upstream side, </w:t>
      </w:r>
      <w:r w:rsidRPr="00B22777">
        <w:t xml:space="preserve">persistent patterns of gatekeeping, recruitment, and institutional culture mean that certain groups face compounding barriers to entry that formal equality of opportunity does not correct (Clayton 2021; Carnes &amp; Lupu 2023). Their </w:t>
      </w:r>
      <w:r w:rsidRPr="00B22777">
        <w:lastRenderedPageBreak/>
        <w:t>absence from office is not random but reflects institutional filtering — and that filtering is itself informative about whose experiences the political system treats as relevant.</w:t>
      </w:r>
    </w:p>
    <w:p w14:paraId="5774E9E2" w14:textId="77777777" w:rsidR="00B22777" w:rsidRPr="00B22777" w:rsidRDefault="00B22777" w:rsidP="00B22777">
      <w:pPr>
        <w:spacing w:line="360" w:lineRule="auto"/>
        <w:ind w:firstLine="720"/>
      </w:pPr>
      <w:r w:rsidRPr="00B22777">
        <w:t>On the downstream side, who is present in office shapes what legislatures do and how they do it. At the most basic level, descriptive incongruence can distort even the aggregative functions of democracy: when disadvantaged groups' preferences are excluded from the agenda before aggregation occurs, or when distrust leads to nonparticipation, the translation of preferences into policy is compromised in ways that electoral incentives alone do not correct (Mansbridge 1999). But the downstream case runs deeper than policy outputs. Shared experience shapes the deliberative processes through which legislators define problems, interpret constituent interests, and navigate competing claims — in ways that incentive structures cannot replicate. When legislatures are descriptively skewed, deliberation risks reflecting the social positions and interpretive frameworks of those most likely to enter office rather than the full range of experiences present in the polity. Scholars have accordingly theorized that descriptive representation shapes downstream representation through at least three channels: by altering whose experiences inform legislative deliberation, by signaling inclusion and political membership to marginalized groups, and by changing the interpretive frames through which representatives understand their constituencies (Mansbridge 1999; Phillips 1995; Clayton 2021). These channels correspond to what the empirical literature has increasingly distinguished as effects on policy outcomes, on the processes of agenda-setting and deliberation, and on the symbolic and relational dimensions of democratic governance — a differentiation to which this chapter will return.</w:t>
      </w:r>
    </w:p>
    <w:p w14:paraId="3B3D7A03" w14:textId="77777777" w:rsidR="00B22777" w:rsidRPr="00B22777" w:rsidRDefault="00B22777" w:rsidP="00B22777">
      <w:pPr>
        <w:spacing w:line="360" w:lineRule="auto"/>
        <w:ind w:firstLine="720"/>
      </w:pPr>
      <w:r w:rsidRPr="00B22777">
        <w:t>Importantly, descriptive representation is not theorized as sufficient for democratic responsiveness, nor as uniformly beneficial across contexts. Rather, it functions as one normative benchmark among several — useful precisely because it highlights when political institutions are systematically skewed away from the lived realities of the populations they govern.</w:t>
      </w:r>
    </w:p>
    <w:p w14:paraId="1612935F" w14:textId="407EA90B" w:rsidR="00B22777" w:rsidRDefault="00B22777" w:rsidP="00B22777">
      <w:pPr>
        <w:spacing w:line="360" w:lineRule="auto"/>
        <w:ind w:firstLine="720"/>
      </w:pPr>
    </w:p>
    <w:p w14:paraId="5A71F143" w14:textId="77777777" w:rsidR="00B22777" w:rsidRDefault="00B22777" w:rsidP="00B22777">
      <w:pPr>
        <w:spacing w:line="360" w:lineRule="auto"/>
        <w:ind w:firstLine="720"/>
      </w:pPr>
    </w:p>
    <w:p w14:paraId="55D84A3C" w14:textId="6EAF6992" w:rsidR="00B22777" w:rsidRDefault="00B22777" w:rsidP="00B22777">
      <w:pPr>
        <w:spacing w:line="360" w:lineRule="auto"/>
        <w:ind w:firstLine="720"/>
      </w:pPr>
      <w:r>
        <w:t xml:space="preserve">” and “deliberative” functions. </w:t>
      </w:r>
    </w:p>
    <w:p w14:paraId="559167DA" w14:textId="77777777" w:rsidR="00B22777" w:rsidRDefault="00B22777" w:rsidP="008355EE"/>
    <w:p w14:paraId="6954703B" w14:textId="1494F8BA" w:rsidR="00D14C56" w:rsidRDefault="00D14C56" w:rsidP="008355EE">
      <w:r>
        <w:t xml:space="preserve"> </w:t>
      </w:r>
      <w:r w:rsidR="008B3DA1">
        <w:t xml:space="preserve">Thus, conditions necessary for – to hold, which amount to electoral incentives substituting for descriptive congruence, rarely do. Disadvanteged group preferences may be excluded from the agenda before aggregation occurs – allowing descriptive representation to strengthen a precondition for fair aggregation – making marginalized interests visible enough to be counted. </w:t>
      </w:r>
    </w:p>
    <w:p w14:paraId="1C81E6D8" w14:textId="64B31F1C" w:rsidR="00B22777" w:rsidRDefault="008B3DA1" w:rsidP="008355EE">
      <w:r>
        <w:t xml:space="preserve">Moreover, for the deliberative function of representation— the case for descriptive representation runs deeper. Shared experience shapes perception in ways that incentive structures alone cannot replicate. When legislatures are descriptively skewed, deliberation risks reflecting the social positions and interpretive frameworks of those most likely to enter office rather than the full range of experiences present in the polity. This distinction is consequential because it directs analytical attention beyond policy outputs toward the processes through which legislative judgment is formed — and toward the symbolic and epistemic dimensions of who is recognized as a legitimate participant in that process. </w:t>
      </w:r>
    </w:p>
    <w:p w14:paraId="3DEC0FAC" w14:textId="4649E924" w:rsidR="008B3DA1" w:rsidRDefault="008B3DA1" w:rsidP="008355EE">
      <w:r>
        <w:t>Scholars have theorized that descriptive representation shapes these processes through at least three channels: by altering whose experiences inform legislative deliberation, by signaling inclusion and political membership to marginalized groups, and by changing the interpretive frames through which representatives understand their constituencies (Mansbridge 1999; Phillips 1995; Clayton 2021). Importantly, descriptive representation is not theorized as sufficient for democratic responsiveness, nor as uniformly beneficial across contexts. Rather, it functions as one normative benchmark among several — useful precisely because it highlights when political institutions are systematically skewed away from the lived realities of the populations they govern.</w:t>
      </w:r>
    </w:p>
    <w:p w14:paraId="476AE75F" w14:textId="16FD37D6" w:rsidR="00D14C56" w:rsidRDefault="008B3DA1" w:rsidP="008355EE">
      <w:r>
        <w:t>OLD</w:t>
      </w:r>
    </w:p>
    <w:p w14:paraId="1B6B1EA8" w14:textId="6762768D" w:rsidR="002A3F9E" w:rsidRPr="002A3F9E" w:rsidRDefault="00D14C56" w:rsidP="008355EE">
      <w:r>
        <w:t xml:space="preserve">understanding that shared experiences can  </w:t>
      </w:r>
    </w:p>
    <w:p w14:paraId="4B299E8D" w14:textId="6B3B13C8" w:rsidR="00225C10" w:rsidRDefault="00246AF1" w:rsidP="00E451D6">
      <w:r>
        <w:t>Moreover, d</w:t>
      </w:r>
      <w:r w:rsidR="00CF121A">
        <w:t xml:space="preserve">escriptive representation is thought to influence how problems are defined, which voices are heard, and which claims are treated as politically relevant. </w:t>
      </w:r>
      <w:r w:rsidR="00225C10">
        <w:t>When legislatures are descriptively skewed, representation risks reflecting the social positions and interpretive fram</w:t>
      </w:r>
      <w:r>
        <w:t>e</w:t>
      </w:r>
      <w:r w:rsidR="00225C10">
        <w:t xml:space="preserve">works of those most likely to enter office, rather than the full range of experiences present in the polity. </w:t>
      </w:r>
    </w:p>
    <w:p w14:paraId="25C974E4" w14:textId="7F1E5E6C" w:rsidR="00225C10" w:rsidRDefault="00225C10" w:rsidP="00225C10">
      <w:pPr>
        <w:pStyle w:val="ListParagraph"/>
        <w:numPr>
          <w:ilvl w:val="0"/>
          <w:numId w:val="23"/>
        </w:numPr>
      </w:pPr>
      <w:r>
        <w:t>Emphasize congruence here</w:t>
      </w:r>
    </w:p>
    <w:p w14:paraId="128A7CBE" w14:textId="33D406D3" w:rsidR="00225C10" w:rsidRDefault="00225C10" w:rsidP="00225C10">
      <w:pPr>
        <w:pStyle w:val="ListParagraph"/>
        <w:numPr>
          <w:ilvl w:val="0"/>
          <w:numId w:val="23"/>
        </w:numPr>
      </w:pPr>
      <w:r>
        <w:lastRenderedPageBreak/>
        <w:t>Then responsiveness, inclusion</w:t>
      </w:r>
    </w:p>
    <w:p w14:paraId="47D8A320" w14:textId="3700A33E" w:rsidR="00225C10" w:rsidRDefault="00225C10" w:rsidP="00225C10">
      <w:pPr>
        <w:pStyle w:val="ListParagraph"/>
        <w:numPr>
          <w:ilvl w:val="0"/>
          <w:numId w:val="23"/>
        </w:numPr>
      </w:pPr>
      <w:r>
        <w:t>Then (below) institutional)</w:t>
      </w:r>
    </w:p>
    <w:p w14:paraId="3A7FC296" w14:textId="4A68B204" w:rsidR="00225C10" w:rsidRDefault="00225C10" w:rsidP="00E451D6">
      <w:r>
        <w:t>In other words, d</w:t>
      </w:r>
      <w:r w:rsidR="00CF121A">
        <w:t xml:space="preserve">escriptive representation </w:t>
      </w:r>
      <w:r>
        <w:t xml:space="preserve">may act as a diagnostic for institutional bias: the degree to which patterns of political recruitment, agenda-setting, and responsiveness are shaped by who is present in decision-making spaces, independent of formal rules of inclusion. </w:t>
      </w:r>
    </w:p>
    <w:p w14:paraId="3577A59E" w14:textId="2E835346" w:rsidR="00CF121A" w:rsidRDefault="00CF121A" w:rsidP="00E451D6">
      <w:r>
        <w:t xml:space="preserve">It may shape representation by altering whose experiences form legislative deliberation, signaling inclusion and political membership to marginalized groups, and by changing the incentives and interpretive frames through which representatives understand </w:t>
      </w:r>
      <w:r w:rsidR="00225C10">
        <w:t>their</w:t>
      </w:r>
      <w:r>
        <w:t xml:space="preserve"> constituencies. Importantly, descriptive representation is not theorized as sufficient for democratic responsiveness, nor as uniformly beneficial across contexts. Rather it functions as one normative benchmark among others – useful precisely because it highlights when political </w:t>
      </w:r>
      <w:r w:rsidR="00225C10">
        <w:t>institutions</w:t>
      </w:r>
      <w:r>
        <w:t xml:space="preserve"> are systematically skewed away from the lived realities of the populations they govern. </w:t>
      </w:r>
    </w:p>
    <w:p w14:paraId="3898D7F5" w14:textId="15C8E3A6" w:rsidR="00225C10" w:rsidRDefault="008B3DA1" w:rsidP="00E451D6">
      <w:r>
        <w:t>END OLD</w:t>
      </w:r>
    </w:p>
    <w:p w14:paraId="4A0D5D09" w14:textId="0A0B0D5D" w:rsidR="00CF121A" w:rsidRPr="00246AF1" w:rsidRDefault="005F0876" w:rsidP="00E451D6">
      <w:pPr>
        <w:rPr>
          <w:b/>
          <w:bCs/>
        </w:rPr>
      </w:pPr>
      <w:r>
        <w:rPr>
          <w:b/>
          <w:bCs/>
        </w:rPr>
        <w:t>What We Know</w:t>
      </w:r>
      <w:r w:rsidR="00A55848">
        <w:rPr>
          <w:b/>
          <w:bCs/>
        </w:rPr>
        <w:t xml:space="preserve"> </w:t>
      </w:r>
    </w:p>
    <w:p w14:paraId="6D18ECA3" w14:textId="51D9B805" w:rsidR="00225C10" w:rsidRDefault="002A3948" w:rsidP="00790F56">
      <w:pPr>
        <w:spacing w:line="360" w:lineRule="auto"/>
        <w:ind w:firstLine="720"/>
      </w:pPr>
      <w:r>
        <w:t xml:space="preserve">Indeed, a large literature examines descriptive representation as a core indicator of democratic </w:t>
      </w:r>
      <w:r w:rsidR="00246AF1">
        <w:t>inclusion</w:t>
      </w:r>
      <w:r>
        <w:t xml:space="preserve"> and institutional performance. Across contexts, scholars have measured descriptive representation using legislators’ social identities and backgrounds, including race, gender, ethnicity, and economic class</w:t>
      </w:r>
      <w:r w:rsidR="00EA287F">
        <w:t xml:space="preserve"> </w:t>
      </w:r>
      <w:proofErr w:type="gramStart"/>
      <w:r w:rsidR="00EA287F">
        <w:t>( )</w:t>
      </w:r>
      <w:proofErr w:type="gramEnd"/>
      <w:r>
        <w:t xml:space="preserve">. They have established substantial and </w:t>
      </w:r>
      <w:r w:rsidR="00246AF1">
        <w:t>persistent</w:t>
      </w:r>
      <w:r>
        <w:t xml:space="preserve"> gaps between the composition of political institutions and publics they represent</w:t>
      </w:r>
      <w:r w:rsidR="00246AF1">
        <w:t xml:space="preserve"> -- imbalances which indicate upstream causes and downstream effects</w:t>
      </w:r>
      <w:r w:rsidR="00EA287F">
        <w:t xml:space="preserve"> </w:t>
      </w:r>
      <w:proofErr w:type="gramStart"/>
      <w:r w:rsidR="00EA287F">
        <w:t>( )</w:t>
      </w:r>
      <w:proofErr w:type="gramEnd"/>
      <w:r w:rsidR="00246AF1">
        <w:t xml:space="preserve">. </w:t>
      </w:r>
      <w:r>
        <w:t>When groups are underrepresented, legislatures devote less agenda attention to their interests and concerns, particularly in domains where representatives have discretion over speech, bill sponsorship, and issue prioritization</w:t>
      </w:r>
      <w:r w:rsidR="00EA287F">
        <w:t xml:space="preserve"> </w:t>
      </w:r>
      <w:proofErr w:type="gramStart"/>
      <w:r w:rsidR="00EA287F">
        <w:t>( )</w:t>
      </w:r>
      <w:proofErr w:type="gramEnd"/>
      <w:r>
        <w:t>. Descriptive representation is also linked to non-policy outcomes central do democratic functioning: perceptions of institutional legitimacy, trust between constituents and representatives</w:t>
      </w:r>
      <w:r w:rsidR="00401201">
        <w:t>,</w:t>
      </w:r>
      <w:r>
        <w:t xml:space="preserve"> and political engagement. However, these effects are neither automatic nor uniform. Institutional constraints, party discipline, and gatekeeping can mute policy change even when descriptive representation improves, </w:t>
      </w:r>
      <w:r w:rsidR="00B47922">
        <w:t>reflecting the interaction between descriptive representation “s</w:t>
      </w:r>
      <w:r>
        <w:t>edimented</w:t>
      </w:r>
      <w:r w:rsidR="00B47922">
        <w:t>”</w:t>
      </w:r>
      <w:r>
        <w:t xml:space="preserve"> cultures and norms</w:t>
      </w:r>
      <w:r w:rsidR="00B47922">
        <w:t xml:space="preserve"> </w:t>
      </w:r>
      <w:proofErr w:type="gramStart"/>
      <w:r w:rsidR="00B47922">
        <w:t>( )</w:t>
      </w:r>
      <w:proofErr w:type="gramEnd"/>
      <w:r>
        <w:t xml:space="preserve">. As a result, scholars increasingly </w:t>
      </w:r>
      <w:r>
        <w:lastRenderedPageBreak/>
        <w:t>emphasize that descriptive representation’s import is not limited to its translation to direct policy outputs. Rather, they study it’s influence on agenda-setting, symbolic recognition, and the relational ties that structure participation and responsiveness</w:t>
      </w:r>
      <w:r w:rsidR="00B47922">
        <w:t xml:space="preserve"> </w:t>
      </w:r>
      <w:proofErr w:type="gramStart"/>
      <w:r w:rsidR="00B47922">
        <w:t>( )</w:t>
      </w:r>
      <w:proofErr w:type="gramEnd"/>
      <w:r>
        <w:t xml:space="preserve">. </w:t>
      </w:r>
      <w:r w:rsidR="00AF25FC">
        <w:t xml:space="preserve"> </w:t>
      </w:r>
    </w:p>
    <w:p w14:paraId="67BFED18" w14:textId="77777777" w:rsidR="00E31CA4" w:rsidRPr="00E31CA4" w:rsidRDefault="00E31CA4" w:rsidP="00E31CA4">
      <w:pPr>
        <w:spacing w:line="360" w:lineRule="auto"/>
        <w:ind w:firstLine="720"/>
      </w:pPr>
      <w:r w:rsidRPr="00E31CA4">
        <w:t>A large empirical literature establishes that who holds office matters — both as an indicator of democratic inclusion and as a determinant of how institutions function. Across democracies, scholars have documented substantial and persistent gaps between the composition of political institutions and the publics they represent. Elected officials are almost always wealthier, more educated, and more likely to come from white-collar occupations than the citizens who elect them (Carnes 2012); in Congress, less than two percent of the average representative's pre-congressional career was spent in working-class jobs, against a labor force that is majority working class (Carnes &amp; Lupu 2015). While Black and minority descriptive representation has made gains since the passage of the Voting Rights Act, Congress and state legislatures fall well short of proportional representation (McClain &amp; Carew 2017; Pew 2023), with state legislatures composed of only roughly 10.5% Black and 6.3% Hispanic elected officials. These imbalances point to upstream institutional causes — party gatekeeping, gendered and racialized candidate recruitment, masculinized institutional cultures, and persistent bias that elections alone do not correct (Carnes &amp; Lupu 2023; Clayton 2021) — and to downstream consequences that the literature has increasingly differentiated.</w:t>
      </w:r>
    </w:p>
    <w:p w14:paraId="48F794B3" w14:textId="77777777" w:rsidR="00E31CA4" w:rsidRPr="00E31CA4" w:rsidRDefault="00E31CA4" w:rsidP="00E31CA4">
      <w:pPr>
        <w:spacing w:line="360" w:lineRule="auto"/>
        <w:ind w:firstLine="720"/>
      </w:pPr>
      <w:r w:rsidRPr="00E31CA4">
        <w:t xml:space="preserve">On the outcome side, descriptive representation is associated with substantive policy gains for underrepresented groups, particularly in moments of policy innovation or when issues are in early stages of redress (Bratton &amp; Ray 2002). Whether because of differences in self-interest, ideology, or social networks, economically advantaged legislators tend to hold views congruent with economically advantaged citizens, and these legislators may be better positioned to advance their preferred policies (Carnes &amp; Lupu 2023; Meltzer &amp; Richard 1981; Piketty 1995). Descriptive representation also shapes legislative responsiveness more broadly: legislators discriminate in constituent service </w:t>
      </w:r>
      <w:proofErr w:type="gramStart"/>
      <w:r w:rsidRPr="00E31CA4">
        <w:t>on the basis of</w:t>
      </w:r>
      <w:proofErr w:type="gramEnd"/>
      <w:r w:rsidRPr="00E31CA4">
        <w:t xml:space="preserve"> race (Butler &amp; </w:t>
      </w:r>
      <w:proofErr w:type="spellStart"/>
      <w:r w:rsidRPr="00E31CA4">
        <w:t>Broockman</w:t>
      </w:r>
      <w:proofErr w:type="spellEnd"/>
      <w:r w:rsidRPr="00E31CA4">
        <w:t xml:space="preserve"> 2011), and Black constituents consistently report feeling better represented — having a stronger say in government actions — when </w:t>
      </w:r>
      <w:r w:rsidRPr="00E31CA4">
        <w:lastRenderedPageBreak/>
        <w:t>represented by Black legislators (Gleason &amp; Stout 2014). On the process side, descriptive representation alters whose concerns receive institutional attention. Bills supported by civil rights groups are more likely to receive committee markup when committees include more Black and Latino members (Minta 2011), and the election of Black women to Congress has facilitated the crystallization of interests that had previously lacked institutional articulation (Brown, Clark, Mahoney, &amp; Strawbridge 2023; Brown 2014). These process effects — in agenda-setting, issue prioritization, and deliberative framing — operate even when institutional constraints, party discipline, or gatekeeping mute direct policy change, suggesting that descriptive representation shapes the terms of legislative debate independent of its translation into policy outputs.</w:t>
      </w:r>
    </w:p>
    <w:p w14:paraId="5D106ED8" w14:textId="77777777" w:rsidR="00E31CA4" w:rsidRPr="00E31CA4" w:rsidRDefault="00E31CA4" w:rsidP="00E31CA4">
      <w:pPr>
        <w:spacing w:line="360" w:lineRule="auto"/>
        <w:ind w:firstLine="720"/>
      </w:pPr>
      <w:r w:rsidRPr="00E31CA4">
        <w:t>A third category of effects extends beyond policy and process to what might be termed symbolic and relational dimensions: the ways in which who governs shapes perceptions of institutional legitimacy, political trust, and civic inclusion. Black descriptive representation generates political empowerment and participation among Black citizens (Bobo &amp; Gilliam 1990; Clark 2019). Greater presence of working-class legislators is associated with increased trust in political institutions in Latin American contexts (Carnes &amp; Lupu 2023), and women's descriptive representation is linked to trust in democratic institutions among women (Clayton 2021). These effects — trust, engagement, perceived standing — are central to democratic functioning yet are neither automatic nor uniform. They interact with sedimented institutional cultures and norms, and they vary by context in ways that motivate closer attention to when and for whom descriptive representation matters most. It is to this variation that the theory now turns.</w:t>
      </w:r>
    </w:p>
    <w:p w14:paraId="1F6856D6" w14:textId="77777777" w:rsidR="00AF25FC" w:rsidRDefault="00AF25FC" w:rsidP="00E451D6"/>
    <w:p w14:paraId="69B2714B" w14:textId="749BBA80" w:rsidR="00225C10" w:rsidRPr="00246AF1" w:rsidRDefault="005F0876" w:rsidP="00E451D6">
      <w:pPr>
        <w:rPr>
          <w:b/>
          <w:bCs/>
        </w:rPr>
      </w:pPr>
      <w:r>
        <w:rPr>
          <w:b/>
          <w:bCs/>
        </w:rPr>
        <w:t>Who We Talk About When We Talk About Descriptive Representation</w:t>
      </w:r>
    </w:p>
    <w:p w14:paraId="3533795C" w14:textId="77777777" w:rsidR="002E11D9" w:rsidRDefault="00CF121A" w:rsidP="008341D1">
      <w:pPr>
        <w:spacing w:line="360" w:lineRule="auto"/>
      </w:pPr>
      <w:r>
        <w:t xml:space="preserve"> </w:t>
      </w:r>
      <w:r w:rsidR="00A45569">
        <w:tab/>
      </w:r>
      <w:proofErr w:type="gramStart"/>
      <w:r w:rsidR="00A45569">
        <w:t>Yet,</w:t>
      </w:r>
      <w:proofErr w:type="gramEnd"/>
      <w:r w:rsidR="00A45569">
        <w:t xml:space="preserve"> not all social categories merit scrutiny for congruence</w:t>
      </w:r>
      <w:r w:rsidR="008341D1">
        <w:t xml:space="preserve"> or indicate representational failure when absent. Moreover, characteristics that merit descriptive representation may not apply in all policymaking contexts</w:t>
      </w:r>
      <w:r w:rsidR="00A45569">
        <w:t xml:space="preserve">. </w:t>
      </w:r>
      <w:r w:rsidR="008341D1">
        <w:t xml:space="preserve">As </w:t>
      </w:r>
      <w:r w:rsidR="00AF25FC">
        <w:t xml:space="preserve">Mansbridge </w:t>
      </w:r>
      <w:r w:rsidR="008341D1">
        <w:t>(1999) famously n</w:t>
      </w:r>
      <w:r w:rsidR="00AF25FC">
        <w:t xml:space="preserve">otes, the representation of left-handed individuals is probably not a critical measure of </w:t>
      </w:r>
      <w:r w:rsidR="00AF25FC">
        <w:lastRenderedPageBreak/>
        <w:t>democratic health</w:t>
      </w:r>
      <w:r w:rsidR="008341D1">
        <w:t>, except in “deliberation when their perspectives are relevant to a decision (e.g., in decisions regarding the design of surgical instruments” (635)</w:t>
      </w:r>
      <w:r w:rsidR="00AF25FC">
        <w:t xml:space="preserve">. </w:t>
      </w:r>
      <w:r w:rsidR="002E11D9">
        <w:t xml:space="preserve">The question, then, is not whether descriptive representation is universally required, but the conditions under which it becomes particularly important – and for whom. </w:t>
      </w:r>
    </w:p>
    <w:p w14:paraId="150EC411" w14:textId="21EF9CEB" w:rsidR="002E11D9" w:rsidRDefault="002E11D9" w:rsidP="008341D1">
      <w:pPr>
        <w:spacing w:line="360" w:lineRule="auto"/>
      </w:pPr>
      <w:r>
        <w:tab/>
        <w:t xml:space="preserve">Mansbridge (1999) offers a foundational contingent framework that identifies four historically specific contexts. Two enhance substantive representation – downstream process and policy effects </w:t>
      </w:r>
      <w:proofErr w:type="gramStart"/>
      <w:r>
        <w:t>-  by</w:t>
      </w:r>
      <w:proofErr w:type="gramEnd"/>
      <w:r>
        <w:t xml:space="preserve"> improving the quality of deliberation. Namely, in contexts of communicative distrust between dominant and subordinate groups, histories of dominance breed inattention from the powerful and distrust from the marginalized, such that non-descriptive representatives may be unable to serve as effective surrogates. Here, shared experience facilitates the vertical communication between representatives and constituents on which responsiveness depends. In contexts of uncrystallized interests – where issues are new to the political agenda and parties and candidates have not organized around them – descriptive representatives draw on shared experiences to navigate unpredictable issues through horizontal communication among legislators. Mansbridge also notes upstream causes of representational congruence. First, when a group’s “ability to rule” has been historically questioned, particularly through legal exclusion from voting or governing, the absence of group members from office reinforces the social meaning that such persons are unfit to rule; proportional presence disrupts that message, and Mansbridge argues this matters more for changing the psychology of dominant groups than for providing role models to subordinate ones. Finally, in contexts of low de facto legitimacy, seeing members of one’s group – for constituents – governing enhances the empirical legitimacy of the polity itself: the sense that one’s voice was present in deliberation, even if policy outcomes do not mirror their preferences or interests.</w:t>
      </w:r>
    </w:p>
    <w:p w14:paraId="0AE62EBF" w14:textId="117DB205" w:rsidR="002E11D9" w:rsidRPr="00816D08" w:rsidRDefault="002E11D9" w:rsidP="00816D08">
      <w:pPr>
        <w:spacing w:line="360" w:lineRule="auto"/>
      </w:pPr>
      <w:r>
        <w:tab/>
        <w:t xml:space="preserve">More narrowly, Mansbridge offers four criteria: groups that are proportionally underrepresented </w:t>
      </w:r>
      <w:proofErr w:type="spellStart"/>
      <w:r>
        <w:t>relatie</w:t>
      </w:r>
      <w:proofErr w:type="spellEnd"/>
      <w:r>
        <w:t xml:space="preserve"> to their population share, whose members consider themselves unable to be adequately represented by non-group members, and where evidence indicates that dominant groups have historically made it difficult or impossible for the group to represent itself. Here, a history of legal exclusion from the vote is a particularly </w:t>
      </w:r>
      <w:r>
        <w:lastRenderedPageBreak/>
        <w:t xml:space="preserve">strong indicator, which scholars of racial </w:t>
      </w:r>
      <w:r w:rsidR="00816D08">
        <w:t>congruence have underscored (UNC, Brown). Similarly, scholars of gender politics have produced a burgeoning literature, and both have also supported Mansbridge’s position that descriptive representation helps to mollify comm</w:t>
      </w:r>
      <w:r w:rsidR="00816D08" w:rsidRPr="00816D08">
        <w:t xml:space="preserve">unicative </w:t>
      </w:r>
      <w:proofErr w:type="gramStart"/>
      <w:r w:rsidR="00816D08" w:rsidRPr="00816D08">
        <w:t>distrust  (</w:t>
      </w:r>
      <w:proofErr w:type="gramEnd"/>
      <w:r w:rsidR="00816D08" w:rsidRPr="00816D08">
        <w:t xml:space="preserve">Gay 1996, Haynes 1997 – </w:t>
      </w:r>
      <w:proofErr w:type="spellStart"/>
      <w:r w:rsidR="00816D08" w:rsidRPr="00816D08">
        <w:t>tho</w:t>
      </w:r>
      <w:proofErr w:type="spellEnd"/>
      <w:r w:rsidR="00816D08" w:rsidRPr="00816D08">
        <w:t xml:space="preserve"> not gender, reword). </w:t>
      </w:r>
    </w:p>
    <w:p w14:paraId="6F1D760C" w14:textId="77777777" w:rsidR="00816D08" w:rsidRPr="00816D08" w:rsidRDefault="00816D08" w:rsidP="00816D08">
      <w:pPr>
        <w:pStyle w:val="font-claude-response-body"/>
        <w:spacing w:line="360" w:lineRule="auto"/>
        <w:rPr>
          <w:rFonts w:asciiTheme="minorHAnsi" w:hAnsiTheme="minorHAnsi"/>
        </w:rPr>
      </w:pPr>
      <w:r w:rsidRPr="00816D08">
        <w:rPr>
          <w:rFonts w:asciiTheme="minorHAnsi" w:hAnsiTheme="minorHAnsi"/>
        </w:rPr>
        <w:tab/>
        <w:t>Feminist and comparative scholars have extended this framework. Clayton (2021) Clayton (2021) argues that descriptive representation is normatively defensible for women even before we reach the question of policy effects. When equality of formal opportunity does not produce equality of presence — because of sedimented institutional cultures, persistent bias, and structural gatekeeping — that absence is itself an indicator of representational distortion, not merely a precondition for it. This reframing, echoed in arguments about racial and class underrepresentation (Carnes &amp; Lupu 2023; Phillips 1995; Dahlerup 2007), positions the inclusion of structurally sidelined groups as a matter of representative justice: procedural democracy does not self-correct when institutional norms and cultures systematically filter who is seen as a viable candidate, whose concerns are treated as politically relevant, and whose presence is perceived as legitimate.</w:t>
      </w:r>
    </w:p>
    <w:p w14:paraId="5846A65D" w14:textId="646DCEF1"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Recent scholarship presses further, suggesting that the conditions Mansbridge identifies may be deeper and more structurally entrenched than her framework alone implies. Pottle (2025) introduces the concept of </w:t>
      </w:r>
      <w:r w:rsidRPr="00816D08">
        <w:rPr>
          <w:rStyle w:val="Emphasis"/>
          <w:rFonts w:asciiTheme="minorHAnsi" w:eastAsiaTheme="majorEastAsia" w:hAnsiTheme="minorHAnsi"/>
        </w:rPr>
        <w:t>testimonial injustice</w:t>
      </w:r>
      <w:r w:rsidRPr="00816D08">
        <w:rPr>
          <w:rFonts w:asciiTheme="minorHAnsi" w:hAnsiTheme="minorHAnsi"/>
        </w:rPr>
        <w:t xml:space="preserve"> to theorize the persistence of communicative distrust. Where Mansbridge describes communicative distrust as a product of historical dominance — a residue that shared experience can bridge — Pottle argues that the breakdown is not merely inherited but actively reproduced through electoral incentives. Legislators face structural pressure to anchor their messaging in the understandings of strategically valuable constituencies — moderate white voters, affluent donors — and the infrastructure of legislative responsiveness (constituent communications processing, meeting access, staff gatekeeping) grants these constituencies disproportionate epistemic authority. Groups constructed as uncredible within this economy of strategic value find their testimony filtered or discounted not </w:t>
      </w:r>
      <w:r w:rsidRPr="00816D08">
        <w:rPr>
          <w:rFonts w:asciiTheme="minorHAnsi" w:hAnsiTheme="minorHAnsi"/>
        </w:rPr>
        <w:lastRenderedPageBreak/>
        <w:t xml:space="preserve">because individual legislators are inattentive, but because the electoral connection itself incentivizes inattention. </w:t>
      </w:r>
    </w:p>
    <w:p w14:paraId="29692F4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Pottle's concept of </w:t>
      </w:r>
      <w:r w:rsidRPr="00816D08">
        <w:rPr>
          <w:rStyle w:val="Emphasis"/>
          <w:rFonts w:asciiTheme="minorHAnsi" w:eastAsiaTheme="majorEastAsia" w:hAnsiTheme="minorHAnsi"/>
        </w:rPr>
        <w:t>hermeneutic injustice</w:t>
      </w:r>
      <w:r w:rsidRPr="00816D08">
        <w:rPr>
          <w:rFonts w:asciiTheme="minorHAnsi" w:hAnsiTheme="minorHAnsi"/>
        </w:rPr>
        <w:t xml:space="preserve"> similarly deepens Mansbridge's account of uncrystallized interests. Mansbridge treats uncrystallized interests as a relatively benign feature of the political landscape — some issues simply have not yet made it onto the agenda, and descriptive representatives are uniquely positioned to introduce them. But Pottle reframes: some interests </w:t>
      </w:r>
      <w:r w:rsidRPr="00816D08">
        <w:rPr>
          <w:rStyle w:val="Emphasis"/>
          <w:rFonts w:asciiTheme="minorHAnsi" w:eastAsiaTheme="majorEastAsia" w:hAnsiTheme="minorHAnsi"/>
        </w:rPr>
        <w:t>appear</w:t>
      </w:r>
      <w:r w:rsidRPr="00816D08">
        <w:rPr>
          <w:rFonts w:asciiTheme="minorHAnsi" w:hAnsiTheme="minorHAnsi"/>
        </w:rPr>
        <w:t xml:space="preserve"> uncrystallized not because they are genuinely new, but because the hermeneutic resources needed to articulate them have been systematically excluded from mainstream political vocabulary — a "mainstream" that is itself defined by the epistemic preferences of advantaged constituencies. Communities facing sustained contact with punitive or redistributive state institutions, for instance, may have developed rich, internally coherent understandings of state power and their relationship to it — articulated political knowledge, shared vocabularies, theories of the state "from below" (Weaver, Prowse, &amp; Piston 2020) — that are not granted standing in elite discourse. These interests appear uncrystallized because the </w:t>
      </w:r>
      <w:r w:rsidRPr="00816D08">
        <w:rPr>
          <w:rStyle w:val="Emphasis"/>
          <w:rFonts w:asciiTheme="minorHAnsi" w:eastAsiaTheme="majorEastAsia" w:hAnsiTheme="minorHAnsi"/>
        </w:rPr>
        <w:t>resonance imperative</w:t>
      </w:r>
      <w:r w:rsidRPr="00816D08">
        <w:rPr>
          <w:rFonts w:asciiTheme="minorHAnsi" w:hAnsiTheme="minorHAnsi"/>
        </w:rPr>
        <w:t xml:space="preserve"> — the incentive for legislators to articulate problems and solutions in terms that cohere with high-value constituencies' existing understandings — gives policymakers no reason to adopt or legitimate the vocabularies through which those experiences are understood. The result is a form of epistemic exclusion that is structurally produced rather than merely incidental: a group's efforts to articulate or intervene with their knowledge are sidelined or denied because that knowledge was already outside the political mainstream.</w:t>
      </w:r>
    </w:p>
    <w:p w14:paraId="43487DE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This epistemic dimension also extends Mansbridge's third and fourth contexts. Her arguments about "ability to rule" and de facto legitimacy are fundamentally about who is perceived as a legitimate political actor — and she argues these perceptions are </w:t>
      </w:r>
      <w:proofErr w:type="gramStart"/>
      <w:r w:rsidRPr="00816D08">
        <w:rPr>
          <w:rFonts w:asciiTheme="minorHAnsi" w:hAnsiTheme="minorHAnsi"/>
        </w:rPr>
        <w:t>goods in their own right, beyond</w:t>
      </w:r>
      <w:proofErr w:type="gramEnd"/>
      <w:r w:rsidRPr="00816D08">
        <w:rPr>
          <w:rFonts w:asciiTheme="minorHAnsi" w:hAnsiTheme="minorHAnsi"/>
        </w:rPr>
        <w:t xml:space="preserve"> their implications for substantive representation. But Pottle's framework suggests the question is not only whether a group is seen as able to </w:t>
      </w:r>
      <w:r w:rsidRPr="00816D08">
        <w:rPr>
          <w:rStyle w:val="Emphasis"/>
          <w:rFonts w:asciiTheme="minorHAnsi" w:eastAsiaTheme="majorEastAsia" w:hAnsiTheme="minorHAnsi"/>
        </w:rPr>
        <w:t>rule</w:t>
      </w:r>
      <w:r w:rsidRPr="00816D08">
        <w:rPr>
          <w:rFonts w:asciiTheme="minorHAnsi" w:hAnsiTheme="minorHAnsi"/>
        </w:rPr>
        <w:t xml:space="preserve"> but whether it is seen as able to </w:t>
      </w:r>
      <w:r w:rsidRPr="00816D08">
        <w:rPr>
          <w:rStyle w:val="Emphasis"/>
          <w:rFonts w:asciiTheme="minorHAnsi" w:eastAsiaTheme="majorEastAsia" w:hAnsiTheme="minorHAnsi"/>
        </w:rPr>
        <w:t>know</w:t>
      </w:r>
      <w:r w:rsidRPr="00816D08">
        <w:rPr>
          <w:rFonts w:asciiTheme="minorHAnsi" w:hAnsiTheme="minorHAnsi"/>
        </w:rPr>
        <w:t xml:space="preserve"> — whether its members' experiences count as politically relevant knowledge at all. Hermeneutic and testimonial injustice do not merely exclude </w:t>
      </w:r>
      <w:r w:rsidRPr="00816D08">
        <w:rPr>
          <w:rFonts w:asciiTheme="minorHAnsi" w:hAnsiTheme="minorHAnsi"/>
        </w:rPr>
        <w:lastRenderedPageBreak/>
        <w:t>groups from governing; they exclude groups from the epistemic community whose understandings shape policy. This constitutes a deeper form of the second-class citizenship Mansbridge describes, because it means that even when members of a group are physically present in deliberative spaces, their experiential knowledge may not be granted epistemic standing. Presence without epistemic authority is a hollow form of inclusion.</w:t>
      </w:r>
    </w:p>
    <w:p w14:paraId="743699B3" w14:textId="7D590EA5" w:rsidR="002E11D9" w:rsidRPr="00DF638A" w:rsidRDefault="00816D08" w:rsidP="00DF638A">
      <w:pPr>
        <w:pStyle w:val="font-claude-response-body"/>
        <w:spacing w:line="360" w:lineRule="auto"/>
        <w:ind w:firstLine="720"/>
        <w:rPr>
          <w:rFonts w:asciiTheme="minorHAnsi" w:hAnsiTheme="minorHAnsi"/>
        </w:rPr>
      </w:pPr>
      <w:r w:rsidRPr="00816D08">
        <w:rPr>
          <w:rFonts w:asciiTheme="minorHAnsi" w:hAnsiTheme="minorHAnsi"/>
        </w:rPr>
        <w:t>Taken together, these theoretical developments sharpen the conditions under which descriptive representation is most analytically consequential. If subordinate groups' interests are merely uncrystallized — awaiting articulation on a gradually expanding political agenda — then descriptive representation is instrumentally useful: it brings new information and perspectives into deliberation. But if those interests are hermeneutically suppressed, and if the groups that hold them face testimonial injustice within the structures of legislative responsiveness, then the absence of descriptive representation is not merely an informational loss. It is an active form of epistemic exclusion that reproduces the conditions of its own perpetuation — a feedback loop in which the political knowledge of marginalized communities is excluded from elite discourse, that exclusion shapes what counts as "common sense" in policymaking, and those distorted common-sense understandings further justify the marginalization of the excluded group's knowledge. Descriptive representation is most critical, then, for groups whose voices are filtered, discounted, or systematically absent in ordinary democratic practice — groups whose absence from political institutions is itself an indicator of representational distortion, and for whom inclusion carries implications not only for policy outcomes but for the epistemic terms on which democratic judgment is formed: whose experiences are heard, whose claims are treated as politically relevant, and whose vocabulary is politically intelligible.</w:t>
      </w:r>
    </w:p>
    <w:p w14:paraId="218253FF" w14:textId="004AC72D" w:rsidR="00270898" w:rsidRDefault="00270898" w:rsidP="00E451D6">
      <w:pPr>
        <w:rPr>
          <w:b/>
          <w:bCs/>
        </w:rPr>
      </w:pPr>
      <w:r w:rsidRPr="00270898">
        <w:rPr>
          <w:b/>
          <w:bCs/>
        </w:rPr>
        <w:t xml:space="preserve">P5 </w:t>
      </w:r>
      <w:r>
        <w:rPr>
          <w:b/>
          <w:bCs/>
        </w:rPr>
        <w:t>–</w:t>
      </w:r>
    </w:p>
    <w:p w14:paraId="5C61F903" w14:textId="77777777" w:rsidR="008763DC" w:rsidRDefault="00986478" w:rsidP="008763DC">
      <w:pPr>
        <w:spacing w:line="360" w:lineRule="auto"/>
        <w:ind w:firstLine="720"/>
      </w:pPr>
      <w:r>
        <w:t>Carnes and Lupu (2024) call for heightened attention to descriptive representation across various categories</w:t>
      </w:r>
      <w:r w:rsidR="00205AEE">
        <w:t xml:space="preserve"> and their intersection. The expansion of the penal state provides </w:t>
      </w:r>
      <w:r w:rsidR="00205AEE">
        <w:lastRenderedPageBreak/>
        <w:t xml:space="preserve">strong theoretical and empirical reason to treat carceral citizens – those directly incarcerated, under community supervision, and those proximally impacted through family, neighborhood, repeated police contact, and victimization – as a group that fits established criteria for heightened representational relevance. </w:t>
      </w:r>
      <w:r w:rsidR="008763DC">
        <w:t xml:space="preserve">Over the past four decades, the carceral state has grown into one of the most expansive governing institutions in American life, touching nearly 7 million people at any given time and millions more through arrest, surveillance, and conviction (Western 2006; Wildeman &amp; Muller 2012). As Lerman and Weaver argue (2014), carceral contact has become a central, visible point of contact that produces myriad negative and accumulating feedback effects. Confinement, exposure to violence and stress inside facilities, disrupted access to care, and post-release instability generates myriad physical and mental health problems (Massoglia &amp; Pridemore 2015, Lee at al 2014, Johnson &amp; Rapheal 2009); stigma, disrupted earnings, and time out of the work force reduces callback rates, lowers wages, and reduces overall lifetime earnings (Western 2006, Western &amp; Pettit 2005, Pager 2003, 2007). Carceral contact produces housing instability (Geller &amp; Curtis) that, compounded with legal and financial extraction (Harris 2016) maintain financial precarity and generate increased public assistance needs just as carceral contact removes access to public benefits (CITE). </w:t>
      </w:r>
    </w:p>
    <w:p w14:paraId="73071474" w14:textId="359ABF9B" w:rsidR="00986478" w:rsidRDefault="008763DC" w:rsidP="008763DC">
      <w:pPr>
        <w:spacing w:line="360" w:lineRule="auto"/>
        <w:ind w:firstLine="720"/>
      </w:pPr>
      <w:r>
        <w:t xml:space="preserve"> </w:t>
      </w:r>
      <w:r w:rsidRPr="008763DC">
        <w:t>These effects are not confined to those formally incarcerated. The political science, sociological, and economic literatures on collateral consequences document how incarceration reverberates through intimate partners, children, and communities—depressing wealth accumulation, destabilizing housing, disrupting education, eroding health, and weakening social ties (Wakefield &amp; Wildeman 2013; Wildeman &amp; Lee 2021; Brew, Alani, &amp; Wildeman 2022). Nearly one in four Black children will experience parental incarceration before adolescence; millions of women experience incarceration indirectly through partners or sons; and entire neighborhoods cycle residents through surveillance and confinement. Even victims of crime are governed primarily through punitive institutions and encounter the state through carceral channels, placing them within the same governing architecture.</w:t>
      </w:r>
    </w:p>
    <w:p w14:paraId="0246EBBC" w14:textId="77777777" w:rsidR="00AC5462" w:rsidRDefault="00AC5462" w:rsidP="00E451D6"/>
    <w:p w14:paraId="6EE285A0" w14:textId="59EFB2F0" w:rsidR="00986478" w:rsidRPr="00AC5462" w:rsidRDefault="00986478" w:rsidP="00E451D6">
      <w:pPr>
        <w:rPr>
          <w:b/>
          <w:bCs/>
        </w:rPr>
      </w:pPr>
      <w:r w:rsidRPr="00AC5462">
        <w:rPr>
          <w:b/>
          <w:bCs/>
        </w:rPr>
        <w:lastRenderedPageBreak/>
        <w:t>P</w:t>
      </w:r>
      <w:proofErr w:type="gramStart"/>
      <w:r w:rsidRPr="00AC5462">
        <w:rPr>
          <w:b/>
          <w:bCs/>
        </w:rPr>
        <w:t xml:space="preserve">6 </w:t>
      </w:r>
      <w:r w:rsidR="00AC5462">
        <w:rPr>
          <w:b/>
          <w:bCs/>
        </w:rPr>
        <w:t xml:space="preserve"> -</w:t>
      </w:r>
      <w:proofErr w:type="gramEnd"/>
      <w:r w:rsidR="00AC5462">
        <w:rPr>
          <w:b/>
          <w:bCs/>
        </w:rPr>
        <w:t xml:space="preserve"> who they are</w:t>
      </w:r>
    </w:p>
    <w:p w14:paraId="2E46159C" w14:textId="1404E617" w:rsidR="00986478" w:rsidRDefault="00174ED0" w:rsidP="00E451D6">
      <w:r>
        <w:tab/>
        <w:t xml:space="preserve">[Transition reminding of the framework for special groups]. </w:t>
      </w:r>
    </w:p>
    <w:p w14:paraId="42D91AE2" w14:textId="5C93C128" w:rsidR="00205AEE" w:rsidRDefault="00174ED0" w:rsidP="00DF638A">
      <w:pPr>
        <w:spacing w:line="360" w:lineRule="auto"/>
        <w:ind w:firstLine="720"/>
      </w:pPr>
      <w:r>
        <w:t>Moreover, t</w:t>
      </w:r>
      <w:r w:rsidRPr="00174ED0">
        <w:t>he effects of the carceral state are not evenly distributed across the population but are highly concentrated by race, class, age, and place, rendering carceral citizenship a structurally bounded constituency rather than a diffuse condition. Race, age, and class are all highly predictive of being subject to aggressive surveillance and punishment, with Black and Latino Americans—especially young men—vastly more likely to experience policing, arrest, detention, incarceration, and supervision (Gelman, Fagan, and Kiss 2007; Baumgartner, Epp, and Shoub 2018; Davenport, Soule, and Armstrong 2011). More than one quarter of Black men from prison-boom cohorts have been incarcerated, and among Black male high school dropouts born after the mid-1970s, nearly 68 percent have been imprisoned (Western and Pettit 2010). Nearly one in four Black children will experience parental incarceration before age fourteen (Wildeman 2009), and 44 percent of Black women report having an immediate family member incarcerated, compared to 12 percent of white women (Lee et al. 2015). These patterns are layered onto existing class stratification: the nearly two million people incarcerated in the United States are almost uniformly working class and disproportionately Black or Latino/a—groups already least represented in state and federal government (Carnes 2013, 2015, 2018). The “punitive turn” (Wacquant 2009) and mass incarceration thus do not merely reflect preexisting inequality—they compound and institutionalize it. Because incarceration and supervision are spatially clustered, these harms are collective and place-based: the collateral damage to African American communities cannot be captured by aggregating individual effects (Roberts 2004), as neighborhoods saturated by imprisonment</w:t>
      </w:r>
      <w:r>
        <w:t xml:space="preserve"> may</w:t>
      </w:r>
      <w:r w:rsidRPr="00174ED0">
        <w:t xml:space="preserve"> lose political </w:t>
      </w:r>
      <w:r>
        <w:t>power</w:t>
      </w:r>
      <w:r w:rsidRPr="00174ED0">
        <w:t xml:space="preserve">, economic stability, and social capital. </w:t>
      </w:r>
      <w:r>
        <w:t xml:space="preserve">Moreover, these disparities reflect </w:t>
      </w:r>
      <w:r w:rsidRPr="00174ED0">
        <w:t>a broader racialized political culture in which crime coverage privileges white victims and penalizes Black Americans (Dixon and Linz 2000a; Bjornstrom et al. 2011), juries seek mitigating information for white but not Black defendants (Levinson 2007), Black defendants are assumed more culpable and sentenced more harshly (</w:t>
      </w:r>
      <w:proofErr w:type="spellStart"/>
      <w:r w:rsidRPr="00174ED0">
        <w:t>Rehavi</w:t>
      </w:r>
      <w:proofErr w:type="spellEnd"/>
      <w:r w:rsidRPr="00174ED0">
        <w:t xml:space="preserve"> and Starr 2014), and even Black victims are assigned greater responsibility for their own harm </w:t>
      </w:r>
      <w:r w:rsidRPr="00174ED0">
        <w:lastRenderedPageBreak/>
        <w:t>(Donovan 2007; Israel-Trummel and Streeter 2021). Across policy domains—from welfare to policing—race shapes perceptions of deservingness and culpability (</w:t>
      </w:r>
      <w:proofErr w:type="spellStart"/>
      <w:r w:rsidRPr="00174ED0">
        <w:t>Gilens</w:t>
      </w:r>
      <w:proofErr w:type="spellEnd"/>
      <w:r w:rsidRPr="00174ED0">
        <w:t xml:space="preserve"> 1996; Soss et al. 2011; Israel-Trummel 2022), embedding punishment within longstanding narratives that criminalize Blackness (Alexander 2010; Smiley 2017). </w:t>
      </w:r>
      <w:r>
        <w:t xml:space="preserve">Carceral citizenship may in turn be best understood as part </w:t>
      </w:r>
      <w:r w:rsidRPr="00174ED0">
        <w:t>a racialized and spatially concentrated regime of governance that layers carceral exposure atop existing inequalities in representation and political voice</w:t>
      </w:r>
      <w:r>
        <w:t>.</w:t>
      </w:r>
    </w:p>
    <w:p w14:paraId="0264A81E" w14:textId="2250DE70" w:rsidR="00986478" w:rsidRPr="000B30FA" w:rsidRDefault="00986478" w:rsidP="00E451D6">
      <w:pPr>
        <w:rPr>
          <w:b/>
          <w:bCs/>
        </w:rPr>
      </w:pPr>
      <w:r w:rsidRPr="000B30FA">
        <w:rPr>
          <w:b/>
          <w:bCs/>
        </w:rPr>
        <w:t xml:space="preserve">P7 </w:t>
      </w:r>
      <w:r w:rsidR="000B30FA">
        <w:rPr>
          <w:b/>
          <w:bCs/>
        </w:rPr>
        <w:t>– Likely unrepresented</w:t>
      </w:r>
    </w:p>
    <w:p w14:paraId="010909BD" w14:textId="77777777" w:rsidR="005A41B1" w:rsidRDefault="005A41B1" w:rsidP="00E451D6">
      <w:r>
        <w:t>[Mansbridge/framework transition]</w:t>
      </w:r>
    </w:p>
    <w:p w14:paraId="6FA94A45" w14:textId="319786C8" w:rsidR="005A41B1" w:rsidRDefault="005A41B1" w:rsidP="005A41B1">
      <w:pPr>
        <w:spacing w:line="360" w:lineRule="auto"/>
        <w:ind w:firstLine="720"/>
      </w:pPr>
      <w:r>
        <w:t xml:space="preserve">These groups are likely unrepresented in governing institutions. </w:t>
      </w:r>
      <w:r w:rsidRPr="005A41B1">
        <w:t>At the most basic level, millions of Americans are formally excluded from electoral participation. An estimated four million people were excluded from the 2024 elections through de jure disenfranchisement while incarcerated on felony convictions, or while on probation or parole — a figure that does not include the unknown number who fear or mistakenly believe they have been permanently disenfranchised (</w:t>
      </w:r>
      <w:proofErr w:type="spellStart"/>
      <w:r w:rsidRPr="005A41B1">
        <w:t>Uggen</w:t>
      </w:r>
      <w:proofErr w:type="spellEnd"/>
      <w:r w:rsidRPr="005A41B1">
        <w:t xml:space="preserve">, Willen, &amp; Larson 2024). Scholars have demonstrated that these disenfranchisement policies disproportionately target Black political power (Hinton &amp; Cook 2021) and function as a component of mass incarceration's broader distortion of American democracy and racialized social control (Beckett &amp; Western 2001; Simon 2007; Wacquant 2010). Even where the law formally permits participation, the state frequently fails to make participation possible: in September 2024, California's governor vetoed legislation aimed at ending the de facto disenfranchisement of eligible incarcerated voters, who lack any meaningful or systematized means of casting a counted ballot from jail. These Californians comprised the largest share of an estimated 500,000 people nationally who were unconstitutionally kept from participating in the subsequent elections (Wang 2024). Beyond the ballot, prisons and jails impose direct restrictions on the capacities that democratic participation requires — constraining movement, speech, association, and communication through censored mail, restricted phone access, and exclusion from public or legislative forums. These are not incidental features of incarceration; they are constitutive of institutions that, </w:t>
      </w:r>
      <w:r w:rsidRPr="005A41B1">
        <w:lastRenderedPageBreak/>
        <w:t>as Lerman and Weaver (2014) argue, have "broken significantly with the fundamental norms that define democratic institutions" by restricting citizen voice, undermining equality, and insulating state actors from accountability.</w:t>
      </w:r>
    </w:p>
    <w:p w14:paraId="5D05435F" w14:textId="1781E417" w:rsidR="005A41B1" w:rsidRDefault="005A41B1" w:rsidP="005A41B1">
      <w:pPr>
        <w:spacing w:line="360" w:lineRule="auto"/>
        <w:ind w:firstLine="720"/>
      </w:pPr>
      <w:r w:rsidRPr="005A41B1">
        <w:t xml:space="preserve">Contact with criminal justice institutions also generates powerful negative policy </w:t>
      </w:r>
      <w:proofErr w:type="gramStart"/>
      <w:r w:rsidRPr="005A41B1">
        <w:t>feedbacks</w:t>
      </w:r>
      <w:proofErr w:type="gramEnd"/>
      <w:r w:rsidRPr="005A41B1">
        <w:t xml:space="preserve"> that extend democratic exclusion well beyond the prison walls. Lerman and Weaver (2014) demonstrate that carceral contact </w:t>
      </w:r>
      <w:r>
        <w:t>“</w:t>
      </w:r>
      <w:r w:rsidRPr="005A41B1">
        <w:t>produces extreme mistrust of political institutions and public officials,</w:t>
      </w:r>
      <w:r>
        <w:t>”</w:t>
      </w:r>
      <w:r w:rsidRPr="005A41B1">
        <w:t xml:space="preserve"> diminishes citizens</w:t>
      </w:r>
      <w:r>
        <w:t>’</w:t>
      </w:r>
      <w:r w:rsidRPr="005A41B1">
        <w:t xml:space="preserve"> sense that they can influence politics, and teaches them </w:t>
      </w:r>
      <w:r>
        <w:t>“</w:t>
      </w:r>
      <w:r w:rsidRPr="005A41B1">
        <w:t>to stay in the shadows and to be wary of public authority.</w:t>
      </w:r>
      <w:r>
        <w:t>”</w:t>
      </w:r>
      <w:r w:rsidRPr="005A41B1">
        <w:t xml:space="preserve"> Rather than cultivating efficacy or civic incorporation, as benefits-conferring programs may do, the punitive face of the state socializes individuals toward alienation, withdrawal, and redefined expectations of state authority — what Lerman and Weaver term </w:t>
      </w:r>
      <w:r>
        <w:t>“</w:t>
      </w:r>
      <w:r w:rsidRPr="005A41B1">
        <w:t>custodial citizenship.</w:t>
      </w:r>
      <w:r>
        <w:t>”</w:t>
      </w:r>
      <w:r w:rsidRPr="005A41B1">
        <w:t xml:space="preserve"> While scholars have identified important exceptions, particularly in mobilization through proximal contact and perceptions of injustice (Walker 2020; Walker &amp; García-</w:t>
      </w:r>
      <w:proofErr w:type="spellStart"/>
      <w:r w:rsidRPr="005A41B1">
        <w:t>Castañón</w:t>
      </w:r>
      <w:proofErr w:type="spellEnd"/>
      <w:r w:rsidRPr="005A41B1">
        <w:t xml:space="preserve"> 2017; Owens &amp; Walker 2018), the predominant finding is that criminal legal contact depresses political participation across a range of behaviors (Burch 2011; Gerber et al. 2017; </w:t>
      </w:r>
      <w:proofErr w:type="spellStart"/>
      <w:r w:rsidRPr="005A41B1">
        <w:t>Haselswerdt</w:t>
      </w:r>
      <w:proofErr w:type="spellEnd"/>
      <w:r w:rsidRPr="005A41B1">
        <w:t xml:space="preserve"> 2009; Weaver &amp; Lerman 2010; White &amp; Nguyen 2021). </w:t>
      </w:r>
      <w:r>
        <w:t>Like others</w:t>
      </w:r>
      <w:r w:rsidRPr="005A41B1">
        <w:t>, these effects are not confined to those who are or have been incarcerated. They extend to families, social networks, and communities disproportionately targeted by policing and surveillance, where incarceration weakens social ties, collective efficacy, and organizational capacity (White 2019; Burch 2013; Clear 2009)</w:t>
      </w:r>
      <w:r>
        <w:t xml:space="preserve"> – although scholarship increasingly highlights that proximal or community contact or targeting can generate mobilization (</w:t>
      </w:r>
      <w:proofErr w:type="spellStart"/>
      <w:r>
        <w:t>Anoll</w:t>
      </w:r>
      <w:proofErr w:type="spellEnd"/>
      <w:r>
        <w:t>, Walker). Still, t</w:t>
      </w:r>
      <w:r w:rsidRPr="005A41B1">
        <w:t xml:space="preserve">he cumulative result </w:t>
      </w:r>
      <w:r>
        <w:t>may be</w:t>
      </w:r>
      <w:r w:rsidRPr="005A41B1">
        <w:t xml:space="preserve"> that carceral citizens are rendered systematically unlikely to appear in the channels that legislators rely on to perceive and respond to constituencies — voting, organized advocacy, routine constituent contact, or interest group representation — even as they are among those most governed by the state.</w:t>
      </w:r>
    </w:p>
    <w:p w14:paraId="6432999A" w14:textId="77777777" w:rsidR="00790F56" w:rsidRDefault="005A41B1" w:rsidP="005A41B1">
      <w:pPr>
        <w:spacing w:line="360" w:lineRule="auto"/>
        <w:ind w:firstLine="720"/>
      </w:pPr>
      <w:r w:rsidRPr="005A41B1">
        <w:t xml:space="preserve">This combination of formal exclusion, negative policy feedback, and spatially concentrated political suppression maps directly onto the conditions under which descriptive representation is most consequential. Carceral citizens satisfy each of </w:t>
      </w:r>
      <w:r w:rsidRPr="005A41B1">
        <w:lastRenderedPageBreak/>
        <w:t>Mansbridge's criteria: they are proportionally underrepresented relative to their population share; they face historical and ongoing legal exclusion from voting and self-governance; and dominant groups have actively made it difficult for them to represent themselves.</w:t>
      </w:r>
    </w:p>
    <w:p w14:paraId="268DFCF1" w14:textId="7E24B8A1" w:rsidR="005A41B1" w:rsidRDefault="00790F56" w:rsidP="005A41B1">
      <w:pPr>
        <w:spacing w:line="360" w:lineRule="auto"/>
        <w:ind w:firstLine="720"/>
      </w:pPr>
      <w:r>
        <w:t>However, c</w:t>
      </w:r>
      <w:r w:rsidR="005A41B1" w:rsidRPr="005A41B1">
        <w:t xml:space="preserve">ustodial citizenship </w:t>
      </w:r>
      <w:r w:rsidR="005A41B1" w:rsidRPr="005A41B1">
        <w:rPr>
          <w:i/>
          <w:iCs/>
        </w:rPr>
        <w:t>is</w:t>
      </w:r>
      <w:r w:rsidR="005A41B1" w:rsidRPr="005A41B1">
        <w:t xml:space="preserve"> communicative distrust — carceral contact teaches that engagement with the state invites punishment rather than responsiveness, generating precisely the alienation and wariness that Mansbridge argues shared experience can bridge. The social constructions of incarcerated people as unrepentant, unredeemable, and dangerous (Schneider &amp; Ingram 1993; Maltby &amp; Kreitzer 2023) function as challenges to "ability to rule" in Mansbridge's sense — reinforcing the message that such persons are unfit not merely for self-governance but for full citizenship, a message whose disruption requires the visible presence of those who have been so marked. And the exclusion of those most governed by the punitive state from the democratic processes that shape that state constitutes a legitimacy deficit of the kind Mansbridge's fourth context describes: a polity that systematically excludes the people most directly affected by one of its most coercive functions cannot credibly claim that all voices were present in deliberation. </w:t>
      </w:r>
      <w:r>
        <w:t xml:space="preserve">Here, </w:t>
      </w:r>
      <w:r w:rsidR="005A41B1" w:rsidRPr="005A41B1">
        <w:t xml:space="preserve">the absence of </w:t>
      </w:r>
      <w:proofErr w:type="spellStart"/>
      <w:r>
        <w:t>carcertal</w:t>
      </w:r>
      <w:proofErr w:type="spellEnd"/>
      <w:r>
        <w:t xml:space="preserve"> citizens </w:t>
      </w:r>
      <w:r w:rsidR="005A41B1" w:rsidRPr="005A41B1">
        <w:t xml:space="preserve">from </w:t>
      </w:r>
      <w:r>
        <w:t xml:space="preserve">policymaking bodies may </w:t>
      </w:r>
      <w:r w:rsidR="005A41B1" w:rsidRPr="005A41B1">
        <w:t>reflect not a failure of individual ambition but the accumulated weight of institutional barriers, sedimented cultures of exclusion, and persistent bias, that absence is itself an indicator of representational distortion</w:t>
      </w:r>
      <w:r>
        <w:t xml:space="preserve"> (Clayton). </w:t>
      </w:r>
    </w:p>
    <w:p w14:paraId="6AA2DDF1" w14:textId="4E5B18D3" w:rsidR="00790F56" w:rsidRPr="005A41B1" w:rsidRDefault="00790F56" w:rsidP="00790F56">
      <w:pPr>
        <w:spacing w:line="360" w:lineRule="auto"/>
        <w:rPr>
          <w:b/>
          <w:bCs/>
        </w:rPr>
      </w:pPr>
      <w:r>
        <w:rPr>
          <w:b/>
          <w:bCs/>
        </w:rPr>
        <w:t>Transitioning to Expectations</w:t>
      </w:r>
    </w:p>
    <w:p w14:paraId="302D8078" w14:textId="2951E8EA" w:rsidR="005A41B1" w:rsidRPr="005A41B1" w:rsidRDefault="005A41B1" w:rsidP="005A41B1">
      <w:pPr>
        <w:spacing w:line="360" w:lineRule="auto"/>
        <w:ind w:firstLine="720"/>
      </w:pPr>
      <w:r w:rsidRPr="005A41B1">
        <w:t xml:space="preserve">Yet the depth of the representational challenge facing carceral citizens </w:t>
      </w:r>
      <w:r w:rsidR="00790F56">
        <w:t>may exceed</w:t>
      </w:r>
      <w:r w:rsidRPr="005A41B1">
        <w:t xml:space="preserve"> Mansbridge's framework, applied straightforwardl</w:t>
      </w:r>
      <w:r w:rsidR="00790F56">
        <w:t>y</w:t>
      </w:r>
      <w:r w:rsidRPr="005A41B1">
        <w:t xml:space="preserve">. The interests of people impacted by incarceration are not uncrystallized in the sense that no one has thought about them or that they await a political entrepreneur to bring them to the agenda. Communities facing sustained contact with the carceral state have developed rich, internally coherent political knowledge — articulated understandings of state power, shared vocabularies for making sense of punishment and citizenship, what Weaver, Prowse, and Piston (2020) describe as theories of the state "from below." But this knowledge is not granted standing in elite </w:t>
      </w:r>
      <w:r w:rsidRPr="005A41B1">
        <w:lastRenderedPageBreak/>
        <w:t xml:space="preserve">political discourse. It appears uncrystallized because the resonance imperative — the structural incentive for legislators to articulate problems and solutions in terms that cohere with strategically valuable constituencies' existing understandings — gives policymakers no reason to adopt or legitimate the vocabularies through which carceral experiences are understood. Incarcerated people, who cannot vote, face barriers to other forms of political expression, and are racially stigmatized, sit at the bottom of what Pottle (2025) calls the hermeneutic economy of legislative communication. Their knowledge </w:t>
      </w:r>
      <w:r w:rsidR="00790F56">
        <w:t>may be</w:t>
      </w:r>
      <w:r w:rsidRPr="005A41B1">
        <w:t xml:space="preserve"> hermeneutically suppressed: sidelined not because it lacks coherence or political relevance, but because it was already outside a mainstream political vocabulary defined by the epistemic preferences of advantaged constituencies. The result is that even well-intentioned legislators may avoid invoking incarcerated residents as constituents because doing so risks antagonizing moderate white voters — and when they do engage criminal legal reform, they may do so through vocabularies engineered for advantaged audiences, emphasizing efficiency, cost savings, or redemption narratives rather than centering the perspectives of those who have lived inside the system. This is what Pottle terms hollow signaling: symbolic gestures toward reform that coexist with a refusal to integrate the knowledge, experiences, or political claims of directly impacted communities.</w:t>
      </w:r>
    </w:p>
    <w:p w14:paraId="5CA64A0B" w14:textId="2F3D0CF9" w:rsidR="005A41B1" w:rsidRPr="005A41B1" w:rsidRDefault="005A41B1" w:rsidP="005A41B1">
      <w:pPr>
        <w:spacing w:line="360" w:lineRule="auto"/>
        <w:ind w:firstLine="720"/>
      </w:pPr>
      <w:r w:rsidRPr="005A41B1">
        <w:t xml:space="preserve">The testimonial dimension compounds this exclusion. Carceral citizens are not merely absent from political discourse; they are actively constructed as uncredible within it. The same social constructions that mark incarcerated people as undeserving of policy generosity </w:t>
      </w:r>
      <w:r w:rsidR="00790F56">
        <w:t xml:space="preserve">may </w:t>
      </w:r>
      <w:r w:rsidRPr="005A41B1">
        <w:t xml:space="preserve">also mark them as untrustworthy narrators of their own political experience — their testimony about conditions of confinement, about the effects of punishment on families and communities, about what justice requires, is filtered through credibility judgments shaped by the political vocabulary that constructs them as dangerous, deviant, or dishonest. Within the infrastructure of legislative responsiveness, their communications </w:t>
      </w:r>
      <w:r w:rsidR="00790F56">
        <w:t>may not</w:t>
      </w:r>
      <w:r w:rsidRPr="005A41B1">
        <w:t xml:space="preserve"> receive the same epistemic weight as those of strategically valuable constituencies. </w:t>
      </w:r>
      <w:r w:rsidR="00790F56">
        <w:t xml:space="preserve">Moreover, </w:t>
      </w:r>
      <w:r w:rsidRPr="005A41B1">
        <w:t xml:space="preserve">descriptive representatives </w:t>
      </w:r>
      <w:r w:rsidR="00790F56">
        <w:t>may</w:t>
      </w:r>
      <w:r w:rsidRPr="005A41B1">
        <w:t xml:space="preserve"> not </w:t>
      </w:r>
      <w:r w:rsidR="00790F56">
        <w:t>be i</w:t>
      </w:r>
      <w:r w:rsidRPr="005A41B1">
        <w:t xml:space="preserve">mmune to these pressures. Legislators of color, who might be expected to bring experiential proximity to carceral communities, may face even greater pressure toward deracialization and </w:t>
      </w:r>
      <w:r w:rsidRPr="005A41B1">
        <w:lastRenderedPageBreak/>
        <w:t>distancing from stigmatized issues — pressure to signal, implicitly or explicitly, that they will not disrupt the racial hierarchy (Stephens-Dougan 2020). Descriptive congruence does not straightforwardly translate into discursive recognition when the electoral connection itself incentivizes silence about the communities most affected by state punishment. The representational slope for carceral citizens is thus steep not only because they lack electoral power, but because electoral structures distribute epistemic authority in ways that determine whose experiences count as politically relevant knowledge, whose claims are treated as legitimate testimony, and whose vocabulary is politically intelligible — and on each dimension, those most impacted by the carceral state are systematically disadvantaged.</w:t>
      </w:r>
    </w:p>
    <w:p w14:paraId="587381E3" w14:textId="77777777" w:rsidR="005A41B1" w:rsidRDefault="005A41B1" w:rsidP="005A41B1">
      <w:pPr>
        <w:spacing w:line="360" w:lineRule="auto"/>
        <w:ind w:firstLine="720"/>
      </w:pPr>
    </w:p>
    <w:p w14:paraId="5A9ABF06" w14:textId="77777777" w:rsidR="005A41B1" w:rsidRDefault="005A41B1" w:rsidP="005A41B1">
      <w:pPr>
        <w:spacing w:line="360" w:lineRule="auto"/>
        <w:ind w:firstLine="720"/>
      </w:pPr>
    </w:p>
    <w:p w14:paraId="6195B45E" w14:textId="1685A00F" w:rsidR="005A41B1" w:rsidRDefault="008F7450" w:rsidP="005A41B1">
      <w:pPr>
        <w:spacing w:line="360" w:lineRule="auto"/>
        <w:ind w:firstLine="720"/>
      </w:pPr>
      <w:r>
        <w:t>scratch</w:t>
      </w:r>
    </w:p>
    <w:p w14:paraId="14B83D2A" w14:textId="2584B891" w:rsidR="008763DC" w:rsidRDefault="008763DC" w:rsidP="00E451D6">
      <w:r>
        <w:t xml:space="preserve">, the carceral state has become a central point of contact between citizens and their </w:t>
      </w:r>
      <w:proofErr w:type="gramStart"/>
      <w:r>
        <w:t>government, and</w:t>
      </w:r>
      <w:proofErr w:type="gramEnd"/>
      <w:r>
        <w:t xml:space="preserve"> contact with criminal justice institutions “produces extreme mistrust of political institutions and public officials,” diminishes citizens’ sense that they can influence politics, and teaches them “to stay in the shadows and to be wary of public authority.” Carceral contact thus functions as </w:t>
      </w:r>
      <w:proofErr w:type="gramStart"/>
      <w:r>
        <w:t>a negative policy feedback</w:t>
      </w:r>
      <w:proofErr w:type="gramEnd"/>
      <w:r>
        <w:t>: rather than cultivating efficacy or civic incorporation, it generates alienation, withdrawal, and redefined expectations of state authority (Lerman &amp; Weaver 2014).</w:t>
      </w:r>
    </w:p>
    <w:p w14:paraId="0EF2CECB" w14:textId="77777777" w:rsidR="008763DC" w:rsidRDefault="008763DC" w:rsidP="00E451D6"/>
    <w:p w14:paraId="0B60B993" w14:textId="7B0F245C" w:rsidR="000B30FA" w:rsidRDefault="009E1C32" w:rsidP="00E451D6">
      <w:r>
        <w:t>These same institutional features that situate carceral citizens as a distinctive constituency also make them especially likely to be underrepresented or flatly excluded from democratic politics</w:t>
      </w:r>
      <w:r w:rsidR="000B30FA">
        <w:t xml:space="preserve">, as </w:t>
      </w:r>
      <w:r>
        <w:t>criminal justice institutions break “significantly with the fundamental norms that define democratic institutions” (</w:t>
      </w:r>
      <w:r w:rsidR="000B30FA">
        <w:t>Lerman &amp; Weaver 2014</w:t>
      </w:r>
      <w:r>
        <w:t xml:space="preserve">). </w:t>
      </w:r>
      <w:r w:rsidR="000B30FA">
        <w:t xml:space="preserve">Most obviously, whether to punish or rehabilitate, prisons and jails impose restrictions on the politically expression </w:t>
      </w:r>
    </w:p>
    <w:p w14:paraId="333597FA" w14:textId="6C22BAAF" w:rsidR="009E1C32" w:rsidRDefault="009E1C32" w:rsidP="00E451D6">
      <w:r>
        <w:t xml:space="preserve"> restrict political voice, undermine equality, and insulate state actors from accountability. </w:t>
      </w:r>
    </w:p>
    <w:p w14:paraId="5FD4429A" w14:textId="5AB338A9" w:rsidR="009E1C32" w:rsidRDefault="009E1C32" w:rsidP="00E451D6">
      <w:r>
        <w:t xml:space="preserve">Prisons and jails are definitionally repressive institutions: they constrain movement, speech, and bodily autonomy and limit access to the ballot through </w:t>
      </w:r>
      <w:r>
        <w:rPr>
          <w:i/>
          <w:iCs/>
        </w:rPr>
        <w:t>de jure</w:t>
      </w:r>
      <w:r>
        <w:t xml:space="preserve"> and </w:t>
      </w:r>
      <w:r>
        <w:rPr>
          <w:i/>
          <w:iCs/>
        </w:rPr>
        <w:t xml:space="preserve">de facto </w:t>
      </w:r>
      <w:r>
        <w:lastRenderedPageBreak/>
        <w:t xml:space="preserve">disenfranchisement. Moreover, they impose barriers to political expression through restrictions on communication – restricted phone calls and censored mail, association, and participation in public or legislative forums. </w:t>
      </w:r>
    </w:p>
    <w:p w14:paraId="7CDD5F65" w14:textId="52463608" w:rsidR="009E1C32" w:rsidRDefault="009E1C32" w:rsidP="00E451D6">
      <w:r>
        <w:t xml:space="preserve">Beyond formal exclusion, contact produces negative feedback effects. While scholars note exceptions, criminal legal contact socializes </w:t>
      </w:r>
      <w:proofErr w:type="spellStart"/>
      <w:r>
        <w:t>indivdiuals</w:t>
      </w:r>
      <w:proofErr w:type="spellEnd"/>
      <w:r>
        <w:t xml:space="preserve"> and communities to view the state as adversarial and unresponsive, generating mistrust, withdrawal, and avoidance or political engagement. And here too, effects are not confined to those currently incarcerated but rather extend to families, social networks, and communities that are disproportionately targeted by policing and surveillance, where incarceration weakens social ties, collective efficacy, and organizational capacity (). </w:t>
      </w:r>
    </w:p>
    <w:p w14:paraId="4183DB12" w14:textId="0FE401BD" w:rsidR="009E1C32" w:rsidRDefault="009E1C32" w:rsidP="00E451D6">
      <w:r>
        <w:t xml:space="preserve">In turn, carceral citizens are rendered systematically unlikely to appear in the channels that legislators rely on to perceive and respond to constituencies – voting, organized advocacy, routine constituent contact, or interest group representation – even as they are among those most </w:t>
      </w:r>
      <w:proofErr w:type="spellStart"/>
      <w:r>
        <w:t>goverened</w:t>
      </w:r>
      <w:proofErr w:type="spellEnd"/>
      <w:r>
        <w:t xml:space="preserve"> by the state. </w:t>
      </w:r>
    </w:p>
    <w:p w14:paraId="1D098E1D" w14:textId="3A778E2D" w:rsidR="009E1C32" w:rsidRPr="009E1C32" w:rsidRDefault="009E1C32" w:rsidP="00E451D6">
      <w:r>
        <w:t xml:space="preserve">In other words, this combination of repression, negative policy feedback, and spatially concentrated exclusion means that underrepresentation is not incidental but institutionally produced – at risk of rendering carceral citizens invisible while positioning them as most </w:t>
      </w:r>
      <w:r w:rsidR="006F1100">
        <w:t>needing</w:t>
      </w:r>
      <w:r>
        <w:t xml:space="preserve"> of representation and inclusion in decisions about </w:t>
      </w:r>
      <w:r w:rsidR="006F1100">
        <w:t xml:space="preserve">punishment, rights, and social membership. </w:t>
      </w:r>
    </w:p>
    <w:p w14:paraId="00BA18EB" w14:textId="77777777" w:rsidR="00986478" w:rsidRDefault="00986478" w:rsidP="00986478"/>
    <w:p w14:paraId="61EFB80E" w14:textId="77777777" w:rsidR="00816D08" w:rsidRDefault="00816D08" w:rsidP="00986478"/>
    <w:p w14:paraId="0C589C4A"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Critically, Pottle demonstrates that descriptive representatives are not immune: legislators of color may face even greater pressure toward deracialization and distancing from stigmatized communities, such that descriptive congruence does not straightforwardly translate into discursive recognition. The communicative distrust Mansbridge identifies is, in this view, not only historical but structurally incentivized — and descriptive presence, while necessary, is not sufficient to overcome it.</w:t>
      </w:r>
    </w:p>
    <w:p w14:paraId="4F911828" w14:textId="77777777" w:rsidR="00816D08" w:rsidRPr="00986478" w:rsidRDefault="00816D08" w:rsidP="00986478"/>
    <w:p w14:paraId="5B2F0552" w14:textId="03760C0A" w:rsidR="00C1170E" w:rsidRDefault="00C1170E" w:rsidP="00C1170E">
      <w:pPr>
        <w:pStyle w:val="Heading2"/>
      </w:pPr>
      <w:r>
        <w:t>Heade</w:t>
      </w:r>
      <w:r w:rsidR="006C16E1">
        <w:t>r: Descriptive Representation XYZ</w:t>
      </w:r>
      <w:bookmarkEnd w:id="8"/>
    </w:p>
    <w:p w14:paraId="6BE872B2" w14:textId="70340BB2" w:rsidR="00963639" w:rsidRPr="00963639" w:rsidRDefault="00963639" w:rsidP="006C16E1">
      <w:r>
        <w:rPr>
          <w:b/>
          <w:bCs/>
        </w:rPr>
        <w:t xml:space="preserve">Paragraph trying to get this to start with descriptive </w:t>
      </w:r>
      <w:commentRangeStart w:id="10"/>
      <w:commentRangeStart w:id="11"/>
      <w:r>
        <w:rPr>
          <w:b/>
          <w:bCs/>
        </w:rPr>
        <w:t>representation</w:t>
      </w:r>
      <w:commentRangeEnd w:id="10"/>
      <w:r>
        <w:rPr>
          <w:rStyle w:val="CommentReference"/>
        </w:rPr>
        <w:commentReference w:id="10"/>
      </w:r>
      <w:commentRangeEnd w:id="11"/>
      <w:r>
        <w:rPr>
          <w:rStyle w:val="CommentReference"/>
        </w:rPr>
        <w:commentReference w:id="11"/>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lastRenderedPageBreak/>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w:t>
      </w:r>
      <w:proofErr w:type="spellStart"/>
      <w:r w:rsidR="00A273CB">
        <w:rPr>
          <w:rFonts w:ascii="Times New Roman" w:hAnsi="Times New Roman" w:cs="Times New Roman"/>
          <w:i/>
          <w:iCs/>
        </w:rPr>
        <w:t>xyz</w:t>
      </w:r>
      <w:proofErr w:type="spellEnd"/>
      <w:r w:rsidR="00A273CB">
        <w:rPr>
          <w:rFonts w:ascii="Times New Roman" w:hAnsi="Times New Roman" w:cs="Times New Roman"/>
          <w:i/>
          <w:iCs/>
        </w:rPr>
        <w:t xml:space="preserve"> </w:t>
      </w:r>
      <w:r w:rsidR="00A273CB" w:rsidRPr="00A273CB">
        <w:rPr>
          <w:rFonts w:ascii="Times New Roman" w:hAnsi="Times New Roman" w:cs="Times New Roman"/>
          <w:i/>
          <w:iCs/>
        </w:rPr>
        <w:t>reasons</w:t>
      </w:r>
      <w:r w:rsidR="009122D1">
        <w:rPr>
          <w:rFonts w:ascii="Times New Roman" w:hAnsi="Times New Roman" w:cs="Times New Roman"/>
          <w:i/>
          <w:iCs/>
        </w:rPr>
        <w:t xml:space="preserve">: policy responsiveness, service responsiveness, and symbolic/constituency-making </w:t>
      </w:r>
      <w:proofErr w:type="gramStart"/>
      <w:r w:rsidR="009122D1">
        <w:rPr>
          <w:rFonts w:ascii="Times New Roman" w:hAnsi="Times New Roman" w:cs="Times New Roman"/>
          <w:i/>
          <w:iCs/>
        </w:rPr>
        <w:t>stuff</w:t>
      </w:r>
      <w:r w:rsidR="00A273CB">
        <w:rPr>
          <w:rFonts w:ascii="Times New Roman" w:hAnsi="Times New Roman" w:cs="Times New Roman"/>
          <w:i/>
          <w:iCs/>
        </w:rPr>
        <w:t xml:space="preserve"> </w:t>
      </w:r>
      <w:r w:rsidR="00A273CB">
        <w:rPr>
          <w:rFonts w:ascii="Times New Roman" w:hAnsi="Times New Roman" w:cs="Times New Roman"/>
        </w:rPr>
        <w:t>]</w:t>
      </w:r>
      <w:proofErr w:type="gramEnd"/>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low-income communities. That these groups already bear the historical brunt of political 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argues that descriptive representation is particularly important under conditions of historical exclusion and unequal political voice (Mansbridge 1999 contingent defense. Descriptive rep should be response to structural inequality - </w:t>
      </w:r>
      <w:proofErr w:type="spellStart"/>
      <w:r w:rsidRPr="00240A6F">
        <w:rPr>
          <w:rFonts w:ascii="Times New Roman" w:hAnsi="Times New Roman" w:cs="Times New Roman"/>
        </w:rPr>
        <w:t>ie</w:t>
      </w:r>
      <w:proofErr w:type="spellEnd"/>
      <w:r w:rsidRPr="00240A6F">
        <w:rPr>
          <w:rFonts w:ascii="Times New Roman" w:hAnsi="Times New Roman" w:cs="Times New Roman"/>
        </w:rPr>
        <w:t xml:space="preserv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lastRenderedPageBreak/>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2"/>
      <w:commentRangeStart w:id="13"/>
      <w:commentRangeEnd w:id="12"/>
      <w:r>
        <w:rPr>
          <w:rStyle w:val="CommentReference"/>
        </w:rPr>
        <w:commentReference w:id="12"/>
      </w:r>
      <w:commentRangeEnd w:id="13"/>
      <w:r w:rsidR="00963639">
        <w:rPr>
          <w:rStyle w:val="CommentReference"/>
        </w:rPr>
        <w:commentReference w:id="13"/>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proofErr w:type="gramStart"/>
      <w:r>
        <w:t>Thus</w:t>
      </w:r>
      <w:proofErr w:type="gramEnd"/>
      <w:r>
        <w:t xml:space="preserve">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4"/>
      <w:r w:rsidR="00F759F4">
        <w:t>Kristina Miler () shows that in Congress, “surrogate” representation for poor constituencies</w:t>
      </w:r>
      <w:commentRangeEnd w:id="14"/>
      <w:r w:rsidR="00876A4C">
        <w:rPr>
          <w:rStyle w:val="CommentReference"/>
        </w:rPr>
        <w:commentReference w:id="14"/>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5" w:name="_Toc220591736"/>
      <w:r>
        <w:lastRenderedPageBreak/>
        <w:t>Section Header, Maybe Representation Beyond Responsiveness</w:t>
      </w:r>
      <w:bookmarkEnd w:id="15"/>
    </w:p>
    <w:p w14:paraId="1E9CAAC2" w14:textId="780A9FCB" w:rsidR="003D04AB" w:rsidRDefault="00E82284" w:rsidP="000A76EF">
      <w:pPr>
        <w:jc w:val="both"/>
      </w:pPr>
      <w:r>
        <w:t xml:space="preserve">However, political scientists have long recognized that representation </w:t>
      </w:r>
      <w:proofErr w:type="spellStart"/>
      <w:r>
        <w:t>encompases</w:t>
      </w:r>
      <w:proofErr w:type="spellEnd"/>
      <w:r>
        <w:t xml:space="preserve"> more than congruence between constituent preference and legislators’ roll-call votes. [</w:t>
      </w:r>
      <w:r>
        <w:rPr>
          <w:i/>
          <w:iCs/>
        </w:rPr>
        <w:t xml:space="preserve">maybe something that instead more directly transitions with Disch, or assumption undergirding descriptive – substantive connection?] </w:t>
      </w:r>
      <w:r>
        <w:t>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w:t>
      </w:r>
      <w:proofErr w:type="spellStart"/>
      <w:r>
        <w:t>Fenno</w:t>
      </w:r>
      <w:proofErr w:type="spellEnd"/>
      <w:r>
        <w:t xml:space="preserve">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w:t>
      </w:r>
      <w:proofErr w:type="spellStart"/>
      <w:r>
        <w:t>Kaprs</w:t>
      </w:r>
      <w:proofErr w:type="spellEnd"/>
      <w:r>
        <w:t xml:space="preserve">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6" w:name="_Toc220591737"/>
      <w:r>
        <w:t>Section Header, What We Know about Symbolic Representation</w:t>
      </w:r>
      <w:bookmarkEnd w:id="16"/>
    </w:p>
    <w:p w14:paraId="2785512F" w14:textId="77777777" w:rsidR="006C0245" w:rsidRDefault="006C0245" w:rsidP="000A76EF">
      <w:pPr>
        <w:jc w:val="both"/>
      </w:pPr>
    </w:p>
    <w:p w14:paraId="315D90C1" w14:textId="0D904CD3" w:rsidR="000A76EF" w:rsidRPr="001B48DC" w:rsidRDefault="00A56C15" w:rsidP="00A56C15">
      <w:pPr>
        <w:pStyle w:val="Heading1"/>
      </w:pPr>
      <w:bookmarkStart w:id="17" w:name="_Toc220591738"/>
      <w:r>
        <w:t xml:space="preserve">III. </w:t>
      </w:r>
      <w:r w:rsidR="001B48DC" w:rsidRPr="001B48DC">
        <w:t>Test 1</w:t>
      </w:r>
      <w:r>
        <w:t>: CJ-Impacted vs. Weird Publics and Criminal Legal Policy Preferences</w:t>
      </w:r>
      <w:bookmarkEnd w:id="17"/>
    </w:p>
    <w:p w14:paraId="1346C527" w14:textId="6437A90E" w:rsidR="001B48DC" w:rsidRDefault="00A56C15" w:rsidP="00A56C15">
      <w:pPr>
        <w:pStyle w:val="Heading2"/>
      </w:pPr>
      <w:bookmarkStart w:id="18" w:name="_Toc220591739"/>
      <w:r>
        <w:t>3.1 (Theory) Policy Feedback, Experience, and Political Reasoning</w:t>
      </w:r>
      <w:bookmarkEnd w:id="18"/>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19" w:name="_Toc220591740"/>
      <w:r>
        <w:t>3.2 (Theory) Experience as Political Knowledge</w:t>
      </w:r>
      <w:bookmarkEnd w:id="19"/>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 xml:space="preserve">Weaver – not just distinct policy </w:t>
      </w:r>
      <w:proofErr w:type="spellStart"/>
      <w:r>
        <w:t>prefs</w:t>
      </w:r>
      <w:proofErr w:type="spellEnd"/>
      <w:r>
        <w:t xml:space="preserve">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20" w:name="_Toc220591741"/>
      <w:r>
        <w:lastRenderedPageBreak/>
        <w:t>3.3 (Hypotheses/Expectations)</w:t>
      </w:r>
      <w:bookmarkEnd w:id="20"/>
    </w:p>
    <w:p w14:paraId="2A216853" w14:textId="7282B5C1" w:rsidR="00A56C15" w:rsidRPr="00A56C15" w:rsidRDefault="00A56C15" w:rsidP="00B56A00">
      <w:pPr>
        <w:pStyle w:val="Heading2"/>
      </w:pPr>
      <w:bookmarkStart w:id="21" w:name="_Toc220591742"/>
      <w:r>
        <w:t>3..4 (Data</w:t>
      </w:r>
      <w:r w:rsidR="00B56A00">
        <w:t>/Design)</w:t>
      </w:r>
      <w:bookmarkEnd w:id="21"/>
    </w:p>
    <w:p w14:paraId="03FAFA55" w14:textId="6C61D0FF" w:rsidR="001B48DC" w:rsidRPr="001B48DC" w:rsidRDefault="00A56C15" w:rsidP="00A56C15">
      <w:pPr>
        <w:pStyle w:val="Heading1"/>
      </w:pPr>
      <w:bookmarkStart w:id="22" w:name="_Toc220591743"/>
      <w:r>
        <w:t xml:space="preserve">IV. </w:t>
      </w:r>
      <w:r w:rsidR="001B48DC" w:rsidRPr="001B48DC">
        <w:t>Test 2</w:t>
      </w:r>
      <w:r>
        <w:t>: Descriptive and Substantive Representation of Carceral Constituencies</w:t>
      </w:r>
      <w:bookmarkEnd w:id="22"/>
    </w:p>
    <w:p w14:paraId="10924C90" w14:textId="2E15643C" w:rsidR="00B56A00" w:rsidRDefault="00B56A00" w:rsidP="00B56A00">
      <w:pPr>
        <w:pStyle w:val="Heading2"/>
      </w:pPr>
      <w:bookmarkStart w:id="23" w:name="_Toc220591744"/>
      <w:r>
        <w:t>4.1 (Theory) Do We Care Who Our Legislators Are?</w:t>
      </w:r>
      <w:bookmarkEnd w:id="23"/>
    </w:p>
    <w:p w14:paraId="75BD1671" w14:textId="6295DC66" w:rsidR="00B56A00" w:rsidRDefault="00B56A00" w:rsidP="00B56A00">
      <w:pPr>
        <w:pStyle w:val="ListParagraph"/>
        <w:numPr>
          <w:ilvl w:val="0"/>
          <w:numId w:val="10"/>
        </w:numPr>
      </w:pPr>
      <w:r>
        <w:t xml:space="preserve">Descriptive rep – why </w:t>
      </w:r>
      <w:r w:rsidR="00E2726F">
        <w:t xml:space="preserve">it </w:t>
      </w:r>
      <w:r>
        <w:t>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4" w:name="_Toc220591745"/>
      <w:r>
        <w:t>4.2 (Theory) Expectations About Experience</w:t>
      </w:r>
      <w:bookmarkEnd w:id="24"/>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 xml:space="preserve">[“returning to the Mansbridge quoting the other guy famous </w:t>
      </w:r>
      <w:proofErr w:type="gramStart"/>
      <w:r>
        <w:t>question”…</w:t>
      </w:r>
      <w:proofErr w:type="gramEnd"/>
      <w:r>
        <w:t>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 xml:space="preserve">Still, in the world as it is </w:t>
      </w:r>
      <w:proofErr w:type="gramStart"/>
      <w:r>
        <w:t>its</w:t>
      </w:r>
      <w:proofErr w:type="gramEnd"/>
      <w:r>
        <w:t xml:space="preserve">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lastRenderedPageBreak/>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w:t>
      </w:r>
      <w:proofErr w:type="spellStart"/>
      <w:r>
        <w:t>Electeds</w:t>
      </w:r>
      <w:proofErr w:type="spellEnd"/>
      <w:r>
        <w:t xml:space="preserve">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5"/>
      <w:commentRangeStart w:id="26"/>
      <w:commentRangeStart w:id="27"/>
      <w:r>
        <w:t>governed</w:t>
      </w:r>
      <w:commentRangeEnd w:id="25"/>
      <w:r>
        <w:rPr>
          <w:rStyle w:val="CommentReference"/>
        </w:rPr>
        <w:commentReference w:id="25"/>
      </w:r>
      <w:commentRangeEnd w:id="26"/>
      <w:r>
        <w:rPr>
          <w:rStyle w:val="CommentReference"/>
        </w:rPr>
        <w:commentReference w:id="26"/>
      </w:r>
      <w:commentRangeEnd w:id="27"/>
      <w:r>
        <w:rPr>
          <w:rStyle w:val="CommentReference"/>
        </w:rPr>
        <w:commentReference w:id="27"/>
      </w:r>
      <w:r>
        <w:t xml:space="preserve">. </w:t>
      </w:r>
    </w:p>
    <w:p w14:paraId="27101395" w14:textId="77777777" w:rsidR="00271D07" w:rsidRDefault="00271D07" w:rsidP="00271D07">
      <w:pPr>
        <w:ind w:left="720"/>
      </w:pPr>
      <w:r>
        <w:rPr>
          <w:b/>
          <w:bCs/>
        </w:rPr>
        <w:t xml:space="preserve">Paragraph </w:t>
      </w:r>
      <w:proofErr w:type="gramStart"/>
      <w:r>
        <w:rPr>
          <w:b/>
          <w:bCs/>
        </w:rPr>
        <w:t>on:</w:t>
      </w:r>
      <w:proofErr w:type="gramEnd"/>
      <w:r>
        <w:rPr>
          <w:b/>
          <w:bCs/>
        </w:rPr>
        <w:t xml:space="preserve"> the literature tells us that </w:t>
      </w:r>
      <w:proofErr w:type="gramStart"/>
      <w:r>
        <w:rPr>
          <w:b/>
          <w:bCs/>
        </w:rPr>
        <w:t>descriptive  -</w:t>
      </w:r>
      <w:proofErr w:type="gramEnd"/>
      <w:r>
        <w:rPr>
          <w:b/>
          <w:bCs/>
        </w:rPr>
        <w:t>&gt;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proofErr w:type="spellStart"/>
      <w:r>
        <w:lastRenderedPageBreak/>
        <w:t>Broockman</w:t>
      </w:r>
      <w:proofErr w:type="spellEnd"/>
      <w:r>
        <w:t xml:space="preserve"> 2013</w:t>
      </w:r>
    </w:p>
    <w:p w14:paraId="1FEDA188" w14:textId="77777777" w:rsidR="00271D07" w:rsidRDefault="00271D07" w:rsidP="00271D07">
      <w:pPr>
        <w:pStyle w:val="ListParagraph"/>
        <w:numPr>
          <w:ilvl w:val="0"/>
          <w:numId w:val="13"/>
        </w:numPr>
        <w:ind w:left="1440"/>
      </w:pPr>
      <w:r>
        <w:t>Black descriptive representation predicts state policy agendas and outcomes, including in the domain of criminal justice reform (</w:t>
      </w:r>
      <w:proofErr w:type="spellStart"/>
      <w:r>
        <w:t>Preuhs</w:t>
      </w:r>
      <w:proofErr w:type="spellEnd"/>
      <w:r>
        <w:t xml:space="preserve"> 20016; Owens 2020), although </w:t>
      </w:r>
      <w:proofErr w:type="spellStart"/>
      <w:r>
        <w:t>hese</w:t>
      </w:r>
      <w:proofErr w:type="spellEnd"/>
      <w:r>
        <w:t xml:space="preserv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28" w:name="_Toc220591746"/>
      <w:r>
        <w:t>4.3 (Hypotheses/Expectations)</w:t>
      </w:r>
      <w:bookmarkEnd w:id="28"/>
    </w:p>
    <w:p w14:paraId="63F95862" w14:textId="77777777" w:rsidR="007F047D" w:rsidRPr="007F047D" w:rsidRDefault="007F047D" w:rsidP="007F047D"/>
    <w:p w14:paraId="1EF57AC6" w14:textId="56009A7D" w:rsidR="00B56A00" w:rsidRDefault="00B56A00" w:rsidP="00B56A00">
      <w:pPr>
        <w:pStyle w:val="Heading2"/>
      </w:pPr>
      <w:bookmarkStart w:id="29" w:name="_Toc220591747"/>
      <w:r>
        <w:t>4.4 (Data/Design)</w:t>
      </w:r>
      <w:bookmarkEnd w:id="29"/>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30" w:name="_Toc220591748"/>
      <w:r>
        <w:t>4.</w:t>
      </w:r>
      <w:r w:rsidR="000F5AC3">
        <w:t>5</w:t>
      </w:r>
      <w:r>
        <w:t xml:space="preserve"> (</w:t>
      </w:r>
      <w:r w:rsidR="000F5AC3">
        <w:t>Theory</w:t>
      </w:r>
      <w:r>
        <w:t>)</w:t>
      </w:r>
      <w:r w:rsidR="000F5AC3">
        <w:t>: When Descriptive Representation Matters</w:t>
      </w:r>
      <w:bookmarkEnd w:id="30"/>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1" w:name="_Toc220591749"/>
      <w:r>
        <w:t>4.6 (Theory): Expectations About Legislative Action</w:t>
      </w:r>
      <w:bookmarkEnd w:id="31"/>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2" w:name="_Toc220591750"/>
      <w:r>
        <w:t>4.7 (Hypotheses/Expectations)</w:t>
      </w:r>
      <w:bookmarkEnd w:id="32"/>
    </w:p>
    <w:p w14:paraId="69C14A71" w14:textId="53F8D448" w:rsidR="00EA21E4" w:rsidRDefault="00EA21E4" w:rsidP="00EA21E4">
      <w:pPr>
        <w:pStyle w:val="Heading2"/>
      </w:pPr>
      <w:bookmarkStart w:id="33" w:name="_Toc220591751"/>
      <w:r>
        <w:t>4.8 (Data/Design)</w:t>
      </w:r>
      <w:bookmarkEnd w:id="33"/>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proofErr w:type="spellStart"/>
      <w:r>
        <w:t>Legistorm</w:t>
      </w:r>
      <w:proofErr w:type="spellEnd"/>
    </w:p>
    <w:p w14:paraId="3BF41734" w14:textId="4C0F7A43" w:rsidR="001B48DC" w:rsidRPr="001B48DC" w:rsidRDefault="00A56C15" w:rsidP="00A56C15">
      <w:pPr>
        <w:pStyle w:val="Heading1"/>
      </w:pPr>
      <w:bookmarkStart w:id="34" w:name="_Toc220591752"/>
      <w:r>
        <w:t xml:space="preserve">V. </w:t>
      </w:r>
      <w:r w:rsidR="001B48DC" w:rsidRPr="001B48DC">
        <w:t>Test 3</w:t>
      </w:r>
      <w:r>
        <w:t>: Symbolic and Epistemic Representation</w:t>
      </w:r>
      <w:bookmarkEnd w:id="34"/>
    </w:p>
    <w:p w14:paraId="5AF087CF" w14:textId="77777777" w:rsidR="001B48DC" w:rsidRDefault="001B48DC" w:rsidP="000A76EF">
      <w:pPr>
        <w:jc w:val="both"/>
      </w:pPr>
    </w:p>
    <w:p w14:paraId="3066B5C3" w14:textId="3BE1F6E2" w:rsidR="001B48DC" w:rsidRDefault="00EA21E4" w:rsidP="00EA21E4">
      <w:pPr>
        <w:pStyle w:val="Heading2"/>
      </w:pPr>
      <w:bookmarkStart w:id="35" w:name="_Toc220591753"/>
      <w:r>
        <w:t>5.1 (Theory) Symbolic Representation as Constitutive</w:t>
      </w:r>
      <w:bookmarkEnd w:id="35"/>
    </w:p>
    <w:p w14:paraId="4B0B13D8" w14:textId="65324EF6" w:rsidR="00EA21E4" w:rsidRDefault="00EA21E4" w:rsidP="00EA21E4">
      <w:pPr>
        <w:pStyle w:val="Heading2"/>
      </w:pPr>
      <w:bookmarkStart w:id="36" w:name="_Toc220591754"/>
      <w:r>
        <w:t>5.2 (Theory) Epistemic Injustice and Selective Hearing</w:t>
      </w:r>
      <w:bookmarkEnd w:id="36"/>
    </w:p>
    <w:p w14:paraId="70D626B2" w14:textId="2C01BE28" w:rsidR="00EA21E4" w:rsidRDefault="00EA21E4" w:rsidP="00EA21E4">
      <w:pPr>
        <w:pStyle w:val="Heading2"/>
      </w:pPr>
      <w:bookmarkStart w:id="37" w:name="_Toc220591755"/>
      <w:r>
        <w:t>5.3 Expectations About Symbolic Recognition</w:t>
      </w:r>
      <w:bookmarkEnd w:id="37"/>
    </w:p>
    <w:p w14:paraId="04C0796C" w14:textId="5847D29D" w:rsidR="00EA21E4" w:rsidRDefault="00EA21E4" w:rsidP="00EA21E4">
      <w:pPr>
        <w:pStyle w:val="Heading2"/>
      </w:pPr>
      <w:bookmarkStart w:id="38" w:name="_Toc220591756"/>
      <w:r>
        <w:t>5.4 (Hypotheses/Expectations)</w:t>
      </w:r>
      <w:bookmarkEnd w:id="38"/>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39" w:name="_Toc220591757"/>
      <w:r>
        <w:t>5.5 (Data/Design)</w:t>
      </w:r>
      <w:bookmarkEnd w:id="39"/>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 xml:space="preserve">(B) Maybe this can be </w:t>
      </w:r>
      <w:proofErr w:type="spellStart"/>
      <w:r>
        <w:t>FOIA’d</w:t>
      </w:r>
      <w:proofErr w:type="spellEnd"/>
      <w:r>
        <w:t xml:space="preserve">, but if </w:t>
      </w:r>
      <w:proofErr w:type="gramStart"/>
      <w:r>
        <w:t>not</w:t>
      </w:r>
      <w:proofErr w:type="gramEnd"/>
      <w:r>
        <w:t xml:space="preserve">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lastRenderedPageBreak/>
        <w:t>Floor speech or public testimony</w:t>
      </w:r>
    </w:p>
    <w:p w14:paraId="3DFF1C1B" w14:textId="4FE4BA8B" w:rsidR="008B7300" w:rsidRDefault="008B7300" w:rsidP="008B7300">
      <w:pPr>
        <w:pStyle w:val="ListParagraph"/>
        <w:numPr>
          <w:ilvl w:val="3"/>
          <w:numId w:val="15"/>
        </w:numPr>
      </w:pPr>
      <w:proofErr w:type="spellStart"/>
      <w:r>
        <w:t>Etc</w:t>
      </w:r>
      <w:proofErr w:type="spellEnd"/>
    </w:p>
    <w:p w14:paraId="659C3C9F" w14:textId="0B1B3042" w:rsidR="008B7300" w:rsidRDefault="008B7300" w:rsidP="008B7300">
      <w:pPr>
        <w:pStyle w:val="ListParagraph"/>
        <w:numPr>
          <w:ilvl w:val="2"/>
          <w:numId w:val="15"/>
        </w:numPr>
      </w:pPr>
      <w:r>
        <w:t xml:space="preserve">(C) If so, </w:t>
      </w:r>
      <w:proofErr w:type="gramStart"/>
      <w:r>
        <w:t>ideally</w:t>
      </w:r>
      <w:proofErr w:type="gramEnd"/>
      <w:r>
        <w:t xml:space="preserve">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t>Implement coding schemes for A, B, C</w:t>
      </w:r>
    </w:p>
    <w:p w14:paraId="36BE491D" w14:textId="072A4524" w:rsidR="00EA21E4" w:rsidRDefault="00EA21E4" w:rsidP="00EA21E4">
      <w:pPr>
        <w:pStyle w:val="Heading1"/>
      </w:pPr>
      <w:bookmarkStart w:id="40" w:name="_Toc220591758"/>
      <w:r>
        <w:t>VI. Conclusion &amp; Implications</w:t>
      </w:r>
      <w:bookmarkEnd w:id="40"/>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 xml:space="preserve">Maybe actually notes on viability, backups, exit ramps, </w:t>
      </w:r>
      <w:proofErr w:type="spellStart"/>
      <w:r>
        <w:t>etc</w:t>
      </w:r>
      <w:proofErr w:type="spellEnd"/>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9" w:author="Kristina Mensik" w:date="2026-02-11T15:24:00Z" w:initials="KM">
    <w:p w14:paraId="5DC80DD2" w14:textId="77777777" w:rsidR="002A3F9E" w:rsidRDefault="002A3F9E" w:rsidP="002A3F9E">
      <w:r>
        <w:rPr>
          <w:rStyle w:val="CommentReference"/>
        </w:rPr>
        <w:annotationRef/>
      </w:r>
      <w:r>
        <w:rPr>
          <w:sz w:val="20"/>
          <w:szCs w:val="20"/>
        </w:rPr>
        <w:t>maybe here clarify cultures, norms, epistemes (maybe not latter yet)</w:t>
      </w:r>
    </w:p>
  </w:comment>
  <w:comment w:id="10" w:author="Kristina Mensik" w:date="2026-01-27T23:42:00Z" w:initials="KM">
    <w:p w14:paraId="1ABF7D46" w14:textId="0795C3D2"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1"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2"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3"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4"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5"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6"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27"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5DC80DD2"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650D88F5" w16cex:dateUtc="2026-02-11T20:24: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5DC80DD2" w16cid:durableId="650D88F5"/>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DF49A0"/>
    <w:multiLevelType w:val="hybridMultilevel"/>
    <w:tmpl w:val="733413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8"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E115F0"/>
    <w:multiLevelType w:val="hybridMultilevel"/>
    <w:tmpl w:val="B2AC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9"/>
  </w:num>
  <w:num w:numId="3" w16cid:durableId="1941909325">
    <w:abstractNumId w:val="15"/>
  </w:num>
  <w:num w:numId="4" w16cid:durableId="1778213345">
    <w:abstractNumId w:val="10"/>
  </w:num>
  <w:num w:numId="5" w16cid:durableId="433479709">
    <w:abstractNumId w:val="1"/>
  </w:num>
  <w:num w:numId="6" w16cid:durableId="11615285">
    <w:abstractNumId w:val="4"/>
  </w:num>
  <w:num w:numId="7" w16cid:durableId="1448307287">
    <w:abstractNumId w:val="20"/>
  </w:num>
  <w:num w:numId="8" w16cid:durableId="1409426247">
    <w:abstractNumId w:val="9"/>
  </w:num>
  <w:num w:numId="9" w16cid:durableId="1345519617">
    <w:abstractNumId w:val="16"/>
  </w:num>
  <w:num w:numId="10" w16cid:durableId="607542148">
    <w:abstractNumId w:val="5"/>
  </w:num>
  <w:num w:numId="11" w16cid:durableId="591202567">
    <w:abstractNumId w:val="3"/>
  </w:num>
  <w:num w:numId="12" w16cid:durableId="681200645">
    <w:abstractNumId w:val="7"/>
  </w:num>
  <w:num w:numId="13" w16cid:durableId="1063063690">
    <w:abstractNumId w:val="13"/>
  </w:num>
  <w:num w:numId="14" w16cid:durableId="1687562852">
    <w:abstractNumId w:val="2"/>
  </w:num>
  <w:num w:numId="15" w16cid:durableId="1490898072">
    <w:abstractNumId w:val="11"/>
  </w:num>
  <w:num w:numId="16" w16cid:durableId="1250312468">
    <w:abstractNumId w:val="17"/>
  </w:num>
  <w:num w:numId="17" w16cid:durableId="175534330">
    <w:abstractNumId w:val="22"/>
  </w:num>
  <w:num w:numId="18" w16cid:durableId="1852602535">
    <w:abstractNumId w:val="21"/>
  </w:num>
  <w:num w:numId="19" w16cid:durableId="1392343131">
    <w:abstractNumId w:val="6"/>
  </w:num>
  <w:num w:numId="20" w16cid:durableId="350179728">
    <w:abstractNumId w:val="18"/>
  </w:num>
  <w:num w:numId="21" w16cid:durableId="1198662055">
    <w:abstractNumId w:val="12"/>
  </w:num>
  <w:num w:numId="22" w16cid:durableId="1512258154">
    <w:abstractNumId w:val="14"/>
  </w:num>
  <w:num w:numId="23" w16cid:durableId="648899330">
    <w:abstractNumId w:val="23"/>
  </w:num>
  <w:num w:numId="24" w16cid:durableId="210471952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94164"/>
    <w:rsid w:val="000A76EF"/>
    <w:rsid w:val="000B30FA"/>
    <w:rsid w:val="000B4664"/>
    <w:rsid w:val="000F5AC3"/>
    <w:rsid w:val="00111FF6"/>
    <w:rsid w:val="00125550"/>
    <w:rsid w:val="00131DE9"/>
    <w:rsid w:val="001322D3"/>
    <w:rsid w:val="00136AC2"/>
    <w:rsid w:val="00137F24"/>
    <w:rsid w:val="00143D48"/>
    <w:rsid w:val="001531D9"/>
    <w:rsid w:val="00174ED0"/>
    <w:rsid w:val="001B2D86"/>
    <w:rsid w:val="001B48DC"/>
    <w:rsid w:val="00205AEE"/>
    <w:rsid w:val="00225C10"/>
    <w:rsid w:val="00233390"/>
    <w:rsid w:val="00240A6F"/>
    <w:rsid w:val="00246AF1"/>
    <w:rsid w:val="00266341"/>
    <w:rsid w:val="00270898"/>
    <w:rsid w:val="00271D07"/>
    <w:rsid w:val="00283691"/>
    <w:rsid w:val="002A3948"/>
    <w:rsid w:val="002A3F9E"/>
    <w:rsid w:val="002B3DB6"/>
    <w:rsid w:val="002B4613"/>
    <w:rsid w:val="002C5E98"/>
    <w:rsid w:val="002E11D9"/>
    <w:rsid w:val="002E45DE"/>
    <w:rsid w:val="002E554D"/>
    <w:rsid w:val="002F253B"/>
    <w:rsid w:val="0030716D"/>
    <w:rsid w:val="0033373D"/>
    <w:rsid w:val="003C5E61"/>
    <w:rsid w:val="003D04AB"/>
    <w:rsid w:val="003F5B8E"/>
    <w:rsid w:val="003F75C4"/>
    <w:rsid w:val="00401201"/>
    <w:rsid w:val="004161A4"/>
    <w:rsid w:val="004209C6"/>
    <w:rsid w:val="0043318F"/>
    <w:rsid w:val="0043512D"/>
    <w:rsid w:val="00436053"/>
    <w:rsid w:val="00446FB8"/>
    <w:rsid w:val="00470BC2"/>
    <w:rsid w:val="00484ECE"/>
    <w:rsid w:val="004C5FFA"/>
    <w:rsid w:val="004C7E67"/>
    <w:rsid w:val="004D6C30"/>
    <w:rsid w:val="00507543"/>
    <w:rsid w:val="00513587"/>
    <w:rsid w:val="005148E4"/>
    <w:rsid w:val="005224C6"/>
    <w:rsid w:val="00547DFE"/>
    <w:rsid w:val="00566F1C"/>
    <w:rsid w:val="0058199D"/>
    <w:rsid w:val="005830D8"/>
    <w:rsid w:val="005A41B1"/>
    <w:rsid w:val="005A43C2"/>
    <w:rsid w:val="005E0F1E"/>
    <w:rsid w:val="005F0549"/>
    <w:rsid w:val="005F0876"/>
    <w:rsid w:val="005F2754"/>
    <w:rsid w:val="00664ED4"/>
    <w:rsid w:val="00680A7B"/>
    <w:rsid w:val="006A4D59"/>
    <w:rsid w:val="006A7CB9"/>
    <w:rsid w:val="006B2E88"/>
    <w:rsid w:val="006B637B"/>
    <w:rsid w:val="006C0245"/>
    <w:rsid w:val="006C16E1"/>
    <w:rsid w:val="006C1F9D"/>
    <w:rsid w:val="006F1100"/>
    <w:rsid w:val="00717843"/>
    <w:rsid w:val="00730171"/>
    <w:rsid w:val="0077211D"/>
    <w:rsid w:val="0077426E"/>
    <w:rsid w:val="00774DA6"/>
    <w:rsid w:val="00790F56"/>
    <w:rsid w:val="00794095"/>
    <w:rsid w:val="007B7A94"/>
    <w:rsid w:val="007C5054"/>
    <w:rsid w:val="007D6D50"/>
    <w:rsid w:val="007F047D"/>
    <w:rsid w:val="00806BEF"/>
    <w:rsid w:val="00816D08"/>
    <w:rsid w:val="00816D52"/>
    <w:rsid w:val="008341D1"/>
    <w:rsid w:val="008355EE"/>
    <w:rsid w:val="00837F45"/>
    <w:rsid w:val="00842B23"/>
    <w:rsid w:val="00860986"/>
    <w:rsid w:val="00871980"/>
    <w:rsid w:val="00872495"/>
    <w:rsid w:val="008728BF"/>
    <w:rsid w:val="0087482E"/>
    <w:rsid w:val="008763DC"/>
    <w:rsid w:val="00876A4C"/>
    <w:rsid w:val="008804DB"/>
    <w:rsid w:val="00887E83"/>
    <w:rsid w:val="008A5243"/>
    <w:rsid w:val="008B3DA1"/>
    <w:rsid w:val="008B7300"/>
    <w:rsid w:val="008C69B6"/>
    <w:rsid w:val="008F3A00"/>
    <w:rsid w:val="008F7450"/>
    <w:rsid w:val="00905D0C"/>
    <w:rsid w:val="009122D1"/>
    <w:rsid w:val="00914F65"/>
    <w:rsid w:val="0092629B"/>
    <w:rsid w:val="00941B9C"/>
    <w:rsid w:val="00963639"/>
    <w:rsid w:val="00970A16"/>
    <w:rsid w:val="009800D5"/>
    <w:rsid w:val="00986478"/>
    <w:rsid w:val="009E1C32"/>
    <w:rsid w:val="00A000EE"/>
    <w:rsid w:val="00A07EB3"/>
    <w:rsid w:val="00A273CB"/>
    <w:rsid w:val="00A310F1"/>
    <w:rsid w:val="00A34739"/>
    <w:rsid w:val="00A45569"/>
    <w:rsid w:val="00A55848"/>
    <w:rsid w:val="00A56C15"/>
    <w:rsid w:val="00A830ED"/>
    <w:rsid w:val="00A91186"/>
    <w:rsid w:val="00AA79AA"/>
    <w:rsid w:val="00AC5462"/>
    <w:rsid w:val="00AD405A"/>
    <w:rsid w:val="00AF25FC"/>
    <w:rsid w:val="00B16575"/>
    <w:rsid w:val="00B22777"/>
    <w:rsid w:val="00B2420D"/>
    <w:rsid w:val="00B316C7"/>
    <w:rsid w:val="00B4437D"/>
    <w:rsid w:val="00B47922"/>
    <w:rsid w:val="00B500FA"/>
    <w:rsid w:val="00B56A00"/>
    <w:rsid w:val="00C1170E"/>
    <w:rsid w:val="00C27A2F"/>
    <w:rsid w:val="00C349D5"/>
    <w:rsid w:val="00C72AA0"/>
    <w:rsid w:val="00C76FC2"/>
    <w:rsid w:val="00C92ED2"/>
    <w:rsid w:val="00CA1736"/>
    <w:rsid w:val="00CA79E1"/>
    <w:rsid w:val="00CB5C42"/>
    <w:rsid w:val="00CC1890"/>
    <w:rsid w:val="00CE17D6"/>
    <w:rsid w:val="00CF121A"/>
    <w:rsid w:val="00D11123"/>
    <w:rsid w:val="00D14C56"/>
    <w:rsid w:val="00D30FC8"/>
    <w:rsid w:val="00D406C3"/>
    <w:rsid w:val="00D43D9B"/>
    <w:rsid w:val="00D54981"/>
    <w:rsid w:val="00D8245A"/>
    <w:rsid w:val="00D92C2B"/>
    <w:rsid w:val="00D95CAD"/>
    <w:rsid w:val="00DA65F4"/>
    <w:rsid w:val="00DE4A5C"/>
    <w:rsid w:val="00DF01EF"/>
    <w:rsid w:val="00DF58C2"/>
    <w:rsid w:val="00DF638A"/>
    <w:rsid w:val="00E256ED"/>
    <w:rsid w:val="00E2726F"/>
    <w:rsid w:val="00E31CA4"/>
    <w:rsid w:val="00E451D6"/>
    <w:rsid w:val="00E82284"/>
    <w:rsid w:val="00E87CD4"/>
    <w:rsid w:val="00EA21E4"/>
    <w:rsid w:val="00EA287F"/>
    <w:rsid w:val="00EA384C"/>
    <w:rsid w:val="00EC61F1"/>
    <w:rsid w:val="00ED4ED6"/>
    <w:rsid w:val="00ED67E1"/>
    <w:rsid w:val="00EF4A48"/>
    <w:rsid w:val="00F05259"/>
    <w:rsid w:val="00F416BB"/>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 w:type="paragraph" w:customStyle="1" w:styleId="font-claude-response-body">
    <w:name w:val="font-claude-response-body"/>
    <w:basedOn w:val="Normal"/>
    <w:rsid w:val="00816D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16D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32</Pages>
  <Words>9743</Words>
  <Characters>57583</Characters>
  <Application>Microsoft Office Word</Application>
  <DocSecurity>0</DocSecurity>
  <Lines>1107</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21</cp:revision>
  <cp:lastPrinted>2026-02-16T21:08:00Z</cp:lastPrinted>
  <dcterms:created xsi:type="dcterms:W3CDTF">2026-02-11T14:02:00Z</dcterms:created>
  <dcterms:modified xsi:type="dcterms:W3CDTF">2026-02-20T17:02:00Z</dcterms:modified>
</cp:coreProperties>
</file>