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EB49" w14:textId="21132914" w:rsidR="00CC1BFB" w:rsidRPr="00CC1BFB" w:rsidRDefault="00CC1BFB" w:rsidP="00CC1BFB">
      <w:pPr>
        <w:jc w:val="center"/>
        <w:rPr>
          <w:b/>
          <w:bCs/>
        </w:rPr>
      </w:pPr>
      <w:r w:rsidRPr="00CC1BFB">
        <w:rPr>
          <w:b/>
          <w:bCs/>
        </w:rPr>
        <w:t xml:space="preserve">From Theory, </w:t>
      </w:r>
      <w:proofErr w:type="spellStart"/>
      <w:r>
        <w:rPr>
          <w:b/>
          <w:bCs/>
        </w:rPr>
        <w:t>DRep</w:t>
      </w:r>
      <w:proofErr w:type="spellEnd"/>
      <w:r>
        <w:rPr>
          <w:b/>
          <w:bCs/>
        </w:rPr>
        <w:t xml:space="preserve"> in Theory</w:t>
      </w:r>
    </w:p>
    <w:p w14:paraId="6DEC1CAC" w14:textId="77777777" w:rsidR="00CC1BFB" w:rsidRDefault="00CC1BFB" w:rsidP="00CC1BFB">
      <w:pPr>
        <w:pStyle w:val="Heading2"/>
      </w:pPr>
      <w:r>
        <w:t>Header: Descriptive Representation XYZ</w:t>
      </w:r>
    </w:p>
    <w:p w14:paraId="1614F670" w14:textId="77777777" w:rsidR="00CC1BFB" w:rsidRPr="00963639" w:rsidRDefault="00CC1BFB" w:rsidP="00CC1BFB">
      <w:r>
        <w:rPr>
          <w:b/>
          <w:bCs/>
        </w:rPr>
        <w:t xml:space="preserve">Paragraph trying to get this to start with descriptive </w:t>
      </w:r>
      <w:commentRangeStart w:id="0"/>
      <w:commentRangeStart w:id="1"/>
      <w:r>
        <w:rPr>
          <w:b/>
          <w:bCs/>
        </w:rPr>
        <w:t>representation</w:t>
      </w:r>
      <w:commentRangeEnd w:id="0"/>
      <w:r>
        <w:rPr>
          <w:rStyle w:val="CommentReference"/>
        </w:rPr>
        <w:commentReference w:id="0"/>
      </w:r>
      <w:commentRangeEnd w:id="1"/>
      <w:r>
        <w:rPr>
          <w:rStyle w:val="CommentReference"/>
        </w:rPr>
        <w:commentReference w:id="1"/>
      </w:r>
      <w:r>
        <w:rPr>
          <w:b/>
          <w:bCs/>
        </w:rPr>
        <w:t>:</w:t>
      </w:r>
    </w:p>
    <w:p w14:paraId="3D3ED538" w14:textId="77777777" w:rsidR="00CC1BFB" w:rsidRDefault="00CC1BFB" w:rsidP="00CC1BFB">
      <w:pPr>
        <w:spacing w:line="360" w:lineRule="auto"/>
        <w:rPr>
          <w:rFonts w:ascii="Times New Roman" w:hAnsi="Times New Roman" w:cs="Times New Roman"/>
        </w:rPr>
      </w:pPr>
      <w:r w:rsidRPr="00872495">
        <w:rPr>
          <w:rFonts w:ascii="Times New Roman" w:hAnsi="Times New Roman" w:cs="Times New Roman"/>
          <w:u w:val="single"/>
        </w:rPr>
        <w:t>Descriptive representation may be particularly important in this case.</w:t>
      </w:r>
      <w:r>
        <w:rPr>
          <w:rFonts w:ascii="Times New Roman" w:hAnsi="Times New Roman" w:cs="Times New Roman"/>
        </w:rPr>
        <w:t xml:space="preserve"> In general, some level of congruence between the makeup of legislatures and constituencies is treated as normatively important [ </w:t>
      </w:r>
      <w:r>
        <w:rPr>
          <w:rFonts w:ascii="Times New Roman" w:hAnsi="Times New Roman" w:cs="Times New Roman"/>
          <w:i/>
          <w:iCs/>
        </w:rPr>
        <w:t xml:space="preserve">for </w:t>
      </w:r>
      <w:proofErr w:type="spellStart"/>
      <w:r>
        <w:rPr>
          <w:rFonts w:ascii="Times New Roman" w:hAnsi="Times New Roman" w:cs="Times New Roman"/>
          <w:i/>
          <w:iCs/>
        </w:rPr>
        <w:t>xyz</w:t>
      </w:r>
      <w:proofErr w:type="spellEnd"/>
      <w:r>
        <w:rPr>
          <w:rFonts w:ascii="Times New Roman" w:hAnsi="Times New Roman" w:cs="Times New Roman"/>
          <w:i/>
          <w:iCs/>
        </w:rPr>
        <w:t xml:space="preserve"> </w:t>
      </w:r>
      <w:r w:rsidRPr="00A273CB">
        <w:rPr>
          <w:rFonts w:ascii="Times New Roman" w:hAnsi="Times New Roman" w:cs="Times New Roman"/>
          <w:i/>
          <w:iCs/>
        </w:rPr>
        <w:t>reasons</w:t>
      </w:r>
      <w:r>
        <w:rPr>
          <w:rFonts w:ascii="Times New Roman" w:hAnsi="Times New Roman" w:cs="Times New Roman"/>
          <w:i/>
          <w:iCs/>
        </w:rPr>
        <w:t xml:space="preserve">: policy responsiveness, service responsiveness, and symbolic/constituency-making </w:t>
      </w:r>
      <w:proofErr w:type="gramStart"/>
      <w:r>
        <w:rPr>
          <w:rFonts w:ascii="Times New Roman" w:hAnsi="Times New Roman" w:cs="Times New Roman"/>
          <w:i/>
          <w:iCs/>
        </w:rPr>
        <w:t xml:space="preserve">stuff </w:t>
      </w:r>
      <w:r>
        <w:rPr>
          <w:rFonts w:ascii="Times New Roman" w:hAnsi="Times New Roman" w:cs="Times New Roman"/>
        </w:rPr>
        <w:t>]</w:t>
      </w:r>
      <w:proofErr w:type="gramEnd"/>
      <w:r>
        <w:rPr>
          <w:rFonts w:ascii="Times New Roman" w:hAnsi="Times New Roman" w:cs="Times New Roman"/>
        </w:rPr>
        <w:t xml:space="preserve">. In recognition of this, countries like Mexico, France, and Bolivia mandate candidate gender quotas, and in Germany and Norway, for example, parties voluntarily adopt them. </w:t>
      </w:r>
    </w:p>
    <w:p w14:paraId="2E869777" w14:textId="77777777" w:rsidR="00CC1BFB" w:rsidRDefault="00CC1BFB" w:rsidP="00CC1BFB">
      <w:pPr>
        <w:spacing w:line="360" w:lineRule="auto"/>
        <w:rPr>
          <w:rFonts w:ascii="Times New Roman" w:hAnsi="Times New Roman" w:cs="Times New Roman"/>
        </w:rPr>
      </w:pPr>
    </w:p>
    <w:p w14:paraId="7C6D8D10" w14:textId="77777777" w:rsidR="00CC1BFB" w:rsidRPr="00240A6F" w:rsidRDefault="00CC1BFB" w:rsidP="00CC1BFB">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Moreover, empirical work has found that legislators [discriminate/are more responsive] – troubling normative theorists as US legislatures are still over-represented by white, white-collar and affluent legislators (). </w:t>
      </w:r>
    </w:p>
    <w:p w14:paraId="11C9A10A" w14:textId="77777777" w:rsidR="00CC1BFB" w:rsidRPr="00240A6F" w:rsidRDefault="00CC1BFB" w:rsidP="00CC1BFB">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Those most impacted by the carceral state or likely to be in prison or jail are not white and affluent: the carceral state disproportionately impacts Black, Hispanic/Latino, and low-income communities. That these groups already bear the historical brunt of political exclusion, to Mansbridge, creates a context where descriptive representation is particularly important (1999).  </w:t>
      </w:r>
    </w:p>
    <w:p w14:paraId="7F33CAA1" w14:textId="77777777" w:rsidR="00CC1BFB" w:rsidRPr="00240A6F" w:rsidRDefault="00CC1BFB" w:rsidP="00CC1BFB">
      <w:pPr>
        <w:pStyle w:val="ListParagraph"/>
        <w:numPr>
          <w:ilvl w:val="0"/>
          <w:numId w:val="21"/>
        </w:numPr>
        <w:spacing w:line="360" w:lineRule="auto"/>
        <w:rPr>
          <w:rFonts w:ascii="Times New Roman" w:hAnsi="Times New Roman" w:cs="Times New Roman"/>
        </w:rPr>
      </w:pPr>
      <w:r w:rsidRPr="00240A6F">
        <w:rPr>
          <w:rFonts w:ascii="Times New Roman" w:hAnsi="Times New Roman" w:cs="Times New Roman"/>
        </w:rPr>
        <w:t xml:space="preserve">Mansbridge argues that descriptive representation is particularly important under conditions of historical exclusion and unequal political voice (Mansbridge 1999 contingent defense. Descriptive rep should be response to structural inequality - </w:t>
      </w:r>
      <w:proofErr w:type="spellStart"/>
      <w:r w:rsidRPr="00240A6F">
        <w:rPr>
          <w:rFonts w:ascii="Times New Roman" w:hAnsi="Times New Roman" w:cs="Times New Roman"/>
        </w:rPr>
        <w:t>ie</w:t>
      </w:r>
      <w:proofErr w:type="spellEnd"/>
      <w:r w:rsidRPr="00240A6F">
        <w:rPr>
          <w:rFonts w:ascii="Times New Roman" w:hAnsi="Times New Roman" w:cs="Times New Roman"/>
        </w:rPr>
        <w:t xml:space="preserve"> when communication, trust, or recognition is systematically distorted.)</w:t>
      </w:r>
    </w:p>
    <w:p w14:paraId="00F18611" w14:textId="77777777" w:rsidR="00CC1BFB" w:rsidRDefault="00CC1BFB" w:rsidP="00CC1BFB">
      <w:pPr>
        <w:spacing w:line="360" w:lineRule="auto"/>
        <w:rPr>
          <w:rFonts w:ascii="Times New Roman" w:hAnsi="Times New Roman" w:cs="Times New Roman"/>
        </w:rPr>
      </w:pPr>
    </w:p>
    <w:p w14:paraId="4CB0EC27" w14:textId="77777777" w:rsidR="00CC1BFB" w:rsidRPr="00240A6F" w:rsidRDefault="00CC1BFB" w:rsidP="00CC1BFB">
      <w:pPr>
        <w:spacing w:line="360" w:lineRule="auto"/>
        <w:rPr>
          <w:rFonts w:ascii="Times New Roman" w:hAnsi="Times New Roman" w:cs="Times New Roman"/>
          <w:b/>
          <w:bCs/>
        </w:rPr>
      </w:pPr>
      <w:r w:rsidRPr="00240A6F">
        <w:rPr>
          <w:rFonts w:ascii="Times New Roman" w:hAnsi="Times New Roman" w:cs="Times New Roman"/>
          <w:b/>
          <w:bCs/>
        </w:rPr>
        <w:t>Paragraph’s laying out implicit roadmap for why this is ultimately about test #3:</w:t>
      </w:r>
    </w:p>
    <w:p w14:paraId="3A6073EE" w14:textId="77777777" w:rsidR="00CC1BFB" w:rsidRDefault="00CC1BFB" w:rsidP="00CC1BFB">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may shape policy responsiveness</w:t>
      </w:r>
    </w:p>
    <w:p w14:paraId="214C35A6"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view carceral citizens</w:t>
      </w:r>
    </w:p>
    <w:p w14:paraId="03B2E006"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understand problems</w:t>
      </w:r>
    </w:p>
    <w:p w14:paraId="0048FAEF"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How state/state legitimacy is viewed / dual knowledge:</w:t>
      </w:r>
    </w:p>
    <w:p w14:paraId="0ACF5182" w14:textId="77777777" w:rsidR="00CC1BFB" w:rsidRDefault="00CC1BFB" w:rsidP="00CC1BFB">
      <w:pPr>
        <w:pStyle w:val="ListParagraph"/>
        <w:numPr>
          <w:ilvl w:val="2"/>
          <w:numId w:val="20"/>
        </w:numPr>
        <w:spacing w:line="360" w:lineRule="auto"/>
        <w:rPr>
          <w:rFonts w:ascii="Times New Roman" w:hAnsi="Times New Roman" w:cs="Times New Roman"/>
        </w:rPr>
      </w:pPr>
      <w:r w:rsidRPr="009122D1">
        <w:rPr>
          <w:rFonts w:ascii="Times New Roman" w:hAnsi="Times New Roman" w:cs="Times New Roman"/>
        </w:rPr>
        <w:lastRenderedPageBreak/>
        <w:t>“Carceral contact produces political knowledge through domination rather than democratic participation” (Weaver, Prowse &amp; Piston 2019),</w:t>
      </w:r>
    </w:p>
    <w:p w14:paraId="4E76A1EC"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What punitiveness/inequality is tolerated</w:t>
      </w:r>
    </w:p>
    <w:p w14:paraId="382EBDB5" w14:textId="77777777" w:rsidR="00CC1BFB" w:rsidRDefault="00CC1BFB" w:rsidP="00CC1BFB">
      <w:pPr>
        <w:pStyle w:val="ListParagraph"/>
        <w:numPr>
          <w:ilvl w:val="1"/>
          <w:numId w:val="20"/>
        </w:numPr>
        <w:spacing w:line="360" w:lineRule="auto"/>
        <w:rPr>
          <w:rFonts w:ascii="Times New Roman" w:hAnsi="Times New Roman" w:cs="Times New Roman"/>
        </w:rPr>
      </w:pPr>
      <w:r w:rsidRPr="00872495">
        <w:rPr>
          <w:rFonts w:ascii="Times New Roman" w:hAnsi="Times New Roman" w:cs="Times New Roman"/>
        </w:rPr>
        <w:sym w:font="Wingdings" w:char="F0E0"/>
      </w:r>
      <w:r>
        <w:rPr>
          <w:rFonts w:ascii="Times New Roman" w:hAnsi="Times New Roman" w:cs="Times New Roman"/>
        </w:rPr>
        <w:t xml:space="preserve"> the things that can really be understood as epistemic community and </w:t>
      </w:r>
      <w:r w:rsidRPr="00872495">
        <w:rPr>
          <w:rFonts w:ascii="Times New Roman" w:hAnsi="Times New Roman" w:cs="Times New Roman"/>
        </w:rPr>
        <w:sym w:font="Wingdings" w:char="F0E0"/>
      </w:r>
      <w:r>
        <w:rPr>
          <w:rFonts w:ascii="Times New Roman" w:hAnsi="Times New Roman" w:cs="Times New Roman"/>
        </w:rPr>
        <w:t xml:space="preserve"> policy outcomes</w:t>
      </w:r>
    </w:p>
    <w:p w14:paraId="74309148" w14:textId="77777777" w:rsidR="00CC1BFB" w:rsidRDefault="00CC1BFB" w:rsidP="00CC1BFB">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might shape forms of service responsiveness</w:t>
      </w:r>
    </w:p>
    <w:p w14:paraId="064270C5"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Many of same reasons as above</w:t>
      </w:r>
    </w:p>
    <w:p w14:paraId="3DECE18D"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a legislator has even thought of incarcerated people as constituents </w:t>
      </w:r>
      <w:r w:rsidRPr="009122D1">
        <w:rPr>
          <w:rFonts w:ascii="Times New Roman" w:hAnsi="Times New Roman" w:cs="Times New Roman"/>
        </w:rPr>
        <w:sym w:font="Wingdings" w:char="F0E0"/>
      </w:r>
      <w:r>
        <w:rPr>
          <w:rFonts w:ascii="Times New Roman" w:hAnsi="Times New Roman" w:cs="Times New Roman"/>
        </w:rPr>
        <w:t xml:space="preserve"> treat as constituents</w:t>
      </w:r>
    </w:p>
    <w:p w14:paraId="4395A99A" w14:textId="77777777" w:rsidR="00CC1BFB" w:rsidRDefault="00CC1BFB" w:rsidP="00CC1BFB">
      <w:pPr>
        <w:pStyle w:val="ListParagraph"/>
        <w:numPr>
          <w:ilvl w:val="1"/>
          <w:numId w:val="20"/>
        </w:numPr>
        <w:spacing w:line="360" w:lineRule="auto"/>
        <w:rPr>
          <w:rFonts w:ascii="Times New Roman" w:hAnsi="Times New Roman" w:cs="Times New Roman"/>
        </w:rPr>
      </w:pPr>
      <w:r>
        <w:rPr>
          <w:rFonts w:ascii="Times New Roman" w:hAnsi="Times New Roman" w:cs="Times New Roman"/>
        </w:rPr>
        <w:t xml:space="preserve">Whether legislators </w:t>
      </w:r>
    </w:p>
    <w:p w14:paraId="5F984871" w14:textId="77777777" w:rsidR="00CC1BFB" w:rsidRDefault="00CC1BFB" w:rsidP="00CC1BFB">
      <w:pPr>
        <w:pStyle w:val="ListParagraph"/>
        <w:numPr>
          <w:ilvl w:val="0"/>
          <w:numId w:val="20"/>
        </w:numPr>
        <w:spacing w:line="360" w:lineRule="auto"/>
        <w:rPr>
          <w:rFonts w:ascii="Times New Roman" w:hAnsi="Times New Roman" w:cs="Times New Roman"/>
        </w:rPr>
      </w:pPr>
      <w:r>
        <w:rPr>
          <w:rFonts w:ascii="Times New Roman" w:hAnsi="Times New Roman" w:cs="Times New Roman"/>
        </w:rPr>
        <w:t>Shared experiential identity might shape whether legislator symbolically recognizes carceral constituencies</w:t>
      </w:r>
    </w:p>
    <w:p w14:paraId="70200C89" w14:textId="77777777" w:rsidR="00CC1BFB" w:rsidRPr="00872495" w:rsidRDefault="00CC1BFB" w:rsidP="00CC1BFB">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Shared experiential identity might shape </w:t>
      </w:r>
      <w:r>
        <w:rPr>
          <w:rFonts w:ascii="Times New Roman" w:hAnsi="Times New Roman" w:cs="Times New Roman"/>
          <w:i/>
          <w:iCs/>
        </w:rPr>
        <w:t>how</w:t>
      </w:r>
      <w:r>
        <w:rPr>
          <w:rFonts w:ascii="Times New Roman" w:hAnsi="Times New Roman" w:cs="Times New Roman"/>
        </w:rPr>
        <w:t xml:space="preserve"> legislator does any/all the above, and whether in ways that are hollow/distancing or centering.</w:t>
      </w:r>
    </w:p>
    <w:p w14:paraId="188DDCC8" w14:textId="77777777" w:rsidR="00CC1BFB" w:rsidRDefault="00CC1BFB" w:rsidP="00CC1BFB">
      <w:pPr>
        <w:spacing w:line="360" w:lineRule="auto"/>
        <w:rPr>
          <w:rFonts w:ascii="Times New Roman" w:hAnsi="Times New Roman" w:cs="Times New Roman"/>
        </w:rPr>
      </w:pPr>
    </w:p>
    <w:p w14:paraId="155BA59F" w14:textId="77777777" w:rsidR="00CC1BFB" w:rsidRPr="00240A6F" w:rsidRDefault="00CC1BFB" w:rsidP="00CC1BFB">
      <w:pPr>
        <w:spacing w:line="360" w:lineRule="auto"/>
        <w:rPr>
          <w:rFonts w:ascii="Times New Roman" w:hAnsi="Times New Roman" w:cs="Times New Roman"/>
          <w:b/>
          <w:bCs/>
        </w:rPr>
      </w:pPr>
      <w:commentRangeStart w:id="2"/>
      <w:commentRangeStart w:id="3"/>
      <w:commentRangeEnd w:id="2"/>
      <w:r>
        <w:rPr>
          <w:rStyle w:val="CommentReference"/>
        </w:rPr>
        <w:commentReference w:id="2"/>
      </w:r>
      <w:commentRangeEnd w:id="3"/>
      <w:r>
        <w:rPr>
          <w:rStyle w:val="CommentReference"/>
        </w:rPr>
        <w:commentReference w:id="3"/>
      </w:r>
      <w:r w:rsidRPr="00240A6F">
        <w:rPr>
          <w:rFonts w:ascii="Times New Roman" w:hAnsi="Times New Roman" w:cs="Times New Roman"/>
          <w:b/>
          <w:bCs/>
        </w:rPr>
        <w:t xml:space="preserve"> </w:t>
      </w:r>
      <w:r>
        <w:rPr>
          <w:rFonts w:ascii="Times New Roman" w:hAnsi="Times New Roman" w:cs="Times New Roman"/>
          <w:b/>
          <w:bCs/>
        </w:rPr>
        <w:t>Then, paragraph on idiots/idiots, proximal impact, surrogate representation</w:t>
      </w:r>
    </w:p>
    <w:p w14:paraId="77ED8ABE" w14:textId="77777777" w:rsidR="00CC1BFB" w:rsidRPr="00774DA6" w:rsidRDefault="00CC1BFB" w:rsidP="00CC1BFB">
      <w:r w:rsidRPr="00774DA6">
        <w:t>First</w:t>
      </w:r>
    </w:p>
    <w:p w14:paraId="6EF08DE3" w14:textId="77777777" w:rsidR="00CC1BFB" w:rsidRDefault="00CC1BFB" w:rsidP="00CC1BFB">
      <w:pPr>
        <w:pStyle w:val="ListParagraph"/>
        <w:numPr>
          <w:ilvl w:val="0"/>
          <w:numId w:val="22"/>
        </w:numPr>
      </w:pPr>
      <w:r>
        <w:t>Idiots/idiots</w:t>
      </w:r>
    </w:p>
    <w:p w14:paraId="1D8028D7" w14:textId="77777777" w:rsidR="00CC1BFB" w:rsidRDefault="00CC1BFB" w:rsidP="00CC1BFB">
      <w:pPr>
        <w:pStyle w:val="ListParagraph"/>
        <w:numPr>
          <w:ilvl w:val="0"/>
          <w:numId w:val="22"/>
        </w:numPr>
      </w:pPr>
      <w:r>
        <w:t>Also reasons we should not expect many folks with convictions</w:t>
      </w:r>
    </w:p>
    <w:p w14:paraId="58AB7ED2" w14:textId="77777777" w:rsidR="00CC1BFB" w:rsidRDefault="00CC1BFB" w:rsidP="00CC1BFB">
      <w:pPr>
        <w:pStyle w:val="ListParagraph"/>
        <w:numPr>
          <w:ilvl w:val="0"/>
          <w:numId w:val="22"/>
        </w:numPr>
      </w:pPr>
      <w:proofErr w:type="gramStart"/>
      <w:r>
        <w:t>Thus</w:t>
      </w:r>
      <w:proofErr w:type="gramEnd"/>
      <w:r>
        <w:t xml:space="preserve"> considering legislators who have been proximally impacted important </w:t>
      </w:r>
    </w:p>
    <w:p w14:paraId="462D1967" w14:textId="77777777" w:rsidR="00CC1BFB" w:rsidRDefault="00CC1BFB" w:rsidP="00CC1BFB">
      <w:r>
        <w:t>Second</w:t>
      </w:r>
    </w:p>
    <w:p w14:paraId="4B345976" w14:textId="77777777" w:rsidR="00CC1BFB" w:rsidRDefault="00CC1BFB" w:rsidP="00CC1BFB">
      <w:pPr>
        <w:pStyle w:val="ListParagraph"/>
        <w:numPr>
          <w:ilvl w:val="0"/>
          <w:numId w:val="22"/>
        </w:numPr>
      </w:pPr>
      <w:r>
        <w:t xml:space="preserve">Moreover, </w:t>
      </w:r>
      <w:commentRangeStart w:id="4"/>
      <w:r>
        <w:t>Kristina Miler () shows that in Congress, “surrogate” representation for poor constituencies</w:t>
      </w:r>
      <w:commentRangeEnd w:id="4"/>
      <w:r>
        <w:rPr>
          <w:rStyle w:val="CommentReference"/>
        </w:rPr>
        <w:commentReference w:id="4"/>
      </w:r>
    </w:p>
    <w:p w14:paraId="3258E3ED" w14:textId="77777777" w:rsidR="00CC1BFB" w:rsidRDefault="00CC1BFB" w:rsidP="00CC1BFB">
      <w:pPr>
        <w:pStyle w:val="ListParagraph"/>
        <w:numPr>
          <w:ilvl w:val="0"/>
          <w:numId w:val="2"/>
        </w:numPr>
      </w:pPr>
      <w:r>
        <w:t xml:space="preserve">Legislators themselves not one identity and concentric circles/counter-constituencies </w:t>
      </w:r>
      <w:r>
        <w:sym w:font="Wingdings" w:char="F0E0"/>
      </w:r>
      <w:r>
        <w:t xml:space="preserve">  </w:t>
      </w:r>
    </w:p>
    <w:p w14:paraId="172CCFB2" w14:textId="77777777" w:rsidR="00CC1BFB" w:rsidRDefault="00CC1BFB" w:rsidP="00CC1BFB">
      <w:pPr>
        <w:jc w:val="both"/>
      </w:pPr>
    </w:p>
    <w:p w14:paraId="2D2895EA" w14:textId="77777777" w:rsidR="00CC1BFB" w:rsidRDefault="00CC1BFB" w:rsidP="00CC1BFB">
      <w:pPr>
        <w:pStyle w:val="Heading2"/>
      </w:pPr>
      <w:bookmarkStart w:id="5" w:name="_Toc220591736"/>
      <w:r>
        <w:t>Section Header, Maybe Representation Beyond Responsiveness</w:t>
      </w:r>
      <w:bookmarkEnd w:id="5"/>
    </w:p>
    <w:p w14:paraId="090BF8F8" w14:textId="77777777" w:rsidR="00CC1BFB" w:rsidRDefault="00CC1BFB" w:rsidP="00CC1BFB">
      <w:pPr>
        <w:jc w:val="both"/>
      </w:pPr>
      <w:r>
        <w:t xml:space="preserve">However, political scientists have long recognized that representation </w:t>
      </w:r>
      <w:proofErr w:type="spellStart"/>
      <w:r>
        <w:t>encompases</w:t>
      </w:r>
      <w:proofErr w:type="spellEnd"/>
      <w:r>
        <w:t xml:space="preserve"> more than congruence between constituent preference and legislators’ roll-call votes. [</w:t>
      </w:r>
      <w:r>
        <w:rPr>
          <w:i/>
          <w:iCs/>
        </w:rPr>
        <w:t xml:space="preserve">maybe something that instead more directly transitions with Disch, or assumption undergirding </w:t>
      </w:r>
      <w:r>
        <w:rPr>
          <w:i/>
          <w:iCs/>
        </w:rPr>
        <w:lastRenderedPageBreak/>
        <w:t xml:space="preserve">descriptive – substantive connection?] </w:t>
      </w:r>
      <w:r>
        <w:t>Representatives actively construct meaning about constituency groups (Schneider and Ingram 1993), interact with groups in ways that shape whom they perceive as politically relevant and in turn communicate attentiveness and concern to publics through rhetoric, presence, and performance (</w:t>
      </w:r>
      <w:proofErr w:type="spellStart"/>
      <w:r>
        <w:t>Fenno</w:t>
      </w:r>
      <w:proofErr w:type="spellEnd"/>
      <w:r>
        <w:t xml:space="preserve"> 1978). Representation is thus constituted by communicative practices – symbolic representation – that signal who belongs within the representative’s imagined constituency, “create a sense of trust and support in the relationship between representative and represented (Eulau &amp; </w:t>
      </w:r>
      <w:proofErr w:type="spellStart"/>
      <w:r>
        <w:t>Kaprs</w:t>
      </w:r>
      <w:proofErr w:type="spellEnd"/>
      <w:r>
        <w:t xml:space="preserve"> 1997 p. 241). These acts of symbolic representation   - coupled with service responsiveness and policy responsiveness – are part of how representatives can establish bounds of political membership and determine constituency groups and shape their interests (Disch 2011, Saward 2010). </w:t>
      </w:r>
    </w:p>
    <w:p w14:paraId="2B5AF618" w14:textId="77777777" w:rsidR="00CC1BFB" w:rsidRDefault="00CC1BFB" w:rsidP="00CC1BFB">
      <w:pPr>
        <w:pStyle w:val="Heading2"/>
      </w:pPr>
      <w:bookmarkStart w:id="6" w:name="_Toc220591737"/>
      <w:r>
        <w:t>Section Header, What We Know about Symbolic Representation</w:t>
      </w:r>
      <w:bookmarkEnd w:id="6"/>
    </w:p>
    <w:p w14:paraId="5B9FD2CE" w14:textId="77777777" w:rsidR="00CC1BFB" w:rsidRDefault="00CC1BFB" w:rsidP="00CC1BFB">
      <w:pPr>
        <w:jc w:val="both"/>
      </w:pPr>
    </w:p>
    <w:p w14:paraId="0818596A" w14:textId="77777777" w:rsidR="00CC1BFB" w:rsidRDefault="00CC1BFB" w:rsidP="00CC1BFB">
      <w:pPr>
        <w:rPr>
          <w:b/>
          <w:bCs/>
        </w:rPr>
      </w:pPr>
    </w:p>
    <w:p w14:paraId="5A9B2672" w14:textId="43F77A37" w:rsidR="00EA21E4" w:rsidRPr="00CC1BFB" w:rsidRDefault="00CC1BFB" w:rsidP="00CC1BFB">
      <w:pPr>
        <w:jc w:val="center"/>
        <w:rPr>
          <w:b/>
          <w:bCs/>
        </w:rPr>
      </w:pPr>
      <w:r w:rsidRPr="00CC1BFB">
        <w:rPr>
          <w:b/>
          <w:bCs/>
        </w:rPr>
        <w:t>From Theory, Empirical</w:t>
      </w:r>
    </w:p>
    <w:p w14:paraId="7EEADB72" w14:textId="77777777" w:rsidR="00CC1BFB" w:rsidRDefault="00CC1BFB" w:rsidP="00EA21E4"/>
    <w:p w14:paraId="7E47A69B" w14:textId="77777777" w:rsidR="00CC1BFB" w:rsidRDefault="00CC1BFB" w:rsidP="00CC1BFB">
      <w:r>
        <w:t>OLD</w:t>
      </w:r>
    </w:p>
    <w:p w14:paraId="1DCF76AE" w14:textId="77777777" w:rsidR="00CC1BFB" w:rsidRPr="002A3F9E" w:rsidRDefault="00CC1BFB" w:rsidP="00CC1BFB">
      <w:r>
        <w:t xml:space="preserve">understanding that shared experiences can  </w:t>
      </w:r>
    </w:p>
    <w:p w14:paraId="3B08BA1E" w14:textId="77777777" w:rsidR="00CC1BFB" w:rsidRDefault="00CC1BFB" w:rsidP="00CC1BFB">
      <w:r>
        <w:t xml:space="preserve">Moreover, descriptive representation is thought to influence how problems are defined, which voices are heard, and which claims are treated as politically relevant. When legislatures are descriptively skewed, representation risks reflecting the social positions and interpretive frameworks of those most likely to enter office, rather than the full range of experiences present in the polity. </w:t>
      </w:r>
    </w:p>
    <w:p w14:paraId="58D8E09F" w14:textId="77777777" w:rsidR="00CC1BFB" w:rsidRDefault="00CC1BFB" w:rsidP="00CC1BFB">
      <w:pPr>
        <w:pStyle w:val="ListParagraph"/>
        <w:numPr>
          <w:ilvl w:val="0"/>
          <w:numId w:val="23"/>
        </w:numPr>
      </w:pPr>
      <w:r>
        <w:t>Emphasize congruence here</w:t>
      </w:r>
    </w:p>
    <w:p w14:paraId="132E17CB" w14:textId="77777777" w:rsidR="00CC1BFB" w:rsidRDefault="00CC1BFB" w:rsidP="00CC1BFB">
      <w:pPr>
        <w:pStyle w:val="ListParagraph"/>
        <w:numPr>
          <w:ilvl w:val="0"/>
          <w:numId w:val="23"/>
        </w:numPr>
      </w:pPr>
      <w:r>
        <w:t>Then responsiveness, inclusion</w:t>
      </w:r>
    </w:p>
    <w:p w14:paraId="6A538D07" w14:textId="77777777" w:rsidR="00CC1BFB" w:rsidRDefault="00CC1BFB" w:rsidP="00CC1BFB">
      <w:pPr>
        <w:pStyle w:val="ListParagraph"/>
        <w:numPr>
          <w:ilvl w:val="0"/>
          <w:numId w:val="23"/>
        </w:numPr>
      </w:pPr>
      <w:r>
        <w:t>Then (below) institutional)</w:t>
      </w:r>
    </w:p>
    <w:p w14:paraId="22562DEC" w14:textId="77777777" w:rsidR="00CC1BFB" w:rsidRDefault="00CC1BFB" w:rsidP="00CC1BFB">
      <w:r>
        <w:t xml:space="preserve">In other words, descriptive representation may act as a diagnostic for institutional bias: the degree to which patterns of political recruitment, agenda-setting, and responsiveness are shaped by who is present in decision-making spaces, independent of formal rules of inclusion. </w:t>
      </w:r>
    </w:p>
    <w:p w14:paraId="5F2C6B2F" w14:textId="77777777" w:rsidR="00CC1BFB" w:rsidRDefault="00CC1BFB" w:rsidP="00CC1BFB">
      <w:r>
        <w:t xml:space="preserve">It may shape representation by altering whose experiences form legislative deliberation, signaling inclusion and political membership to marginalized groups, and by changing the </w:t>
      </w:r>
      <w:r>
        <w:lastRenderedPageBreak/>
        <w:t xml:space="preserve">incentives and interpretive frames through which representatives understand their constituencies. Importantly, descriptive representation is not theorized as sufficient for democratic responsiveness, nor as uniformly beneficial across contexts. Rather it functions as one normative benchmark among others – useful precisely because it highlights when political institutions are systematically skewed away from the lived realities of the populations they govern. </w:t>
      </w:r>
    </w:p>
    <w:p w14:paraId="4618C99C" w14:textId="77777777" w:rsidR="00CC1BFB" w:rsidRDefault="00CC1BFB" w:rsidP="00CC1BFB">
      <w:pPr>
        <w:pBdr>
          <w:bottom w:val="single" w:sz="6" w:space="1" w:color="auto"/>
        </w:pBdr>
      </w:pPr>
      <w:r>
        <w:t>END OLD</w:t>
      </w:r>
    </w:p>
    <w:p w14:paraId="5A0EA11C" w14:textId="77777777" w:rsidR="00CC1BFB" w:rsidRDefault="00CC1BFB" w:rsidP="00EA21E4"/>
    <w:p w14:paraId="0ECAD3FB" w14:textId="77777777" w:rsidR="00CC1BFB" w:rsidRPr="00E83FA8" w:rsidRDefault="00CC1BFB" w:rsidP="00CC1BFB">
      <w:pPr>
        <w:spacing w:line="360" w:lineRule="auto"/>
        <w:jc w:val="center"/>
        <w:rPr>
          <w:sz w:val="32"/>
          <w:szCs w:val="32"/>
        </w:rPr>
      </w:pPr>
      <w:r>
        <w:rPr>
          <w:sz w:val="32"/>
          <w:szCs w:val="32"/>
        </w:rPr>
        <w:t>From latter part of theory</w:t>
      </w:r>
    </w:p>
    <w:p w14:paraId="16330BE5" w14:textId="77777777" w:rsidR="00CC1BFB" w:rsidRDefault="00CC1BFB" w:rsidP="00CC1BFB">
      <w:r>
        <w:t xml:space="preserve">, the carceral state has become a central point of contact between citizens and their </w:t>
      </w:r>
      <w:proofErr w:type="gramStart"/>
      <w:r>
        <w:t>government, and</w:t>
      </w:r>
      <w:proofErr w:type="gramEnd"/>
      <w:r>
        <w:t xml:space="preserve"> contact with criminal justice institutions “produces extreme mistrust of political institutions and public officials,” diminishes citizens’ sense that they can influence politics, and teaches them “to stay in the shadows and to be wary of public authority.” Carceral contact thus functions as </w:t>
      </w:r>
      <w:proofErr w:type="gramStart"/>
      <w:r>
        <w:t>a negative policy feedback</w:t>
      </w:r>
      <w:proofErr w:type="gramEnd"/>
      <w:r>
        <w:t>: rather than cultivating efficacy or civic incorporation, it generates alienation, withdrawal, and redefined expectations of state authority (Lerman &amp; Weaver 2014).</w:t>
      </w:r>
    </w:p>
    <w:p w14:paraId="3F5BFD26" w14:textId="77777777" w:rsidR="00CC1BFB" w:rsidRDefault="00CC1BFB" w:rsidP="00CC1BFB"/>
    <w:p w14:paraId="470B740B" w14:textId="77777777" w:rsidR="00CC1BFB" w:rsidRDefault="00CC1BFB" w:rsidP="00CC1BFB">
      <w:r>
        <w:t xml:space="preserve">These same institutional features that situate carceral citizens as a distinctive constituency also make them especially likely to be underrepresented or flatly excluded from democratic politics, as criminal justice institutions break “significantly with the fundamental norms that define democratic institutions” (Lerman &amp; Weaver 2014). Most obviously, whether to punish or rehabilitate, prisons and jails impose restrictions on the politically expression </w:t>
      </w:r>
    </w:p>
    <w:p w14:paraId="1D6FB0A6" w14:textId="77777777" w:rsidR="00CC1BFB" w:rsidRDefault="00CC1BFB" w:rsidP="00CC1BFB">
      <w:r>
        <w:t xml:space="preserve"> restrict political voice, undermine equality, and insulate state actors from accountability. </w:t>
      </w:r>
    </w:p>
    <w:p w14:paraId="60D8A44C" w14:textId="77777777" w:rsidR="00CC1BFB" w:rsidRDefault="00CC1BFB" w:rsidP="00CC1BFB">
      <w:r>
        <w:t xml:space="preserve">Prisons and jails are definitionally repressive institutions: they constrain movement, speech, and bodily autonomy and limit access to the ballot through </w:t>
      </w:r>
      <w:r>
        <w:rPr>
          <w:i/>
          <w:iCs/>
        </w:rPr>
        <w:t>de jure</w:t>
      </w:r>
      <w:r>
        <w:t xml:space="preserve"> and </w:t>
      </w:r>
      <w:r>
        <w:rPr>
          <w:i/>
          <w:iCs/>
        </w:rPr>
        <w:t xml:space="preserve">de facto </w:t>
      </w:r>
      <w:r>
        <w:t xml:space="preserve">disenfranchisement. Moreover, they impose barriers to political expression through restrictions on communication – restricted phone calls and censored mail, association, and participation in public or legislative forums. </w:t>
      </w:r>
    </w:p>
    <w:p w14:paraId="7223E933" w14:textId="77777777" w:rsidR="00CC1BFB" w:rsidRDefault="00CC1BFB" w:rsidP="00CC1BFB">
      <w:r>
        <w:t xml:space="preserve">Beyond formal exclusion, contact produces negative feedback effects. While scholars note exceptions, criminal legal contact socializes </w:t>
      </w:r>
      <w:proofErr w:type="spellStart"/>
      <w:r>
        <w:t>indivdiuals</w:t>
      </w:r>
      <w:proofErr w:type="spellEnd"/>
      <w:r>
        <w:t xml:space="preserve"> and communities to view the state as adversarial and unresponsive, generating mistrust, withdrawal, and avoidance or political engagement. And here too, effects are not confined to those currently </w:t>
      </w:r>
      <w:r>
        <w:lastRenderedPageBreak/>
        <w:t xml:space="preserve">incarcerated but rather extend to families, social networks, and communities that are disproportionately targeted by policing and surveillance, where incarceration weakens social ties, collective efficacy, and organizational capacity (). </w:t>
      </w:r>
    </w:p>
    <w:p w14:paraId="66B63173" w14:textId="77777777" w:rsidR="00CC1BFB" w:rsidRDefault="00CC1BFB" w:rsidP="00CC1BFB">
      <w:r>
        <w:t xml:space="preserve">In turn, carceral citizens are rendered systematically unlikely to appear in the channels that legislators rely on to perceive and respond to constituencies – voting, organized advocacy, routine constituent contact, or interest group representation – even as they are among those most </w:t>
      </w:r>
      <w:proofErr w:type="spellStart"/>
      <w:r>
        <w:t>goverened</w:t>
      </w:r>
      <w:proofErr w:type="spellEnd"/>
      <w:r>
        <w:t xml:space="preserve"> by the state. </w:t>
      </w:r>
    </w:p>
    <w:p w14:paraId="76940694" w14:textId="77777777" w:rsidR="00CC1BFB" w:rsidRPr="009E1C32" w:rsidRDefault="00CC1BFB" w:rsidP="00CC1BFB">
      <w:r>
        <w:t xml:space="preserve">In other words, this combination of repression, negative policy feedback, and spatially concentrated exclusion means that underrepresentation is not incidental but institutionally produced – at risk of rendering carceral citizens invisible while positioning them as most needing of representation and inclusion in decisions about punishment, rights, and social membership. </w:t>
      </w:r>
    </w:p>
    <w:p w14:paraId="27CD5AFF" w14:textId="77777777" w:rsidR="00CC1BFB" w:rsidRDefault="00CC1BFB" w:rsidP="00CC1BFB"/>
    <w:p w14:paraId="0C28AC73" w14:textId="77777777" w:rsidR="00CC1BFB" w:rsidRDefault="00CC1BFB" w:rsidP="00CC1BFB"/>
    <w:p w14:paraId="0F6C7A04" w14:textId="77777777" w:rsidR="00CC1BFB" w:rsidRPr="00816D08" w:rsidRDefault="00CC1BFB" w:rsidP="00CC1BFB">
      <w:pPr>
        <w:pStyle w:val="font-claude-response-body"/>
        <w:spacing w:line="360" w:lineRule="auto"/>
        <w:ind w:firstLine="720"/>
        <w:rPr>
          <w:rFonts w:asciiTheme="minorHAnsi" w:hAnsiTheme="minorHAnsi"/>
        </w:rPr>
      </w:pPr>
      <w:r w:rsidRPr="00816D08">
        <w:rPr>
          <w:rFonts w:asciiTheme="minorHAnsi" w:hAnsiTheme="minorHAnsi"/>
        </w:rPr>
        <w:t>Critically, Pottle demonstrates that descriptive representatives are not immune: legislators of color may face even greater pressure toward deracialization and distancing from stigmatized communities, such that descriptive congruence does not straightforwardly translate into discursive recognition. The communicative distrust Mansbridge identifies is, in this view, not only historical but structurally incentivized — and descriptive presence, while necessary, is not sufficient to overcome it.</w:t>
      </w:r>
    </w:p>
    <w:p w14:paraId="4F91B4CF" w14:textId="77777777" w:rsidR="00CC1BFB" w:rsidRPr="00986478" w:rsidRDefault="00CC1BFB" w:rsidP="00CC1BFB"/>
    <w:p w14:paraId="069B4C4D" w14:textId="77777777" w:rsidR="00CC1BFB" w:rsidRPr="00EA21E4" w:rsidRDefault="00CC1BFB" w:rsidP="00EA21E4"/>
    <w:sectPr w:rsidR="00CC1BFB" w:rsidRPr="00EA21E4" w:rsidSect="008728BF">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6-01-27T23:42:00Z" w:initials="KM">
    <w:p w14:paraId="1D670BBE" w14:textId="77777777" w:rsidR="00CC1BFB" w:rsidRDefault="00CC1BFB" w:rsidP="00CC1BFB">
      <w:r>
        <w:rPr>
          <w:rStyle w:val="CommentReference"/>
        </w:rPr>
        <w:annotationRef/>
      </w:r>
      <w:r>
        <w:rPr>
          <w:sz w:val="20"/>
          <w:szCs w:val="20"/>
        </w:rPr>
        <w:t>§  Descriptive representation is particularly important – not to mention normatively justified – under conditions of historical exclusion and unequal political voice (Mansbridge 1999 contingent defense. Descriptive rep should be response to structural inequality - ie when communication, trust, or recognition is systematically distorted.)</w:t>
      </w:r>
    </w:p>
    <w:p w14:paraId="153A48E0" w14:textId="77777777" w:rsidR="00CC1BFB" w:rsidRDefault="00CC1BFB" w:rsidP="00CC1BFB">
      <w:r>
        <w:rPr>
          <w:sz w:val="20"/>
          <w:szCs w:val="20"/>
        </w:rPr>
        <w:t xml:space="preserve">§  [Increasingly or in response, a literature on descriptive representation has emerged to help, in part, answer the question of first, who legislators are, and then whether that matters for congruency or what they do]. </w:t>
      </w:r>
    </w:p>
    <w:p w14:paraId="780A6C79" w14:textId="77777777" w:rsidR="00CC1BFB" w:rsidRDefault="00CC1BFB" w:rsidP="00CC1BFB"/>
  </w:comment>
  <w:comment w:id="1" w:author="Kristina Mensik" w:date="2026-01-27T23:43:00Z" w:initials="KM">
    <w:p w14:paraId="42F05984" w14:textId="77777777" w:rsidR="00CC1BFB" w:rsidRDefault="00CC1BFB" w:rsidP="00CC1BFB">
      <w:r>
        <w:rPr>
          <w:rStyle w:val="CommentReference"/>
        </w:rPr>
        <w:annotationRef/>
      </w:r>
      <w:r>
        <w:rPr>
          <w:sz w:val="20"/>
          <w:szCs w:val="20"/>
        </w:rPr>
        <w:t>§  Two mattering clusters:</w:t>
      </w:r>
      <w:r>
        <w:rPr>
          <w:color w:val="0000ED"/>
          <w:sz w:val="20"/>
          <w:szCs w:val="20"/>
          <w:u w:val="single"/>
        </w:rPr>
        <w:t>[KM1]</w:t>
      </w:r>
      <w:r>
        <w:rPr>
          <w:sz w:val="20"/>
          <w:szCs w:val="20"/>
        </w:rPr>
        <w:t> </w:t>
      </w:r>
    </w:p>
    <w:p w14:paraId="19A6E4AA" w14:textId="77777777" w:rsidR="00CC1BFB" w:rsidRDefault="00CC1BFB" w:rsidP="00CC1BFB">
      <w:r>
        <w:rPr>
          <w:sz w:val="20"/>
          <w:szCs w:val="20"/>
        </w:rPr>
        <w:t>o   For policy and service responsiveness</w:t>
      </w:r>
    </w:p>
    <w:p w14:paraId="329EFAB7" w14:textId="77777777" w:rsidR="00CC1BFB" w:rsidRDefault="00CC1BFB" w:rsidP="00CC1BFB">
      <w:r>
        <w:rPr>
          <w:sz w:val="20"/>
          <w:szCs w:val="20"/>
        </w:rPr>
        <w:t>o   Symbolic / epistemic goodies</w:t>
      </w:r>
    </w:p>
    <w:p w14:paraId="180517B9" w14:textId="77777777" w:rsidR="00CC1BFB" w:rsidRDefault="00CC1BFB" w:rsidP="00CC1BFB"/>
    <w:p w14:paraId="166BD480" w14:textId="77777777" w:rsidR="00CC1BFB" w:rsidRDefault="00CC1BFB" w:rsidP="00CC1BFB">
      <w:r>
        <w:rPr>
          <w:sz w:val="20"/>
          <w:szCs w:val="20"/>
        </w:rPr>
        <w:t> </w:t>
      </w:r>
      <w:r>
        <w:rPr>
          <w:color w:val="0000ED"/>
          <w:sz w:val="20"/>
          <w:szCs w:val="20"/>
          <w:u w:val="single"/>
        </w:rPr>
        <w:t>[KM1]</w:t>
      </w:r>
      <w:r>
        <w:rPr>
          <w:sz w:val="20"/>
          <w:szCs w:val="20"/>
        </w:rPr>
        <w:t>maybe this goes below</w:t>
      </w:r>
    </w:p>
    <w:p w14:paraId="41C3E022" w14:textId="77777777" w:rsidR="00CC1BFB" w:rsidRDefault="00CC1BFB" w:rsidP="00CC1BFB"/>
  </w:comment>
  <w:comment w:id="2" w:author="Kristina Mensik" w:date="2026-01-29T13:23:00Z" w:initials="KM">
    <w:p w14:paraId="127A4395" w14:textId="77777777" w:rsidR="00CC1BFB" w:rsidRDefault="00CC1BFB" w:rsidP="00CC1BFB">
      <w:r>
        <w:rPr>
          <w:rStyle w:val="CommentReference"/>
        </w:rPr>
        <w:annotationRef/>
      </w:r>
      <w:r>
        <w:rPr>
          <w:sz w:val="20"/>
          <w:szCs w:val="20"/>
        </w:rPr>
        <w:t xml:space="preserve">Jane Mansbridge articulates this symbolic power, and argues it can generate second-order effects. Namely, descriptive representation can strengthen perceptions of political inclusion and what Charles Taylor (1992) terms “equal dignity” under a politics of recognition. While critical in it’s own right – particularly in carceral contexts, this, in turn proves perceptions of government legitimacy, or “enhance de facto legitimacy by making citizens, and particularly members of historically underrepresented groups, feel as if they themselves were present in the deliberations” (Mansbridge 1999). </w:t>
      </w:r>
    </w:p>
    <w:p w14:paraId="777F6CB0" w14:textId="77777777" w:rsidR="00CC1BFB" w:rsidRDefault="00CC1BFB" w:rsidP="00CC1BFB"/>
  </w:comment>
  <w:comment w:id="3" w:author="Kristina Mensik" w:date="2026-01-29T13:24:00Z" w:initials="KM">
    <w:p w14:paraId="6E7999AA" w14:textId="77777777" w:rsidR="00CC1BFB" w:rsidRDefault="00CC1BFB" w:rsidP="00CC1BFB">
      <w:r>
        <w:rPr>
          <w:rStyle w:val="CommentReference"/>
        </w:rPr>
        <w:annotationRef/>
      </w:r>
      <w:r>
        <w:rPr>
          <w:sz w:val="20"/>
          <w:szCs w:val="20"/>
        </w:rPr>
        <w:t xml:space="preserve">Where descriptive representation involves the presence of groups in government, substantive representation concerns the representation of groups’ interests (Pitkins 1967). Theorists argue -- and empirical scholars investigate whether and when – descriptive representation translates to substantive representation. First, Mansbridge and Pitkin argue that descriptive representation can facilitate better legislative understanding of constituent needs (Pitkin 1967, Mansbridge 1999). Mansbridge assumes this can occur implicitly, or that shared experiences translate to shared understandings and interests. But she also argues representatives and voters who share common experiences and have “the outward signs of having lived through those experiences . . . can often read one another’s signals relatively easily and engage in relatively accurate forms of shorthand communication” and “forge bonds of trust based specifically on the shared experience of subordination” (1999). </w:t>
      </w:r>
    </w:p>
    <w:p w14:paraId="4A090704" w14:textId="77777777" w:rsidR="00CC1BFB" w:rsidRDefault="00CC1BFB" w:rsidP="00CC1BFB"/>
  </w:comment>
  <w:comment w:id="4" w:author="Kristina Mensik" w:date="2026-01-22T13:31:00Z" w:initials="KM">
    <w:p w14:paraId="575F12D2" w14:textId="77777777" w:rsidR="00CC1BFB" w:rsidRDefault="00CC1BFB" w:rsidP="00CC1BFB">
      <w:r>
        <w:rPr>
          <w:rStyle w:val="CommentReference"/>
        </w:rPr>
        <w:annotationRef/>
      </w:r>
      <w:r>
        <w:rPr>
          <w:sz w:val="20"/>
          <w:szCs w:val="20"/>
        </w:rPr>
        <w:t xml:space="preserve">why does this matter?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0A6C79" w15:done="0"/>
  <w15:commentEx w15:paraId="41C3E022" w15:paraIdParent="780A6C79" w15:done="0"/>
  <w15:commentEx w15:paraId="777F6CB0" w15:done="0"/>
  <w15:commentEx w15:paraId="4A090704" w15:paraIdParent="777F6CB0" w15:done="0"/>
  <w15:commentEx w15:paraId="575F12D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61028" w16cex:dateUtc="2026-01-28T04:42:00Z"/>
  <w16cex:commentExtensible w16cex:durableId="7C79411E" w16cex:dateUtc="2026-01-28T04:43:00Z"/>
  <w16cex:commentExtensible w16cex:durableId="0ACFC060" w16cex:dateUtc="2026-01-29T18:23:00Z"/>
  <w16cex:commentExtensible w16cex:durableId="0D1E7F19" w16cex:dateUtc="2026-01-29T18:24:00Z"/>
  <w16cex:commentExtensible w16cex:durableId="3CEE4AD2" w16cex:dateUtc="2026-01-22T1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0A6C79" w16cid:durableId="5BD61028"/>
  <w16cid:commentId w16cid:paraId="41C3E022" w16cid:durableId="7C79411E"/>
  <w16cid:commentId w16cid:paraId="777F6CB0" w16cid:durableId="0ACFC060"/>
  <w16cid:commentId w16cid:paraId="4A090704" w16cid:durableId="0D1E7F19"/>
  <w16cid:commentId w16cid:paraId="575F12D2" w16cid:durableId="3CEE4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4563" w14:textId="77777777" w:rsidR="00012288" w:rsidRDefault="00012288" w:rsidP="00DA6DB8">
      <w:pPr>
        <w:spacing w:after="0" w:line="240" w:lineRule="auto"/>
      </w:pPr>
      <w:r>
        <w:separator/>
      </w:r>
    </w:p>
  </w:endnote>
  <w:endnote w:type="continuationSeparator" w:id="0">
    <w:p w14:paraId="6AFA8B76" w14:textId="77777777" w:rsidR="00012288" w:rsidRDefault="00012288" w:rsidP="00DA6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3A54" w14:textId="77777777" w:rsidR="00012288" w:rsidRDefault="00012288" w:rsidP="00DA6DB8">
      <w:pPr>
        <w:spacing w:after="0" w:line="240" w:lineRule="auto"/>
      </w:pPr>
      <w:r>
        <w:separator/>
      </w:r>
    </w:p>
  </w:footnote>
  <w:footnote w:type="continuationSeparator" w:id="0">
    <w:p w14:paraId="7B573C95" w14:textId="77777777" w:rsidR="00012288" w:rsidRDefault="00012288" w:rsidP="00DA6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1B5"/>
    <w:multiLevelType w:val="hybridMultilevel"/>
    <w:tmpl w:val="20A23E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812A7"/>
    <w:multiLevelType w:val="hybridMultilevel"/>
    <w:tmpl w:val="98544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C7E40"/>
    <w:multiLevelType w:val="hybridMultilevel"/>
    <w:tmpl w:val="A7FACB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D735F"/>
    <w:multiLevelType w:val="hybridMultilevel"/>
    <w:tmpl w:val="9C04C96C"/>
    <w:lvl w:ilvl="0" w:tplc="07EA022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A79C2"/>
    <w:multiLevelType w:val="hybridMultilevel"/>
    <w:tmpl w:val="A0603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F49A0"/>
    <w:multiLevelType w:val="hybridMultilevel"/>
    <w:tmpl w:val="7334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82408"/>
    <w:multiLevelType w:val="hybridMultilevel"/>
    <w:tmpl w:val="F152A10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C14F3"/>
    <w:multiLevelType w:val="hybridMultilevel"/>
    <w:tmpl w:val="ADF4F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33E54"/>
    <w:multiLevelType w:val="hybridMultilevel"/>
    <w:tmpl w:val="349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44B92"/>
    <w:multiLevelType w:val="hybridMultilevel"/>
    <w:tmpl w:val="E5B86F94"/>
    <w:lvl w:ilvl="0" w:tplc="07EA022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072A64"/>
    <w:multiLevelType w:val="hybridMultilevel"/>
    <w:tmpl w:val="072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690A4E"/>
    <w:multiLevelType w:val="hybridMultilevel"/>
    <w:tmpl w:val="0D84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25727"/>
    <w:multiLevelType w:val="hybridMultilevel"/>
    <w:tmpl w:val="8698E324"/>
    <w:lvl w:ilvl="0" w:tplc="07EA0224">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480E44"/>
    <w:multiLevelType w:val="hybridMultilevel"/>
    <w:tmpl w:val="CD18AE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80775D"/>
    <w:multiLevelType w:val="hybridMultilevel"/>
    <w:tmpl w:val="09C08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04AE7"/>
    <w:multiLevelType w:val="hybridMultilevel"/>
    <w:tmpl w:val="ADC01B2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1" w15:restartNumberingAfterBreak="0">
    <w:nsid w:val="59C77987"/>
    <w:multiLevelType w:val="hybridMultilevel"/>
    <w:tmpl w:val="EEEA4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BE75BF"/>
    <w:multiLevelType w:val="hybridMultilevel"/>
    <w:tmpl w:val="D5C81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9F68DD"/>
    <w:multiLevelType w:val="hybridMultilevel"/>
    <w:tmpl w:val="434050C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212F5"/>
    <w:multiLevelType w:val="hybridMultilevel"/>
    <w:tmpl w:val="D5781EBE"/>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25705"/>
    <w:multiLevelType w:val="hybridMultilevel"/>
    <w:tmpl w:val="3FDE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6B035E"/>
    <w:multiLevelType w:val="hybridMultilevel"/>
    <w:tmpl w:val="94F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E115F0"/>
    <w:multiLevelType w:val="hybridMultilevel"/>
    <w:tmpl w:val="B2A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190249">
    <w:abstractNumId w:val="0"/>
  </w:num>
  <w:num w:numId="2" w16cid:durableId="302195302">
    <w:abstractNumId w:val="22"/>
  </w:num>
  <w:num w:numId="3" w16cid:durableId="1941909325">
    <w:abstractNumId w:val="18"/>
  </w:num>
  <w:num w:numId="4" w16cid:durableId="1778213345">
    <w:abstractNumId w:val="11"/>
  </w:num>
  <w:num w:numId="5" w16cid:durableId="433479709">
    <w:abstractNumId w:val="1"/>
  </w:num>
  <w:num w:numId="6" w16cid:durableId="11615285">
    <w:abstractNumId w:val="4"/>
  </w:num>
  <w:num w:numId="7" w16cid:durableId="1448307287">
    <w:abstractNumId w:val="23"/>
  </w:num>
  <w:num w:numId="8" w16cid:durableId="1409426247">
    <w:abstractNumId w:val="10"/>
  </w:num>
  <w:num w:numId="9" w16cid:durableId="1345519617">
    <w:abstractNumId w:val="19"/>
  </w:num>
  <w:num w:numId="10" w16cid:durableId="607542148">
    <w:abstractNumId w:val="6"/>
  </w:num>
  <w:num w:numId="11" w16cid:durableId="591202567">
    <w:abstractNumId w:val="3"/>
  </w:num>
  <w:num w:numId="12" w16cid:durableId="681200645">
    <w:abstractNumId w:val="8"/>
  </w:num>
  <w:num w:numId="13" w16cid:durableId="1063063690">
    <w:abstractNumId w:val="15"/>
  </w:num>
  <w:num w:numId="14" w16cid:durableId="1687562852">
    <w:abstractNumId w:val="2"/>
  </w:num>
  <w:num w:numId="15" w16cid:durableId="1490898072">
    <w:abstractNumId w:val="12"/>
  </w:num>
  <w:num w:numId="16" w16cid:durableId="1250312468">
    <w:abstractNumId w:val="20"/>
  </w:num>
  <w:num w:numId="17" w16cid:durableId="175534330">
    <w:abstractNumId w:val="26"/>
  </w:num>
  <w:num w:numId="18" w16cid:durableId="1852602535">
    <w:abstractNumId w:val="25"/>
  </w:num>
  <w:num w:numId="19" w16cid:durableId="1392343131">
    <w:abstractNumId w:val="7"/>
  </w:num>
  <w:num w:numId="20" w16cid:durableId="350179728">
    <w:abstractNumId w:val="21"/>
  </w:num>
  <w:num w:numId="21" w16cid:durableId="1198662055">
    <w:abstractNumId w:val="14"/>
  </w:num>
  <w:num w:numId="22" w16cid:durableId="1512258154">
    <w:abstractNumId w:val="16"/>
  </w:num>
  <w:num w:numId="23" w16cid:durableId="648899330">
    <w:abstractNumId w:val="27"/>
  </w:num>
  <w:num w:numId="24" w16cid:durableId="2104719525">
    <w:abstractNumId w:val="9"/>
  </w:num>
  <w:num w:numId="25" w16cid:durableId="1302031068">
    <w:abstractNumId w:val="13"/>
  </w:num>
  <w:num w:numId="26" w16cid:durableId="217520433">
    <w:abstractNumId w:val="5"/>
  </w:num>
  <w:num w:numId="27" w16cid:durableId="1569144153">
    <w:abstractNumId w:val="17"/>
  </w:num>
  <w:num w:numId="28" w16cid:durableId="213918155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1D"/>
    <w:rsid w:val="000035BE"/>
    <w:rsid w:val="00012288"/>
    <w:rsid w:val="000223F2"/>
    <w:rsid w:val="00052C77"/>
    <w:rsid w:val="00094164"/>
    <w:rsid w:val="000A76EF"/>
    <w:rsid w:val="000B30FA"/>
    <w:rsid w:val="000B4664"/>
    <w:rsid w:val="000D432F"/>
    <w:rsid w:val="000F5AC3"/>
    <w:rsid w:val="00111FF6"/>
    <w:rsid w:val="00125550"/>
    <w:rsid w:val="00131DE9"/>
    <w:rsid w:val="001322D3"/>
    <w:rsid w:val="00136AC2"/>
    <w:rsid w:val="00137F24"/>
    <w:rsid w:val="00143D48"/>
    <w:rsid w:val="001531D9"/>
    <w:rsid w:val="00174ED0"/>
    <w:rsid w:val="001B2D86"/>
    <w:rsid w:val="001B48DC"/>
    <w:rsid w:val="001E24B0"/>
    <w:rsid w:val="00205AEE"/>
    <w:rsid w:val="00225C10"/>
    <w:rsid w:val="00233390"/>
    <w:rsid w:val="00240A6F"/>
    <w:rsid w:val="00246AF1"/>
    <w:rsid w:val="00266341"/>
    <w:rsid w:val="00270898"/>
    <w:rsid w:val="00271D07"/>
    <w:rsid w:val="00283691"/>
    <w:rsid w:val="002A3948"/>
    <w:rsid w:val="002A3F9E"/>
    <w:rsid w:val="002B3DB6"/>
    <w:rsid w:val="002B4613"/>
    <w:rsid w:val="002C5E98"/>
    <w:rsid w:val="002E11D9"/>
    <w:rsid w:val="002E45DE"/>
    <w:rsid w:val="002E554D"/>
    <w:rsid w:val="002F253B"/>
    <w:rsid w:val="0030716D"/>
    <w:rsid w:val="0033373D"/>
    <w:rsid w:val="003C5E61"/>
    <w:rsid w:val="003C774C"/>
    <w:rsid w:val="003D04AB"/>
    <w:rsid w:val="003F5B8E"/>
    <w:rsid w:val="003F75C4"/>
    <w:rsid w:val="00401201"/>
    <w:rsid w:val="004078FF"/>
    <w:rsid w:val="004161A4"/>
    <w:rsid w:val="004209C6"/>
    <w:rsid w:val="0043318F"/>
    <w:rsid w:val="0043512D"/>
    <w:rsid w:val="00436053"/>
    <w:rsid w:val="00446FB8"/>
    <w:rsid w:val="00470BC2"/>
    <w:rsid w:val="00484ECE"/>
    <w:rsid w:val="00491302"/>
    <w:rsid w:val="004C5FFA"/>
    <w:rsid w:val="004C7E67"/>
    <w:rsid w:val="004D6C30"/>
    <w:rsid w:val="00507543"/>
    <w:rsid w:val="00513587"/>
    <w:rsid w:val="005148E4"/>
    <w:rsid w:val="005224C6"/>
    <w:rsid w:val="00547DFE"/>
    <w:rsid w:val="00566F1C"/>
    <w:rsid w:val="0058199D"/>
    <w:rsid w:val="005830D8"/>
    <w:rsid w:val="005A41B1"/>
    <w:rsid w:val="005A43C2"/>
    <w:rsid w:val="005E0F1E"/>
    <w:rsid w:val="005F0549"/>
    <w:rsid w:val="005F0876"/>
    <w:rsid w:val="005F2754"/>
    <w:rsid w:val="00664ED4"/>
    <w:rsid w:val="00680A7B"/>
    <w:rsid w:val="006A4D59"/>
    <w:rsid w:val="006A7CB9"/>
    <w:rsid w:val="006B2E88"/>
    <w:rsid w:val="006B637B"/>
    <w:rsid w:val="006C0245"/>
    <w:rsid w:val="006C16E1"/>
    <w:rsid w:val="006C1F9D"/>
    <w:rsid w:val="006F1100"/>
    <w:rsid w:val="00717843"/>
    <w:rsid w:val="00730171"/>
    <w:rsid w:val="0077211D"/>
    <w:rsid w:val="0077426E"/>
    <w:rsid w:val="00774DA6"/>
    <w:rsid w:val="00790F56"/>
    <w:rsid w:val="00794095"/>
    <w:rsid w:val="007A3879"/>
    <w:rsid w:val="007B7A94"/>
    <w:rsid w:val="007C5054"/>
    <w:rsid w:val="007D6D50"/>
    <w:rsid w:val="007F047D"/>
    <w:rsid w:val="00806BEF"/>
    <w:rsid w:val="00816D08"/>
    <w:rsid w:val="00816D52"/>
    <w:rsid w:val="008341D1"/>
    <w:rsid w:val="008355EE"/>
    <w:rsid w:val="00837F45"/>
    <w:rsid w:val="00842B23"/>
    <w:rsid w:val="00860986"/>
    <w:rsid w:val="00871980"/>
    <w:rsid w:val="00872495"/>
    <w:rsid w:val="008728BF"/>
    <w:rsid w:val="0087482E"/>
    <w:rsid w:val="008763DC"/>
    <w:rsid w:val="00876A4C"/>
    <w:rsid w:val="008804DB"/>
    <w:rsid w:val="00887E83"/>
    <w:rsid w:val="008A5243"/>
    <w:rsid w:val="008B3DA1"/>
    <w:rsid w:val="008B7300"/>
    <w:rsid w:val="008C69B6"/>
    <w:rsid w:val="008F3A00"/>
    <w:rsid w:val="008F7450"/>
    <w:rsid w:val="00905D0C"/>
    <w:rsid w:val="009122D1"/>
    <w:rsid w:val="00914F65"/>
    <w:rsid w:val="0092629B"/>
    <w:rsid w:val="00941B9C"/>
    <w:rsid w:val="00952272"/>
    <w:rsid w:val="00963639"/>
    <w:rsid w:val="00970A16"/>
    <w:rsid w:val="009800D5"/>
    <w:rsid w:val="00981A90"/>
    <w:rsid w:val="00986478"/>
    <w:rsid w:val="009E1C32"/>
    <w:rsid w:val="00A000EE"/>
    <w:rsid w:val="00A07EB3"/>
    <w:rsid w:val="00A273CB"/>
    <w:rsid w:val="00A310F1"/>
    <w:rsid w:val="00A34739"/>
    <w:rsid w:val="00A45569"/>
    <w:rsid w:val="00A47190"/>
    <w:rsid w:val="00A4799C"/>
    <w:rsid w:val="00A55848"/>
    <w:rsid w:val="00A56C15"/>
    <w:rsid w:val="00A830ED"/>
    <w:rsid w:val="00A91186"/>
    <w:rsid w:val="00A960A3"/>
    <w:rsid w:val="00AA79AA"/>
    <w:rsid w:val="00AC5462"/>
    <w:rsid w:val="00AD405A"/>
    <w:rsid w:val="00AF25FC"/>
    <w:rsid w:val="00AF2830"/>
    <w:rsid w:val="00B16575"/>
    <w:rsid w:val="00B22777"/>
    <w:rsid w:val="00B2420D"/>
    <w:rsid w:val="00B30B86"/>
    <w:rsid w:val="00B316C7"/>
    <w:rsid w:val="00B4437D"/>
    <w:rsid w:val="00B47922"/>
    <w:rsid w:val="00B500FA"/>
    <w:rsid w:val="00B56A00"/>
    <w:rsid w:val="00C027FE"/>
    <w:rsid w:val="00C1170E"/>
    <w:rsid w:val="00C27A2F"/>
    <w:rsid w:val="00C349D5"/>
    <w:rsid w:val="00C72AA0"/>
    <w:rsid w:val="00C76FC2"/>
    <w:rsid w:val="00C92ED2"/>
    <w:rsid w:val="00CA1736"/>
    <w:rsid w:val="00CA79E1"/>
    <w:rsid w:val="00CB5C42"/>
    <w:rsid w:val="00CC1890"/>
    <w:rsid w:val="00CC1BFB"/>
    <w:rsid w:val="00CE17D6"/>
    <w:rsid w:val="00CF121A"/>
    <w:rsid w:val="00D11123"/>
    <w:rsid w:val="00D130C0"/>
    <w:rsid w:val="00D14C56"/>
    <w:rsid w:val="00D30FC8"/>
    <w:rsid w:val="00D406C3"/>
    <w:rsid w:val="00D43D9B"/>
    <w:rsid w:val="00D54981"/>
    <w:rsid w:val="00D564CC"/>
    <w:rsid w:val="00D8245A"/>
    <w:rsid w:val="00D92C2B"/>
    <w:rsid w:val="00D95CAD"/>
    <w:rsid w:val="00DA65F4"/>
    <w:rsid w:val="00DA6DB8"/>
    <w:rsid w:val="00DE4A5C"/>
    <w:rsid w:val="00DF01EF"/>
    <w:rsid w:val="00DF58C2"/>
    <w:rsid w:val="00DF638A"/>
    <w:rsid w:val="00E03E30"/>
    <w:rsid w:val="00E256ED"/>
    <w:rsid w:val="00E2726F"/>
    <w:rsid w:val="00E31CA4"/>
    <w:rsid w:val="00E451D6"/>
    <w:rsid w:val="00E55D6C"/>
    <w:rsid w:val="00E56F39"/>
    <w:rsid w:val="00E82284"/>
    <w:rsid w:val="00E83FA8"/>
    <w:rsid w:val="00E87CD4"/>
    <w:rsid w:val="00EA21E4"/>
    <w:rsid w:val="00EA287F"/>
    <w:rsid w:val="00EA384C"/>
    <w:rsid w:val="00EC61F1"/>
    <w:rsid w:val="00ED4ED6"/>
    <w:rsid w:val="00ED67E1"/>
    <w:rsid w:val="00EF4A48"/>
    <w:rsid w:val="00F05259"/>
    <w:rsid w:val="00F3573D"/>
    <w:rsid w:val="00F416BB"/>
    <w:rsid w:val="00F47628"/>
    <w:rsid w:val="00F67544"/>
    <w:rsid w:val="00F70814"/>
    <w:rsid w:val="00F759F4"/>
    <w:rsid w:val="00F8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74213"/>
  <w15:chartTrackingRefBased/>
  <w15:docId w15:val="{5855E19C-B46D-074C-8860-54445922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1D"/>
    <w:rPr>
      <w:rFonts w:eastAsiaTheme="majorEastAsia" w:cstheme="majorBidi"/>
      <w:color w:val="272727" w:themeColor="text1" w:themeTint="D8"/>
    </w:rPr>
  </w:style>
  <w:style w:type="paragraph" w:styleId="Title">
    <w:name w:val="Title"/>
    <w:basedOn w:val="Normal"/>
    <w:next w:val="Normal"/>
    <w:link w:val="TitleChar"/>
    <w:uiPriority w:val="10"/>
    <w:qFormat/>
    <w:rsid w:val="00772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1D"/>
    <w:pPr>
      <w:spacing w:before="160"/>
      <w:jc w:val="center"/>
    </w:pPr>
    <w:rPr>
      <w:i/>
      <w:iCs/>
      <w:color w:val="404040" w:themeColor="text1" w:themeTint="BF"/>
    </w:rPr>
  </w:style>
  <w:style w:type="character" w:customStyle="1" w:styleId="QuoteChar">
    <w:name w:val="Quote Char"/>
    <w:basedOn w:val="DefaultParagraphFont"/>
    <w:link w:val="Quote"/>
    <w:uiPriority w:val="29"/>
    <w:rsid w:val="0077211D"/>
    <w:rPr>
      <w:i/>
      <w:iCs/>
      <w:color w:val="404040" w:themeColor="text1" w:themeTint="BF"/>
    </w:rPr>
  </w:style>
  <w:style w:type="paragraph" w:styleId="ListParagraph">
    <w:name w:val="List Paragraph"/>
    <w:basedOn w:val="Normal"/>
    <w:uiPriority w:val="34"/>
    <w:qFormat/>
    <w:rsid w:val="0077211D"/>
    <w:pPr>
      <w:ind w:left="720"/>
      <w:contextualSpacing/>
    </w:pPr>
  </w:style>
  <w:style w:type="character" w:styleId="IntenseEmphasis">
    <w:name w:val="Intense Emphasis"/>
    <w:basedOn w:val="DefaultParagraphFont"/>
    <w:uiPriority w:val="21"/>
    <w:qFormat/>
    <w:rsid w:val="0077211D"/>
    <w:rPr>
      <w:i/>
      <w:iCs/>
      <w:color w:val="0F4761" w:themeColor="accent1" w:themeShade="BF"/>
    </w:rPr>
  </w:style>
  <w:style w:type="paragraph" w:styleId="IntenseQuote">
    <w:name w:val="Intense Quote"/>
    <w:basedOn w:val="Normal"/>
    <w:next w:val="Normal"/>
    <w:link w:val="IntenseQuoteChar"/>
    <w:uiPriority w:val="30"/>
    <w:qFormat/>
    <w:rsid w:val="00772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1D"/>
    <w:rPr>
      <w:i/>
      <w:iCs/>
      <w:color w:val="0F4761" w:themeColor="accent1" w:themeShade="BF"/>
    </w:rPr>
  </w:style>
  <w:style w:type="character" w:styleId="IntenseReference">
    <w:name w:val="Intense Reference"/>
    <w:basedOn w:val="DefaultParagraphFont"/>
    <w:uiPriority w:val="32"/>
    <w:qFormat/>
    <w:rsid w:val="0077211D"/>
    <w:rPr>
      <w:b/>
      <w:bCs/>
      <w:smallCaps/>
      <w:color w:val="0F4761" w:themeColor="accent1" w:themeShade="BF"/>
      <w:spacing w:val="5"/>
    </w:rPr>
  </w:style>
  <w:style w:type="character" w:styleId="CommentReference">
    <w:name w:val="annotation reference"/>
    <w:basedOn w:val="DefaultParagraphFont"/>
    <w:uiPriority w:val="99"/>
    <w:semiHidden/>
    <w:unhideWhenUsed/>
    <w:rsid w:val="0033373D"/>
    <w:rPr>
      <w:sz w:val="16"/>
      <w:szCs w:val="16"/>
    </w:rPr>
  </w:style>
  <w:style w:type="paragraph" w:styleId="CommentText">
    <w:name w:val="annotation text"/>
    <w:basedOn w:val="Normal"/>
    <w:link w:val="CommentTextChar"/>
    <w:uiPriority w:val="99"/>
    <w:semiHidden/>
    <w:unhideWhenUsed/>
    <w:rsid w:val="0033373D"/>
    <w:pPr>
      <w:spacing w:line="240" w:lineRule="auto"/>
    </w:pPr>
    <w:rPr>
      <w:sz w:val="20"/>
      <w:szCs w:val="20"/>
    </w:rPr>
  </w:style>
  <w:style w:type="character" w:customStyle="1" w:styleId="CommentTextChar">
    <w:name w:val="Comment Text Char"/>
    <w:basedOn w:val="DefaultParagraphFont"/>
    <w:link w:val="CommentText"/>
    <w:uiPriority w:val="99"/>
    <w:semiHidden/>
    <w:rsid w:val="0033373D"/>
    <w:rPr>
      <w:sz w:val="20"/>
      <w:szCs w:val="20"/>
    </w:rPr>
  </w:style>
  <w:style w:type="paragraph" w:styleId="CommentSubject">
    <w:name w:val="annotation subject"/>
    <w:basedOn w:val="CommentText"/>
    <w:next w:val="CommentText"/>
    <w:link w:val="CommentSubjectChar"/>
    <w:uiPriority w:val="99"/>
    <w:semiHidden/>
    <w:unhideWhenUsed/>
    <w:rsid w:val="0033373D"/>
    <w:rPr>
      <w:b/>
      <w:bCs/>
    </w:rPr>
  </w:style>
  <w:style w:type="character" w:customStyle="1" w:styleId="CommentSubjectChar">
    <w:name w:val="Comment Subject Char"/>
    <w:basedOn w:val="CommentTextChar"/>
    <w:link w:val="CommentSubject"/>
    <w:uiPriority w:val="99"/>
    <w:semiHidden/>
    <w:rsid w:val="0033373D"/>
    <w:rPr>
      <w:b/>
      <w:bCs/>
      <w:sz w:val="20"/>
      <w:szCs w:val="20"/>
    </w:rPr>
  </w:style>
  <w:style w:type="character" w:styleId="Hyperlink">
    <w:name w:val="Hyperlink"/>
    <w:basedOn w:val="DefaultParagraphFont"/>
    <w:uiPriority w:val="99"/>
    <w:unhideWhenUsed/>
    <w:rsid w:val="00B2420D"/>
    <w:rPr>
      <w:color w:val="467886" w:themeColor="hyperlink"/>
      <w:u w:val="single"/>
    </w:rPr>
  </w:style>
  <w:style w:type="character" w:styleId="UnresolvedMention">
    <w:name w:val="Unresolved Mention"/>
    <w:basedOn w:val="DefaultParagraphFont"/>
    <w:uiPriority w:val="99"/>
    <w:semiHidden/>
    <w:unhideWhenUsed/>
    <w:rsid w:val="00B2420D"/>
    <w:rPr>
      <w:color w:val="605E5C"/>
      <w:shd w:val="clear" w:color="auto" w:fill="E1DFDD"/>
    </w:rPr>
  </w:style>
  <w:style w:type="paragraph" w:styleId="TOCHeading">
    <w:name w:val="TOC Heading"/>
    <w:basedOn w:val="Heading1"/>
    <w:next w:val="Normal"/>
    <w:uiPriority w:val="39"/>
    <w:unhideWhenUsed/>
    <w:qFormat/>
    <w:rsid w:val="001B48DC"/>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1B48DC"/>
    <w:pPr>
      <w:spacing w:before="120" w:after="0"/>
      <w:ind w:left="240"/>
    </w:pPr>
    <w:rPr>
      <w:b/>
      <w:bCs/>
      <w:sz w:val="22"/>
      <w:szCs w:val="22"/>
    </w:rPr>
  </w:style>
  <w:style w:type="paragraph" w:styleId="TOC1">
    <w:name w:val="toc 1"/>
    <w:basedOn w:val="Normal"/>
    <w:next w:val="Normal"/>
    <w:autoRedefine/>
    <w:uiPriority w:val="39"/>
    <w:unhideWhenUsed/>
    <w:rsid w:val="001B48DC"/>
    <w:pPr>
      <w:spacing w:before="120" w:after="0"/>
    </w:pPr>
    <w:rPr>
      <w:b/>
      <w:bCs/>
      <w:i/>
      <w:iCs/>
    </w:rPr>
  </w:style>
  <w:style w:type="paragraph" w:styleId="TOC3">
    <w:name w:val="toc 3"/>
    <w:basedOn w:val="Normal"/>
    <w:next w:val="Normal"/>
    <w:autoRedefine/>
    <w:uiPriority w:val="39"/>
    <w:unhideWhenUsed/>
    <w:rsid w:val="001B48DC"/>
    <w:pPr>
      <w:spacing w:after="0"/>
      <w:ind w:left="480"/>
    </w:pPr>
    <w:rPr>
      <w:sz w:val="20"/>
      <w:szCs w:val="20"/>
    </w:rPr>
  </w:style>
  <w:style w:type="paragraph" w:styleId="TOC4">
    <w:name w:val="toc 4"/>
    <w:basedOn w:val="Normal"/>
    <w:next w:val="Normal"/>
    <w:autoRedefine/>
    <w:uiPriority w:val="39"/>
    <w:semiHidden/>
    <w:unhideWhenUsed/>
    <w:rsid w:val="001B48DC"/>
    <w:pPr>
      <w:spacing w:after="0"/>
      <w:ind w:left="720"/>
    </w:pPr>
    <w:rPr>
      <w:sz w:val="20"/>
      <w:szCs w:val="20"/>
    </w:rPr>
  </w:style>
  <w:style w:type="paragraph" w:styleId="TOC5">
    <w:name w:val="toc 5"/>
    <w:basedOn w:val="Normal"/>
    <w:next w:val="Normal"/>
    <w:autoRedefine/>
    <w:uiPriority w:val="39"/>
    <w:semiHidden/>
    <w:unhideWhenUsed/>
    <w:rsid w:val="001B48DC"/>
    <w:pPr>
      <w:spacing w:after="0"/>
      <w:ind w:left="960"/>
    </w:pPr>
    <w:rPr>
      <w:sz w:val="20"/>
      <w:szCs w:val="20"/>
    </w:rPr>
  </w:style>
  <w:style w:type="paragraph" w:styleId="TOC6">
    <w:name w:val="toc 6"/>
    <w:basedOn w:val="Normal"/>
    <w:next w:val="Normal"/>
    <w:autoRedefine/>
    <w:uiPriority w:val="39"/>
    <w:semiHidden/>
    <w:unhideWhenUsed/>
    <w:rsid w:val="001B48DC"/>
    <w:pPr>
      <w:spacing w:after="0"/>
      <w:ind w:left="1200"/>
    </w:pPr>
    <w:rPr>
      <w:sz w:val="20"/>
      <w:szCs w:val="20"/>
    </w:rPr>
  </w:style>
  <w:style w:type="paragraph" w:styleId="TOC7">
    <w:name w:val="toc 7"/>
    <w:basedOn w:val="Normal"/>
    <w:next w:val="Normal"/>
    <w:autoRedefine/>
    <w:uiPriority w:val="39"/>
    <w:semiHidden/>
    <w:unhideWhenUsed/>
    <w:rsid w:val="001B48DC"/>
    <w:pPr>
      <w:spacing w:after="0"/>
      <w:ind w:left="1440"/>
    </w:pPr>
    <w:rPr>
      <w:sz w:val="20"/>
      <w:szCs w:val="20"/>
    </w:rPr>
  </w:style>
  <w:style w:type="paragraph" w:styleId="TOC8">
    <w:name w:val="toc 8"/>
    <w:basedOn w:val="Normal"/>
    <w:next w:val="Normal"/>
    <w:autoRedefine/>
    <w:uiPriority w:val="39"/>
    <w:semiHidden/>
    <w:unhideWhenUsed/>
    <w:rsid w:val="001B48DC"/>
    <w:pPr>
      <w:spacing w:after="0"/>
      <w:ind w:left="1680"/>
    </w:pPr>
    <w:rPr>
      <w:sz w:val="20"/>
      <w:szCs w:val="20"/>
    </w:rPr>
  </w:style>
  <w:style w:type="paragraph" w:styleId="TOC9">
    <w:name w:val="toc 9"/>
    <w:basedOn w:val="Normal"/>
    <w:next w:val="Normal"/>
    <w:autoRedefine/>
    <w:uiPriority w:val="39"/>
    <w:semiHidden/>
    <w:unhideWhenUsed/>
    <w:rsid w:val="001B48DC"/>
    <w:pPr>
      <w:spacing w:after="0"/>
      <w:ind w:left="1920"/>
    </w:pPr>
    <w:rPr>
      <w:sz w:val="20"/>
      <w:szCs w:val="20"/>
    </w:rPr>
  </w:style>
  <w:style w:type="paragraph" w:customStyle="1" w:styleId="font-claude-response-body">
    <w:name w:val="font-claude-response-body"/>
    <w:basedOn w:val="Normal"/>
    <w:rsid w:val="00816D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16D08"/>
    <w:rPr>
      <w:i/>
      <w:iCs/>
    </w:rPr>
  </w:style>
  <w:style w:type="paragraph" w:styleId="FootnoteText">
    <w:name w:val="footnote text"/>
    <w:basedOn w:val="Normal"/>
    <w:link w:val="FootnoteTextChar"/>
    <w:uiPriority w:val="99"/>
    <w:semiHidden/>
    <w:unhideWhenUsed/>
    <w:rsid w:val="00DA6DB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6DB8"/>
    <w:rPr>
      <w:sz w:val="20"/>
      <w:szCs w:val="20"/>
    </w:rPr>
  </w:style>
  <w:style w:type="character" w:styleId="FootnoteReference">
    <w:name w:val="footnote reference"/>
    <w:basedOn w:val="DefaultParagraphFont"/>
    <w:uiPriority w:val="99"/>
    <w:semiHidden/>
    <w:unhideWhenUsed/>
    <w:rsid w:val="00DA6D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43F69-9042-9242-9CC6-25B949FB2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1237</Words>
  <Characters>7824</Characters>
  <Application>Microsoft Office Word</Application>
  <DocSecurity>0</DocSecurity>
  <Lines>126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cp:revision>
  <cp:lastPrinted>2026-03-02T16:13:00Z</cp:lastPrinted>
  <dcterms:created xsi:type="dcterms:W3CDTF">2026-03-02T23:35:00Z</dcterms:created>
  <dcterms:modified xsi:type="dcterms:W3CDTF">2026-03-02T23:40:00Z</dcterms:modified>
</cp:coreProperties>
</file>