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E00D3" w14:textId="5AE50723" w:rsidR="00630880" w:rsidRDefault="00AA1271">
      <w:pPr>
        <w:rPr>
          <w:rFonts w:ascii="Times New Roman" w:hAnsi="Times New Roman" w:cs="Times New Roman"/>
        </w:rPr>
      </w:pPr>
      <w:r w:rsidRPr="00AA1271">
        <w:rPr>
          <w:rFonts w:ascii="Times New Roman" w:hAnsi="Times New Roman" w:cs="Times New Roman"/>
        </w:rPr>
        <w:t>Opening Paragraph</w:t>
      </w:r>
    </w:p>
    <w:p w14:paraId="48B06A41" w14:textId="7236E8E8" w:rsidR="00AA1271" w:rsidRDefault="000F38CE" w:rsidP="000F38CE">
      <w:pPr>
        <w:jc w:val="center"/>
        <w:rPr>
          <w:rFonts w:ascii="Times New Roman" w:hAnsi="Times New Roman" w:cs="Times New Roman"/>
        </w:rPr>
      </w:pPr>
      <w:r>
        <w:rPr>
          <w:rFonts w:ascii="Times New Roman" w:hAnsi="Times New Roman" w:cs="Times New Roman"/>
        </w:rPr>
        <w:t>Stakes:</w:t>
      </w:r>
    </w:p>
    <w:p w14:paraId="6D80693F" w14:textId="05C210E6" w:rsidR="00375BAC" w:rsidRPr="00375BAC" w:rsidRDefault="00375BAC" w:rsidP="00375BAC">
      <w:pPr>
        <w:pStyle w:val="ListParagraph"/>
        <w:numPr>
          <w:ilvl w:val="0"/>
          <w:numId w:val="1"/>
        </w:numPr>
        <w:rPr>
          <w:rFonts w:ascii="Times New Roman" w:hAnsi="Times New Roman" w:cs="Times New Roman"/>
        </w:rPr>
      </w:pPr>
      <w:r>
        <w:rPr>
          <w:rFonts w:ascii="Times New Roman" w:hAnsi="Times New Roman" w:cs="Times New Roman"/>
        </w:rPr>
        <w:t>Establish “epistemic stakes” (something like Pottle plus Brown plus Pettit (invisible men) plus Weaver)</w:t>
      </w:r>
    </w:p>
    <w:p w14:paraId="57B6738A" w14:textId="1E9C4E9C" w:rsidR="000F38CE" w:rsidRDefault="00375BAC" w:rsidP="00375BAC">
      <w:pPr>
        <w:pStyle w:val="ListParagraph"/>
        <w:numPr>
          <w:ilvl w:val="0"/>
          <w:numId w:val="1"/>
        </w:numPr>
        <w:rPr>
          <w:rFonts w:ascii="Times New Roman" w:hAnsi="Times New Roman" w:cs="Times New Roman"/>
        </w:rPr>
      </w:pPr>
      <w:r>
        <w:rPr>
          <w:rFonts w:ascii="Times New Roman" w:hAnsi="Times New Roman" w:cs="Times New Roman"/>
        </w:rPr>
        <w:t xml:space="preserve">Over 2 million people incarcerated and </w:t>
      </w:r>
      <w:proofErr w:type="spellStart"/>
      <w:r>
        <w:rPr>
          <w:rFonts w:ascii="Times New Roman" w:hAnsi="Times New Roman" w:cs="Times New Roman"/>
        </w:rPr>
        <w:t>xyz</w:t>
      </w:r>
      <w:proofErr w:type="spellEnd"/>
      <w:r>
        <w:rPr>
          <w:rFonts w:ascii="Times New Roman" w:hAnsi="Times New Roman" w:cs="Times New Roman"/>
        </w:rPr>
        <w:t xml:space="preserve"> things (vis-à-vis CJ, then vis-à-vis representation) drive political “</w:t>
      </w:r>
      <w:proofErr w:type="spellStart"/>
      <w:r>
        <w:rPr>
          <w:rFonts w:ascii="Times New Roman" w:hAnsi="Times New Roman" w:cs="Times New Roman"/>
        </w:rPr>
        <w:t>invisibilization</w:t>
      </w:r>
      <w:proofErr w:type="spellEnd"/>
      <w:r>
        <w:rPr>
          <w:rFonts w:ascii="Times New Roman" w:hAnsi="Times New Roman" w:cs="Times New Roman"/>
        </w:rPr>
        <w:t xml:space="preserve">” </w:t>
      </w:r>
    </w:p>
    <w:p w14:paraId="70B03525" w14:textId="5B94746A" w:rsidR="00375BAC" w:rsidRDefault="00375BAC" w:rsidP="00375BAC">
      <w:pPr>
        <w:pStyle w:val="ListParagraph"/>
        <w:numPr>
          <w:ilvl w:val="0"/>
          <w:numId w:val="1"/>
        </w:numPr>
        <w:rPr>
          <w:rFonts w:ascii="Times New Roman" w:hAnsi="Times New Roman" w:cs="Times New Roman"/>
        </w:rPr>
      </w:pPr>
      <w:r>
        <w:rPr>
          <w:rFonts w:ascii="Times New Roman" w:hAnsi="Times New Roman" w:cs="Times New Roman"/>
        </w:rPr>
        <w:t>Representatives a core voice in representative democracies</w:t>
      </w:r>
    </w:p>
    <w:p w14:paraId="604A1BEC" w14:textId="7D7C8D92" w:rsidR="00375BAC" w:rsidRDefault="00375BAC" w:rsidP="00375BAC">
      <w:pPr>
        <w:pStyle w:val="ListParagraph"/>
        <w:numPr>
          <w:ilvl w:val="0"/>
          <w:numId w:val="1"/>
        </w:numPr>
        <w:rPr>
          <w:rFonts w:ascii="Times New Roman" w:hAnsi="Times New Roman" w:cs="Times New Roman"/>
        </w:rPr>
      </w:pPr>
      <w:r>
        <w:rPr>
          <w:rFonts w:ascii="Times New Roman" w:hAnsi="Times New Roman" w:cs="Times New Roman"/>
        </w:rPr>
        <w:t>Legislators’ perceptions of “who counts” shape policy responsiveness even more than institutional rules alone (</w:t>
      </w:r>
      <w:proofErr w:type="spellStart"/>
      <w:r>
        <w:rPr>
          <w:rFonts w:ascii="Times New Roman" w:hAnsi="Times New Roman" w:cs="Times New Roman"/>
        </w:rPr>
        <w:t>Fenno</w:t>
      </w:r>
      <w:proofErr w:type="spellEnd"/>
      <w:r>
        <w:rPr>
          <w:rFonts w:ascii="Times New Roman" w:hAnsi="Times New Roman" w:cs="Times New Roman"/>
        </w:rPr>
        <w:t>, Miler)</w:t>
      </w:r>
    </w:p>
    <w:p w14:paraId="4E769773" w14:textId="75A2D29F" w:rsidR="00375BAC" w:rsidRDefault="00375BAC" w:rsidP="00375BAC">
      <w:pPr>
        <w:pStyle w:val="ListParagraph"/>
        <w:numPr>
          <w:ilvl w:val="0"/>
          <w:numId w:val="1"/>
        </w:numPr>
        <w:rPr>
          <w:rFonts w:ascii="Times New Roman" w:hAnsi="Times New Roman" w:cs="Times New Roman"/>
        </w:rPr>
      </w:pPr>
      <w:r>
        <w:rPr>
          <w:rFonts w:ascii="Times New Roman" w:hAnsi="Times New Roman" w:cs="Times New Roman"/>
        </w:rPr>
        <w:t xml:space="preserve">Yet incarcerated people fall outside of the perceptual </w:t>
      </w:r>
      <w:proofErr w:type="spellStart"/>
      <w:r>
        <w:rPr>
          <w:rFonts w:ascii="Times New Roman" w:hAnsi="Times New Roman" w:cs="Times New Roman"/>
        </w:rPr>
        <w:t>boudnaries</w:t>
      </w:r>
      <w:proofErr w:type="spellEnd"/>
      <w:r>
        <w:rPr>
          <w:rFonts w:ascii="Times New Roman" w:hAnsi="Times New Roman" w:cs="Times New Roman"/>
        </w:rPr>
        <w:t xml:space="preserve"> of constituency for most lawmakers – a representational failure with racialized roots, but one that might be discursively treated as acceptable in legislative chambers dominated by non-impact, white collar (Carnes) legislators – including Democrats who selectively hear (Weaver, Eckhouse). </w:t>
      </w:r>
    </w:p>
    <w:p w14:paraId="2BDFBFD8" w14:textId="38D43A5D" w:rsidR="00375BAC" w:rsidRPr="00375BAC" w:rsidRDefault="00375BAC" w:rsidP="00375BAC">
      <w:pPr>
        <w:pStyle w:val="ListParagraph"/>
        <w:numPr>
          <w:ilvl w:val="0"/>
          <w:numId w:val="1"/>
        </w:numPr>
        <w:rPr>
          <w:rFonts w:ascii="Times New Roman" w:hAnsi="Times New Roman" w:cs="Times New Roman"/>
        </w:rPr>
      </w:pPr>
      <w:r>
        <w:rPr>
          <w:rFonts w:ascii="Times New Roman" w:hAnsi="Times New Roman" w:cs="Times New Roman"/>
        </w:rPr>
        <w:t xml:space="preserve">Yet descriptive shifts in legislatures (e.g. Liz Miranda, Ayanna Pressley – legislators with personal exposure) show that these </w:t>
      </w:r>
      <w:proofErr w:type="spellStart"/>
      <w:r>
        <w:rPr>
          <w:rFonts w:ascii="Times New Roman" w:hAnsi="Times New Roman" w:cs="Times New Roman"/>
        </w:rPr>
        <w:t>boudnaries</w:t>
      </w:r>
      <w:proofErr w:type="spellEnd"/>
      <w:r>
        <w:rPr>
          <w:rFonts w:ascii="Times New Roman" w:hAnsi="Times New Roman" w:cs="Times New Roman"/>
        </w:rPr>
        <w:t xml:space="preserve"> can be redrawn. </w:t>
      </w:r>
    </w:p>
    <w:p w14:paraId="561DFD61" w14:textId="77777777" w:rsidR="00DE5CCE" w:rsidRDefault="00DE5CCE">
      <w:pPr>
        <w:rPr>
          <w:rFonts w:ascii="Times New Roman" w:hAnsi="Times New Roman" w:cs="Times New Roman"/>
        </w:rPr>
      </w:pPr>
    </w:p>
    <w:p w14:paraId="4AD916DF" w14:textId="20756BC9" w:rsidR="000F38CE" w:rsidRDefault="00AA1271" w:rsidP="000F38CE">
      <w:pPr>
        <w:spacing w:line="360" w:lineRule="auto"/>
        <w:jc w:val="center"/>
        <w:rPr>
          <w:rFonts w:ascii="Times New Roman" w:hAnsi="Times New Roman" w:cs="Times New Roman"/>
        </w:rPr>
      </w:pPr>
      <w:r>
        <w:rPr>
          <w:rFonts w:ascii="Times New Roman" w:hAnsi="Times New Roman" w:cs="Times New Roman"/>
        </w:rPr>
        <w:t>Question:</w:t>
      </w:r>
    </w:p>
    <w:p w14:paraId="35B5AF77" w14:textId="3CC47F1D" w:rsidR="00AA1271" w:rsidRDefault="000F38CE" w:rsidP="000F38CE">
      <w:pPr>
        <w:spacing w:line="360" w:lineRule="auto"/>
        <w:rPr>
          <w:rFonts w:ascii="Times New Roman" w:hAnsi="Times New Roman" w:cs="Times New Roman"/>
        </w:rPr>
      </w:pPr>
      <w:r>
        <w:rPr>
          <w:rFonts w:ascii="Times New Roman" w:hAnsi="Times New Roman" w:cs="Times New Roman"/>
        </w:rPr>
        <w:t>W</w:t>
      </w:r>
      <w:r w:rsidR="00AA1271">
        <w:rPr>
          <w:rFonts w:ascii="Times New Roman" w:hAnsi="Times New Roman" w:cs="Times New Roman"/>
        </w:rPr>
        <w:t xml:space="preserve">hen – and under what structural and identity based conditions – are incarcerated people symbolically </w:t>
      </w:r>
      <w:r w:rsidR="00034833">
        <w:rPr>
          <w:rFonts w:ascii="Times New Roman" w:hAnsi="Times New Roman" w:cs="Times New Roman"/>
        </w:rPr>
        <w:t>recognized as constituents, treated as epistemic contributors, or responded to as members of the political community?</w:t>
      </w:r>
    </w:p>
    <w:p w14:paraId="26E75633" w14:textId="77777777" w:rsidR="00AA1271" w:rsidRDefault="00AA1271" w:rsidP="000F38CE">
      <w:pPr>
        <w:spacing w:line="360" w:lineRule="auto"/>
        <w:rPr>
          <w:rFonts w:ascii="Times New Roman" w:hAnsi="Times New Roman" w:cs="Times New Roman"/>
        </w:rPr>
      </w:pPr>
    </w:p>
    <w:p w14:paraId="7A1C8DF1" w14:textId="316E312F" w:rsidR="00AA1271" w:rsidRDefault="00AA1271" w:rsidP="000F38CE">
      <w:pPr>
        <w:spacing w:line="360" w:lineRule="auto"/>
        <w:rPr>
          <w:rFonts w:ascii="Times New Roman" w:hAnsi="Times New Roman" w:cs="Times New Roman"/>
        </w:rPr>
      </w:pPr>
      <w:r>
        <w:rPr>
          <w:rFonts w:ascii="Times New Roman" w:hAnsi="Times New Roman" w:cs="Times New Roman"/>
        </w:rPr>
        <w:t xml:space="preserve">In this project, I ask whether </w:t>
      </w:r>
      <w:r w:rsidR="001D36EF">
        <w:rPr>
          <w:rFonts w:ascii="Times New Roman" w:hAnsi="Times New Roman" w:cs="Times New Roman"/>
        </w:rPr>
        <w:t>(</w:t>
      </w:r>
      <w:r w:rsidR="001D36EF" w:rsidRPr="001D36EF">
        <w:rPr>
          <w:rFonts w:ascii="Times New Roman" w:hAnsi="Times New Roman" w:cs="Times New Roman"/>
          <w:b/>
          <w:bCs/>
        </w:rPr>
        <w:t>symbolic inclusion</w:t>
      </w:r>
      <w:r w:rsidR="001D36EF">
        <w:rPr>
          <w:rFonts w:ascii="Times New Roman" w:hAnsi="Times New Roman" w:cs="Times New Roman"/>
        </w:rPr>
        <w:t xml:space="preserve">) </w:t>
      </w:r>
      <w:r>
        <w:rPr>
          <w:rFonts w:ascii="Times New Roman" w:hAnsi="Times New Roman" w:cs="Times New Roman"/>
        </w:rPr>
        <w:t xml:space="preserve">legislators publicly describe incarcerated people and carceral citizens as members of their constituencies. [Transition]. Thus, this invokes questions </w:t>
      </w:r>
      <w:r w:rsidR="001D36EF">
        <w:rPr>
          <w:rFonts w:ascii="Times New Roman" w:hAnsi="Times New Roman" w:cs="Times New Roman"/>
        </w:rPr>
        <w:t>(</w:t>
      </w:r>
      <w:r w:rsidR="001D36EF" w:rsidRPr="001D36EF">
        <w:rPr>
          <w:rFonts w:ascii="Times New Roman" w:hAnsi="Times New Roman" w:cs="Times New Roman"/>
          <w:b/>
          <w:bCs/>
        </w:rPr>
        <w:t>epistemic inclusion</w:t>
      </w:r>
      <w:r w:rsidR="001D36EF">
        <w:rPr>
          <w:rFonts w:ascii="Times New Roman" w:hAnsi="Times New Roman" w:cs="Times New Roman"/>
        </w:rPr>
        <w:t xml:space="preserve">) </w:t>
      </w:r>
      <w:r>
        <w:rPr>
          <w:rFonts w:ascii="Times New Roman" w:hAnsi="Times New Roman" w:cs="Times New Roman"/>
        </w:rPr>
        <w:t xml:space="preserve">of whether legislators acknowledge or incorporate carceral citizens’ knowledge and perspectives in legislative deliberation. [ transition: something about theories </w:t>
      </w:r>
      <w:proofErr w:type="gramStart"/>
      <w:r>
        <w:rPr>
          <w:rFonts w:ascii="Times New Roman" w:hAnsi="Times New Roman" w:cs="Times New Roman"/>
        </w:rPr>
        <w:t>assuming that</w:t>
      </w:r>
      <w:proofErr w:type="gramEnd"/>
      <w:r>
        <w:rPr>
          <w:rFonts w:ascii="Times New Roman" w:hAnsi="Times New Roman" w:cs="Times New Roman"/>
        </w:rPr>
        <w:t xml:space="preserve"> </w:t>
      </w:r>
      <w:proofErr w:type="spellStart"/>
      <w:r>
        <w:rPr>
          <w:rFonts w:ascii="Times New Roman" w:hAnsi="Times New Roman" w:cs="Times New Roman"/>
        </w:rPr>
        <w:t>xyz</w:t>
      </w:r>
      <w:proofErr w:type="spellEnd"/>
      <w:r>
        <w:rPr>
          <w:rFonts w:ascii="Times New Roman" w:hAnsi="Times New Roman" w:cs="Times New Roman"/>
        </w:rPr>
        <w:t xml:space="preserve"> generate responsiveness – but we do not know how or whether that holds for </w:t>
      </w:r>
      <w:proofErr w:type="spellStart"/>
      <w:r>
        <w:rPr>
          <w:rFonts w:ascii="Times New Roman" w:hAnsi="Times New Roman" w:cs="Times New Roman"/>
        </w:rPr>
        <w:t>invisibilized</w:t>
      </w:r>
      <w:proofErr w:type="spellEnd"/>
      <w:r>
        <w:rPr>
          <w:rFonts w:ascii="Times New Roman" w:hAnsi="Times New Roman" w:cs="Times New Roman"/>
        </w:rPr>
        <w:t xml:space="preserve">. Thus, </w:t>
      </w:r>
      <w:r w:rsidR="001D36EF">
        <w:rPr>
          <w:rFonts w:ascii="Times New Roman" w:hAnsi="Times New Roman" w:cs="Times New Roman"/>
        </w:rPr>
        <w:t>this project both considers [an extra dimension of epistemic inclusion = legislator behavior like prison visits)</w:t>
      </w:r>
      <w:r>
        <w:rPr>
          <w:rFonts w:ascii="Times New Roman" w:hAnsi="Times New Roman" w:cs="Times New Roman"/>
        </w:rPr>
        <w:t xml:space="preserve"> also </w:t>
      </w:r>
      <w:r w:rsidR="001D36EF">
        <w:rPr>
          <w:rFonts w:ascii="Times New Roman" w:hAnsi="Times New Roman" w:cs="Times New Roman"/>
        </w:rPr>
        <w:t>ultimately (</w:t>
      </w:r>
      <w:r w:rsidR="001D36EF" w:rsidRPr="001D36EF">
        <w:rPr>
          <w:rFonts w:ascii="Times New Roman" w:hAnsi="Times New Roman" w:cs="Times New Roman"/>
          <w:b/>
          <w:bCs/>
        </w:rPr>
        <w:t>responsiveness)</w:t>
      </w:r>
      <w:r w:rsidR="001D36EF">
        <w:rPr>
          <w:rFonts w:ascii="Times New Roman" w:hAnsi="Times New Roman" w:cs="Times New Roman"/>
        </w:rPr>
        <w:t xml:space="preserve"> explores the relationship between these factors and substantive representation.</w:t>
      </w:r>
    </w:p>
    <w:p w14:paraId="0A5EA0B8" w14:textId="53DB0235" w:rsidR="001D36EF" w:rsidRDefault="001D36EF" w:rsidP="000F38CE">
      <w:pPr>
        <w:spacing w:line="360" w:lineRule="auto"/>
        <w:rPr>
          <w:rFonts w:ascii="Times New Roman" w:hAnsi="Times New Roman" w:cs="Times New Roman"/>
        </w:rPr>
      </w:pPr>
      <w:r>
        <w:rPr>
          <w:rFonts w:ascii="Times New Roman" w:hAnsi="Times New Roman" w:cs="Times New Roman"/>
        </w:rPr>
        <w:t xml:space="preserve">While I present these aims collectively in this proposal to indicate how a fellowship year will allow me to deepen the scope of my project/how particular questions will develop, this </w:t>
      </w:r>
      <w:r>
        <w:rPr>
          <w:rFonts w:ascii="Times New Roman" w:hAnsi="Times New Roman" w:cs="Times New Roman"/>
        </w:rPr>
        <w:lastRenderedPageBreak/>
        <w:t xml:space="preserve">proposal’s methodology is primarily focused on measures of symbolic inclusion. Moreover, these questions constitute critical developmental components of my interest in – most broadly – how [systemic factures in the CJ system + systemic factors in systems of representation join to shape which groups are recognized as worthy of representation, and how such recognition is in a feedback loop with policy outcomes]. </w:t>
      </w:r>
    </w:p>
    <w:p w14:paraId="56530963" w14:textId="23869609" w:rsidR="001D36EF" w:rsidRDefault="001D36EF" w:rsidP="000F38CE">
      <w:pPr>
        <w:spacing w:line="360" w:lineRule="auto"/>
        <w:jc w:val="center"/>
        <w:rPr>
          <w:rFonts w:ascii="Times New Roman" w:hAnsi="Times New Roman" w:cs="Times New Roman"/>
        </w:rPr>
      </w:pPr>
      <w:r>
        <w:rPr>
          <w:rFonts w:ascii="Times New Roman" w:hAnsi="Times New Roman" w:cs="Times New Roman"/>
        </w:rPr>
        <w:t>Literature</w:t>
      </w:r>
    </w:p>
    <w:p w14:paraId="337230A9" w14:textId="40D824F5" w:rsidR="001D36EF" w:rsidRDefault="001D36EF" w:rsidP="000F38CE">
      <w:pPr>
        <w:spacing w:line="360" w:lineRule="auto"/>
        <w:rPr>
          <w:rFonts w:ascii="Times New Roman" w:hAnsi="Times New Roman" w:cs="Times New Roman"/>
        </w:rPr>
      </w:pPr>
      <w:r>
        <w:rPr>
          <w:rFonts w:ascii="Times New Roman" w:hAnsi="Times New Roman" w:cs="Times New Roman"/>
        </w:rPr>
        <w:t>What We Know:</w:t>
      </w:r>
    </w:p>
    <w:p w14:paraId="7A76A594" w14:textId="0FD6C4CF" w:rsidR="001D36EF" w:rsidRDefault="00030E89" w:rsidP="000F38CE">
      <w:pPr>
        <w:spacing w:line="360" w:lineRule="auto"/>
        <w:rPr>
          <w:rFonts w:ascii="Times New Roman" w:hAnsi="Times New Roman" w:cs="Times New Roman"/>
        </w:rPr>
      </w:pPr>
      <w:r>
        <w:rPr>
          <w:rFonts w:ascii="Times New Roman" w:hAnsi="Times New Roman" w:cs="Times New Roman"/>
        </w:rPr>
        <w:t xml:space="preserve">Intro that ties Mansbridge and </w:t>
      </w:r>
      <w:proofErr w:type="spellStart"/>
      <w:r>
        <w:rPr>
          <w:rFonts w:ascii="Times New Roman" w:hAnsi="Times New Roman" w:cs="Times New Roman"/>
        </w:rPr>
        <w:t>Fenno</w:t>
      </w:r>
      <w:proofErr w:type="spellEnd"/>
      <w:r>
        <w:rPr>
          <w:rFonts w:ascii="Times New Roman" w:hAnsi="Times New Roman" w:cs="Times New Roman"/>
        </w:rPr>
        <w:t xml:space="preserve"> to Mayhew Single-Minded-Seekers-of-Re-election. </w:t>
      </w:r>
    </w:p>
    <w:p w14:paraId="1E0390D3" w14:textId="0204EC41" w:rsidR="00030E89" w:rsidRDefault="00030E89" w:rsidP="000F38CE">
      <w:pPr>
        <w:spacing w:line="360" w:lineRule="auto"/>
        <w:rPr>
          <w:rFonts w:ascii="Times New Roman" w:hAnsi="Times New Roman" w:cs="Times New Roman"/>
        </w:rPr>
      </w:pPr>
      <w:r>
        <w:rPr>
          <w:rFonts w:ascii="Times New Roman" w:hAnsi="Times New Roman" w:cs="Times New Roman"/>
        </w:rPr>
        <w:t xml:space="preserve">Quick transition to symbolic representation of constituencies mattering both in its potential links to substantive representation and policy outcomes or responsiveness (conflating symbolic and descriptive but maybe Carnes here), and also – scholars have increasingly theorized that symbolic representation matters in its own right (Pottle, Vishwanath, maybe also Mansbridge, maybe also Brown (2014)) perhaps particularly to groups who have been systematically excluded (maybe Gillion here?) or who – as Weaver argues – effectively live under distinct “democratic” regimes  (Weaver 2020) and maintain distinct epistemologies vis-à-vis the state (Weaver 2019). This literature suggests that descriptive representation is an important gateway for these other matters of representation, recognition, and responsiveness (Mansbridge, Reingold, Brown), and Eckhouse (2018) theorizes </w:t>
      </w:r>
      <w:r w:rsidR="00467159">
        <w:rPr>
          <w:rFonts w:ascii="Times New Roman" w:hAnsi="Times New Roman" w:cs="Times New Roman"/>
        </w:rPr>
        <w:t xml:space="preserve">this is especially important for matters of criminal justice policy (note her analysis of the CBC supporting community-proposed solutions/approaches that reflect how Black communities tend to conceptualize CJ in bundled (?) term, where whites tend to flatten it to community safety in a way that disaggregates the impacted from the convicted/policed). </w:t>
      </w:r>
    </w:p>
    <w:p w14:paraId="10285EC9" w14:textId="2A15D636" w:rsidR="00467159" w:rsidRDefault="00467159" w:rsidP="000F38CE">
      <w:pPr>
        <w:spacing w:line="360" w:lineRule="auto"/>
        <w:rPr>
          <w:rFonts w:ascii="Times New Roman" w:hAnsi="Times New Roman" w:cs="Times New Roman"/>
        </w:rPr>
      </w:pPr>
      <w:r>
        <w:rPr>
          <w:rFonts w:ascii="Times New Roman" w:hAnsi="Times New Roman" w:cs="Times New Roman"/>
        </w:rPr>
        <w:t xml:space="preserve">We know that one way [something vis a vis systemic historic exclusion, challenges to policy and institutional sedimentation] is that symbolic representation of minority communities responds to group size and electoral incentives </w:t>
      </w:r>
    </w:p>
    <w:p w14:paraId="30667DAD" w14:textId="1ACCCFAE" w:rsidR="001D36EF" w:rsidRDefault="001D36EF" w:rsidP="000F38CE">
      <w:pPr>
        <w:spacing w:line="360" w:lineRule="auto"/>
        <w:rPr>
          <w:rFonts w:ascii="Times New Roman" w:hAnsi="Times New Roman" w:cs="Times New Roman"/>
        </w:rPr>
      </w:pPr>
      <w:r>
        <w:rPr>
          <w:rFonts w:ascii="Times New Roman" w:hAnsi="Times New Roman" w:cs="Times New Roman"/>
        </w:rPr>
        <w:t xml:space="preserve">Symbolic representation responds to group size and electoral </w:t>
      </w:r>
      <w:r w:rsidR="00467159">
        <w:rPr>
          <w:rFonts w:ascii="Times New Roman" w:hAnsi="Times New Roman" w:cs="Times New Roman"/>
        </w:rPr>
        <w:t xml:space="preserve">incentives in a legislators’ district (Vishwanath). However, carceral citizens are numerically large yet politically </w:t>
      </w:r>
      <w:proofErr w:type="spellStart"/>
      <w:r w:rsidR="00467159">
        <w:rPr>
          <w:rFonts w:ascii="Times New Roman" w:hAnsi="Times New Roman" w:cs="Times New Roman"/>
        </w:rPr>
        <w:t>invisibilized</w:t>
      </w:r>
      <w:proofErr w:type="spellEnd"/>
      <w:r w:rsidR="00467159">
        <w:rPr>
          <w:rFonts w:ascii="Times New Roman" w:hAnsi="Times New Roman" w:cs="Times New Roman"/>
        </w:rPr>
        <w:t xml:space="preserve"> as they are legally excluded from the demos (Pottle), numerically erased (Nellis), and [something about dislocated]. Moreover, we know that legislators are embedded in epistemic circuits </w:t>
      </w:r>
      <w:r w:rsidR="00467159">
        <w:rPr>
          <w:rFonts w:ascii="Times New Roman" w:hAnsi="Times New Roman" w:cs="Times New Roman"/>
        </w:rPr>
        <w:lastRenderedPageBreak/>
        <w:t>structured around high-value voters (Mayhew, and statistical discrimination citation</w:t>
      </w:r>
      <w:r w:rsidR="00BC65E7">
        <w:rPr>
          <w:rFonts w:ascii="Times New Roman" w:hAnsi="Times New Roman" w:cs="Times New Roman"/>
        </w:rPr>
        <w:t>, Pottle</w:t>
      </w:r>
      <w:r w:rsidR="00467159">
        <w:rPr>
          <w:rFonts w:ascii="Times New Roman" w:hAnsi="Times New Roman" w:cs="Times New Roman"/>
        </w:rPr>
        <w:t>), or to balance competing constituencies (</w:t>
      </w:r>
      <w:proofErr w:type="spellStart"/>
      <w:r w:rsidR="00467159">
        <w:rPr>
          <w:rFonts w:ascii="Times New Roman" w:hAnsi="Times New Roman" w:cs="Times New Roman"/>
        </w:rPr>
        <w:t>Fenno</w:t>
      </w:r>
      <w:proofErr w:type="spellEnd"/>
      <w:r w:rsidR="00467159">
        <w:rPr>
          <w:rFonts w:ascii="Times New Roman" w:hAnsi="Times New Roman" w:cs="Times New Roman"/>
        </w:rPr>
        <w:t xml:space="preserve">). Thus, we do not know how </w:t>
      </w:r>
      <w:r w:rsidR="00BC65E7">
        <w:rPr>
          <w:rFonts w:ascii="Times New Roman" w:hAnsi="Times New Roman" w:cs="Times New Roman"/>
        </w:rPr>
        <w:t>symbolic representation responds to carceral citizens as formally excluded/non-voters (citation), as a stigmatized group socially constructed such that legislators may perceive symbolic acts as disadvantageous (Schneider and Ingram), or against counter-constituencies conceived as victims/</w:t>
      </w:r>
      <w:proofErr w:type="spellStart"/>
      <w:r w:rsidR="00BC65E7">
        <w:rPr>
          <w:rFonts w:ascii="Times New Roman" w:hAnsi="Times New Roman" w:cs="Times New Roman"/>
        </w:rPr>
        <w:t>victims</w:t>
      </w:r>
      <w:proofErr w:type="spellEnd"/>
      <w:r w:rsidR="00BC65E7">
        <w:rPr>
          <w:rFonts w:ascii="Times New Roman" w:hAnsi="Times New Roman" w:cs="Times New Roman"/>
        </w:rPr>
        <w:t xml:space="preserve"> rights groups, carceral economies (Thorpe), or a “public” for whom public safety is positioned as diametrically opposing that of carceral citizens (citation). </w:t>
      </w:r>
    </w:p>
    <w:p w14:paraId="6D00070D" w14:textId="47B62318" w:rsidR="00BC65E7" w:rsidRDefault="00BC65E7" w:rsidP="000F38CE">
      <w:pPr>
        <w:spacing w:line="360" w:lineRule="auto"/>
        <w:rPr>
          <w:rFonts w:ascii="Times New Roman" w:hAnsi="Times New Roman" w:cs="Times New Roman"/>
        </w:rPr>
      </w:pPr>
      <w:r>
        <w:rPr>
          <w:rFonts w:ascii="Times New Roman" w:hAnsi="Times New Roman" w:cs="Times New Roman"/>
        </w:rPr>
        <w:t xml:space="preserve">Moreover, we know that representational behavior vis-à-vis constituency or district representation can depend far more on who the legislator is than where they sit. Ban and </w:t>
      </w:r>
      <w:proofErr w:type="spellStart"/>
      <w:r>
        <w:rPr>
          <w:rFonts w:ascii="Times New Roman" w:hAnsi="Times New Roman" w:cs="Times New Roman"/>
        </w:rPr>
        <w:t>Kaslovsky</w:t>
      </w:r>
      <w:proofErr w:type="spellEnd"/>
      <w:r>
        <w:rPr>
          <w:rFonts w:ascii="Times New Roman" w:hAnsi="Times New Roman" w:cs="Times New Roman"/>
        </w:rPr>
        <w:t xml:space="preserve"> (202_) show that (finding). Moreover, Miler (2018) shows that [something </w:t>
      </w:r>
      <w:proofErr w:type="spellStart"/>
      <w:r>
        <w:rPr>
          <w:rFonts w:ascii="Times New Roman" w:hAnsi="Times New Roman" w:cs="Times New Roman"/>
        </w:rPr>
        <w:t>something</w:t>
      </w:r>
      <w:proofErr w:type="spellEnd"/>
      <w:r>
        <w:rPr>
          <w:rFonts w:ascii="Times New Roman" w:hAnsi="Times New Roman" w:cs="Times New Roman"/>
        </w:rPr>
        <w:t xml:space="preserve"> to such a degree that] that representation of poor constituencies/districts in Congress is primarily a matter of surrogacy.   </w:t>
      </w:r>
    </w:p>
    <w:p w14:paraId="08921BFF" w14:textId="6B234DC2" w:rsidR="00072385" w:rsidRDefault="00072385" w:rsidP="000F38CE">
      <w:pPr>
        <w:spacing w:line="360" w:lineRule="auto"/>
        <w:rPr>
          <w:rFonts w:ascii="Times New Roman" w:hAnsi="Times New Roman" w:cs="Times New Roman"/>
        </w:rPr>
      </w:pPr>
      <w:proofErr w:type="gramStart"/>
      <w:r>
        <w:rPr>
          <w:rFonts w:ascii="Times New Roman" w:hAnsi="Times New Roman" w:cs="Times New Roman"/>
        </w:rPr>
        <w:t>However</w:t>
      </w:r>
      <w:proofErr w:type="gramEnd"/>
      <w:r>
        <w:rPr>
          <w:rFonts w:ascii="Times New Roman" w:hAnsi="Times New Roman" w:cs="Times New Roman"/>
        </w:rPr>
        <w:t xml:space="preserve">/still, [maybe there is a Miler quote here to distinguish “the poor” as constituency from “carceral constituencies”], criminal legal speech follows racialized and strategic imperatives – historically these are further criminalizing and do not follow experiences of the criminalized (Weaver; Forman; Miller). [This is an important moment to raise such questions, as some (citation) have suggested that things may be changing or temporarily changing as evidenced by BLM and the political right supporting </w:t>
      </w:r>
      <w:proofErr w:type="spellStart"/>
      <w:r>
        <w:rPr>
          <w:rFonts w:ascii="Times New Roman" w:hAnsi="Times New Roman" w:cs="Times New Roman"/>
        </w:rPr>
        <w:t>decarceral</w:t>
      </w:r>
      <w:proofErr w:type="spellEnd"/>
      <w:r>
        <w:rPr>
          <w:rFonts w:ascii="Times New Roman" w:hAnsi="Times New Roman" w:cs="Times New Roman"/>
        </w:rPr>
        <w:t xml:space="preserve"> things even if only because of </w:t>
      </w:r>
      <w:proofErr w:type="spellStart"/>
      <w:r>
        <w:rPr>
          <w:rFonts w:ascii="Times New Roman" w:hAnsi="Times New Roman" w:cs="Times New Roman"/>
        </w:rPr>
        <w:t>libertarianness</w:t>
      </w:r>
      <w:proofErr w:type="spellEnd"/>
      <w:r>
        <w:rPr>
          <w:rFonts w:ascii="Times New Roman" w:hAnsi="Times New Roman" w:cs="Times New Roman"/>
        </w:rPr>
        <w:t xml:space="preserve">/small G, although Trump Term 2 </w:t>
      </w:r>
      <w:proofErr w:type="gramStart"/>
      <w:r>
        <w:rPr>
          <w:rFonts w:ascii="Times New Roman" w:hAnsi="Times New Roman" w:cs="Times New Roman"/>
        </w:rPr>
        <w:t>evidences</w:t>
      </w:r>
      <w:proofErr w:type="gramEnd"/>
      <w:r>
        <w:rPr>
          <w:rFonts w:ascii="Times New Roman" w:hAnsi="Times New Roman" w:cs="Times New Roman"/>
        </w:rPr>
        <w:t xml:space="preserve"> ephemerality – backlash in the form of hyper-</w:t>
      </w:r>
      <w:proofErr w:type="spellStart"/>
      <w:r>
        <w:rPr>
          <w:rFonts w:ascii="Times New Roman" w:hAnsi="Times New Roman" w:cs="Times New Roman"/>
        </w:rPr>
        <w:t>carceralization</w:t>
      </w:r>
      <w:proofErr w:type="spellEnd"/>
      <w:r>
        <w:rPr>
          <w:rFonts w:ascii="Times New Roman" w:hAnsi="Times New Roman" w:cs="Times New Roman"/>
        </w:rPr>
        <w:t xml:space="preserve">/criminalization of migrants]. </w:t>
      </w:r>
    </w:p>
    <w:p w14:paraId="55E0D74E" w14:textId="77426E05" w:rsidR="00072385" w:rsidRPr="00A068FB" w:rsidRDefault="00072385" w:rsidP="000F38CE">
      <w:pPr>
        <w:spacing w:line="360" w:lineRule="auto"/>
        <w:rPr>
          <w:rFonts w:ascii="Times New Roman" w:hAnsi="Times New Roman" w:cs="Times New Roman"/>
        </w:rPr>
      </w:pPr>
      <w:r>
        <w:rPr>
          <w:rFonts w:ascii="Times New Roman" w:hAnsi="Times New Roman" w:cs="Times New Roman"/>
        </w:rPr>
        <w:t xml:space="preserve">To summarize, despite the saliency of CJ policy </w:t>
      </w:r>
      <w:proofErr w:type="spellStart"/>
      <w:r>
        <w:rPr>
          <w:rFonts w:ascii="Times New Roman" w:hAnsi="Times New Roman" w:cs="Times New Roman"/>
        </w:rPr>
        <w:t>etc</w:t>
      </w:r>
      <w:proofErr w:type="spellEnd"/>
      <w:r>
        <w:rPr>
          <w:rFonts w:ascii="Times New Roman" w:hAnsi="Times New Roman" w:cs="Times New Roman"/>
        </w:rPr>
        <w:t xml:space="preserve">, we still know very little about [quick summary phrase]. </w:t>
      </w:r>
      <w:r w:rsidR="00A068FB" w:rsidRPr="00A068FB">
        <w:rPr>
          <w:rFonts w:ascii="Times New Roman" w:hAnsi="Times New Roman" w:cs="Times New Roman"/>
          <w:b/>
          <w:bCs/>
        </w:rPr>
        <w:t>First</w:t>
      </w:r>
      <w:r w:rsidR="00A068FB">
        <w:rPr>
          <w:rFonts w:ascii="Times New Roman" w:hAnsi="Times New Roman" w:cs="Times New Roman"/>
        </w:rPr>
        <w:t>, a</w:t>
      </w:r>
      <w:r>
        <w:rPr>
          <w:rFonts w:ascii="Times New Roman" w:hAnsi="Times New Roman" w:cs="Times New Roman"/>
        </w:rPr>
        <w:t xml:space="preserve">t the most foundational level, we do not know whether legislators treat, let alone conceive of, carceral citizens as constituents. My interest in this project is inspired by my organizing work with incarcerated activists and </w:t>
      </w:r>
      <w:proofErr w:type="gramStart"/>
      <w:r>
        <w:rPr>
          <w:rFonts w:ascii="Times New Roman" w:hAnsi="Times New Roman" w:cs="Times New Roman"/>
        </w:rPr>
        <w:t>directly-impacted</w:t>
      </w:r>
      <w:proofErr w:type="gramEnd"/>
      <w:r>
        <w:rPr>
          <w:rFonts w:ascii="Times New Roman" w:hAnsi="Times New Roman" w:cs="Times New Roman"/>
        </w:rPr>
        <w:t xml:space="preserve"> legislators, and impression that these </w:t>
      </w:r>
      <w:proofErr w:type="gramStart"/>
      <w:r>
        <w:rPr>
          <w:rFonts w:ascii="Times New Roman" w:hAnsi="Times New Roman" w:cs="Times New Roman"/>
        </w:rPr>
        <w:t>legislators</w:t>
      </w:r>
      <w:proofErr w:type="gramEnd"/>
      <w:r>
        <w:rPr>
          <w:rFonts w:ascii="Times New Roman" w:hAnsi="Times New Roman" w:cs="Times New Roman"/>
        </w:rPr>
        <w:t xml:space="preserve"> engagement with carceral communities as a deserving constituency was a near-revolutionary phenomena within the </w:t>
      </w:r>
      <w:r w:rsidR="00A068FB">
        <w:rPr>
          <w:rFonts w:ascii="Times New Roman" w:hAnsi="Times New Roman" w:cs="Times New Roman"/>
        </w:rPr>
        <w:t xml:space="preserve">State House. To my knowledge, beyond a Duke Law School student’s survey of </w:t>
      </w:r>
      <w:proofErr w:type="gramStart"/>
      <w:r w:rsidR="00A068FB">
        <w:rPr>
          <w:rFonts w:ascii="Times New Roman" w:hAnsi="Times New Roman" w:cs="Times New Roman"/>
        </w:rPr>
        <w:t>legislators’</w:t>
      </w:r>
      <w:proofErr w:type="gramEnd"/>
      <w:r w:rsidR="00A068FB">
        <w:rPr>
          <w:rFonts w:ascii="Times New Roman" w:hAnsi="Times New Roman" w:cs="Times New Roman"/>
        </w:rPr>
        <w:t xml:space="preserve"> in Indiana, that showed only one legislator indicated they conceived of a carceral constituency – the prison in his district (verify), no other studies explore this relationship. This raises the </w:t>
      </w:r>
      <w:r w:rsidR="00A068FB" w:rsidRPr="00A068FB">
        <w:rPr>
          <w:rFonts w:ascii="Times New Roman" w:hAnsi="Times New Roman" w:cs="Times New Roman"/>
          <w:b/>
          <w:bCs/>
        </w:rPr>
        <w:t>second</w:t>
      </w:r>
      <w:r w:rsidR="00A068FB">
        <w:rPr>
          <w:rFonts w:ascii="Times New Roman" w:hAnsi="Times New Roman" w:cs="Times New Roman"/>
        </w:rPr>
        <w:t xml:space="preserve"> unknown: the degree that symbolic recognition is not uniform, we do not know whether it varies by district carceral burden and across various policy </w:t>
      </w:r>
      <w:r w:rsidR="00A068FB">
        <w:rPr>
          <w:rFonts w:ascii="Times New Roman" w:hAnsi="Times New Roman" w:cs="Times New Roman"/>
        </w:rPr>
        <w:lastRenderedPageBreak/>
        <w:t>dimensions: voting rights, apportionment, and political and policy environment (Grumbach). While we know that descriptive representation matters – [</w:t>
      </w:r>
      <w:proofErr w:type="spellStart"/>
      <w:r w:rsidR="00A068FB">
        <w:rPr>
          <w:rFonts w:ascii="Times New Roman" w:hAnsi="Times New Roman" w:cs="Times New Roman"/>
        </w:rPr>
        <w:t>coethnic</w:t>
      </w:r>
      <w:proofErr w:type="spellEnd"/>
      <w:r w:rsidR="00A068FB">
        <w:rPr>
          <w:rFonts w:ascii="Times New Roman" w:hAnsi="Times New Roman" w:cs="Times New Roman"/>
        </w:rPr>
        <w:t xml:space="preserve">] (citation) and economic/class background (Carnes, Carnes &amp; Lupu), Carnes and Lupu (2023) explicitly call for work “intersection of economic backgrounds of politicians and other important social characteristics…in both statistical and (even more pressingly) in qualitative and theory-building research” (265). </w:t>
      </w:r>
    </w:p>
    <w:p w14:paraId="555C159E" w14:textId="1EBA69B6" w:rsidR="00072385" w:rsidRDefault="00115AF5" w:rsidP="000F38CE">
      <w:pPr>
        <w:spacing w:line="360" w:lineRule="auto"/>
        <w:rPr>
          <w:rFonts w:ascii="Times New Roman" w:hAnsi="Times New Roman" w:cs="Times New Roman"/>
        </w:rPr>
      </w:pPr>
      <w:r>
        <w:rPr>
          <w:rFonts w:ascii="Times New Roman" w:hAnsi="Times New Roman" w:cs="Times New Roman"/>
        </w:rPr>
        <w:t>Reflecting XYZ, I do not treat symbolic recognition and epistemic justice or inclusion as automatically one in the same. While [something], findings that [marginalized within marginalized communities under-repped – Brown 2014)], [something here from Weaver – maybe racial authoritarianism plus the dual knowledge distinguishing between the laws and the hidden curriculum as being something that elected officials even who share such knowledges being disincentivized to invoke, plus white democrats “selective hearing”], [racial distancing + hollow signaling] ..suggest that whether symbolic recognition evolves into epistemic inclusion cannot be taken for granted. While I can point to personal anecdotal evidence of legislators treating incarcerated people as knowers [alt, while Congresswoman Ayanna Pressley for example models that legislators do treat incarcerated people as knowers] (</w:t>
      </w:r>
      <w:r w:rsidR="00DE0661">
        <w:rPr>
          <w:rFonts w:ascii="Times New Roman" w:hAnsi="Times New Roman" w:cs="Times New Roman"/>
        </w:rPr>
        <w:t xml:space="preserve">conceived of as </w:t>
      </w:r>
      <w:r>
        <w:rPr>
          <w:rFonts w:ascii="Times New Roman" w:hAnsi="Times New Roman" w:cs="Times New Roman"/>
        </w:rPr>
        <w:t>testimonial justice</w:t>
      </w:r>
      <w:r w:rsidR="00DE0661">
        <w:rPr>
          <w:rFonts w:ascii="Times New Roman" w:hAnsi="Times New Roman" w:cs="Times New Roman"/>
        </w:rPr>
        <w:t>), I do not know of empirical work or aggregate descriptive documentation of when, or the extent to which this happens – including in the advancement of criminal legal reform policy. This implicates a final gap, which is given [systematic exclusion and incentives] how it is that representational practices can and do emerge. [perhaps concluding note that under all these conditions and evidence/theories of rep, it is in some ways surprising that reform advances at all.</w:t>
      </w:r>
    </w:p>
    <w:p w14:paraId="3963A8A2" w14:textId="64E790E2" w:rsidR="00DF2327" w:rsidRDefault="00DF2327" w:rsidP="00DF2327">
      <w:pPr>
        <w:spacing w:line="360" w:lineRule="auto"/>
        <w:jc w:val="center"/>
        <w:rPr>
          <w:rFonts w:ascii="Times New Roman" w:hAnsi="Times New Roman" w:cs="Times New Roman"/>
        </w:rPr>
      </w:pPr>
      <w:r>
        <w:rPr>
          <w:rFonts w:ascii="Times New Roman" w:hAnsi="Times New Roman" w:cs="Times New Roman"/>
        </w:rPr>
        <w:t>Contribution</w:t>
      </w:r>
    </w:p>
    <w:p w14:paraId="1522B13C" w14:textId="60A57F75" w:rsidR="00DE0661" w:rsidRDefault="00DE0661" w:rsidP="000F38CE">
      <w:pPr>
        <w:spacing w:line="360" w:lineRule="auto"/>
        <w:rPr>
          <w:rFonts w:ascii="Times New Roman" w:hAnsi="Times New Roman" w:cs="Times New Roman"/>
        </w:rPr>
      </w:pPr>
      <w:r>
        <w:rPr>
          <w:rFonts w:ascii="Times New Roman" w:hAnsi="Times New Roman" w:cs="Times New Roman"/>
        </w:rPr>
        <w:t xml:space="preserve">Thus – we lack a theory (can I say this given Pottle) or empirical documentation of how legally and socially excluded groups – like carceral citizens—are </w:t>
      </w:r>
      <w:r w:rsidR="000F38CE">
        <w:rPr>
          <w:rFonts w:ascii="Times New Roman" w:hAnsi="Times New Roman" w:cs="Times New Roman"/>
        </w:rPr>
        <w:t xml:space="preserve">or are not symbolically, epistemically, and relationally represented in legislative communication. I am applying for the fellowship/grant so that this project may take a small first step towards filling that gap, by developing a tiered measure of representation for carceral constituencies. Gant/fellowship will enable me to then [test a specific </w:t>
      </w:r>
      <w:proofErr w:type="gramStart"/>
      <w:r w:rsidR="000F38CE">
        <w:rPr>
          <w:rFonts w:ascii="Times New Roman" w:hAnsi="Times New Roman" w:cs="Times New Roman"/>
        </w:rPr>
        <w:t>thing, and</w:t>
      </w:r>
      <w:proofErr w:type="gramEnd"/>
      <w:r w:rsidR="000F38CE">
        <w:rPr>
          <w:rFonts w:ascii="Times New Roman" w:hAnsi="Times New Roman" w:cs="Times New Roman"/>
        </w:rPr>
        <w:t xml:space="preserve"> tell one specific thing that we don’t already know]. </w:t>
      </w:r>
    </w:p>
    <w:p w14:paraId="60F5C2CB" w14:textId="77777777" w:rsidR="000F38CE" w:rsidRDefault="000F38CE" w:rsidP="000F38CE">
      <w:pPr>
        <w:spacing w:line="360" w:lineRule="auto"/>
        <w:rPr>
          <w:rFonts w:ascii="Times New Roman" w:hAnsi="Times New Roman" w:cs="Times New Roman"/>
        </w:rPr>
      </w:pPr>
    </w:p>
    <w:p w14:paraId="3642C3EA" w14:textId="77777777" w:rsidR="000F38CE" w:rsidRPr="00AA1271" w:rsidRDefault="000F38CE" w:rsidP="000F38CE">
      <w:pPr>
        <w:spacing w:line="360" w:lineRule="auto"/>
        <w:rPr>
          <w:rFonts w:ascii="Times New Roman" w:hAnsi="Times New Roman" w:cs="Times New Roman"/>
        </w:rPr>
      </w:pPr>
    </w:p>
    <w:sectPr w:rsidR="000F38CE" w:rsidRPr="00AA12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C7E6B"/>
    <w:multiLevelType w:val="hybridMultilevel"/>
    <w:tmpl w:val="2DDCD868"/>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0483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2C9"/>
    <w:rsid w:val="00030E89"/>
    <w:rsid w:val="00034833"/>
    <w:rsid w:val="00072385"/>
    <w:rsid w:val="000F38CE"/>
    <w:rsid w:val="00104AF7"/>
    <w:rsid w:val="00115AF5"/>
    <w:rsid w:val="001A28B9"/>
    <w:rsid w:val="001C42C9"/>
    <w:rsid w:val="001D36EF"/>
    <w:rsid w:val="002F36BC"/>
    <w:rsid w:val="002F53FB"/>
    <w:rsid w:val="00375BAC"/>
    <w:rsid w:val="00467159"/>
    <w:rsid w:val="00630880"/>
    <w:rsid w:val="00740FEF"/>
    <w:rsid w:val="007F487D"/>
    <w:rsid w:val="00A068FB"/>
    <w:rsid w:val="00AA1271"/>
    <w:rsid w:val="00BC65E7"/>
    <w:rsid w:val="00C560FF"/>
    <w:rsid w:val="00DE0661"/>
    <w:rsid w:val="00DE5CCE"/>
    <w:rsid w:val="00DF2327"/>
    <w:rsid w:val="00E67F00"/>
    <w:rsid w:val="00E96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6CAB60"/>
  <w15:chartTrackingRefBased/>
  <w15:docId w15:val="{6C940F5C-3D8B-3E49-9194-1BE8F9E54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2C9"/>
    <w:rPr>
      <w:rFonts w:eastAsiaTheme="majorEastAsia" w:cstheme="majorBidi"/>
      <w:color w:val="272727" w:themeColor="text1" w:themeTint="D8"/>
    </w:rPr>
  </w:style>
  <w:style w:type="paragraph" w:styleId="Title">
    <w:name w:val="Title"/>
    <w:basedOn w:val="Normal"/>
    <w:next w:val="Normal"/>
    <w:link w:val="TitleChar"/>
    <w:uiPriority w:val="10"/>
    <w:qFormat/>
    <w:rsid w:val="001C4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2C9"/>
    <w:pPr>
      <w:spacing w:before="160"/>
      <w:jc w:val="center"/>
    </w:pPr>
    <w:rPr>
      <w:i/>
      <w:iCs/>
      <w:color w:val="404040" w:themeColor="text1" w:themeTint="BF"/>
    </w:rPr>
  </w:style>
  <w:style w:type="character" w:customStyle="1" w:styleId="QuoteChar">
    <w:name w:val="Quote Char"/>
    <w:basedOn w:val="DefaultParagraphFont"/>
    <w:link w:val="Quote"/>
    <w:uiPriority w:val="29"/>
    <w:rsid w:val="001C42C9"/>
    <w:rPr>
      <w:i/>
      <w:iCs/>
      <w:color w:val="404040" w:themeColor="text1" w:themeTint="BF"/>
    </w:rPr>
  </w:style>
  <w:style w:type="paragraph" w:styleId="ListParagraph">
    <w:name w:val="List Paragraph"/>
    <w:basedOn w:val="Normal"/>
    <w:uiPriority w:val="34"/>
    <w:qFormat/>
    <w:rsid w:val="001C42C9"/>
    <w:pPr>
      <w:ind w:left="720"/>
      <w:contextualSpacing/>
    </w:pPr>
  </w:style>
  <w:style w:type="character" w:styleId="IntenseEmphasis">
    <w:name w:val="Intense Emphasis"/>
    <w:basedOn w:val="DefaultParagraphFont"/>
    <w:uiPriority w:val="21"/>
    <w:qFormat/>
    <w:rsid w:val="001C42C9"/>
    <w:rPr>
      <w:i/>
      <w:iCs/>
      <w:color w:val="0F4761" w:themeColor="accent1" w:themeShade="BF"/>
    </w:rPr>
  </w:style>
  <w:style w:type="paragraph" w:styleId="IntenseQuote">
    <w:name w:val="Intense Quote"/>
    <w:basedOn w:val="Normal"/>
    <w:next w:val="Normal"/>
    <w:link w:val="IntenseQuoteChar"/>
    <w:uiPriority w:val="30"/>
    <w:qFormat/>
    <w:rsid w:val="001C4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2C9"/>
    <w:rPr>
      <w:i/>
      <w:iCs/>
      <w:color w:val="0F4761" w:themeColor="accent1" w:themeShade="BF"/>
    </w:rPr>
  </w:style>
  <w:style w:type="character" w:styleId="IntenseReference">
    <w:name w:val="Intense Reference"/>
    <w:basedOn w:val="DefaultParagraphFont"/>
    <w:uiPriority w:val="32"/>
    <w:qFormat/>
    <w:rsid w:val="001C42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1431</Words>
  <Characters>8161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7</cp:revision>
  <dcterms:created xsi:type="dcterms:W3CDTF">2025-12-13T22:00:00Z</dcterms:created>
  <dcterms:modified xsi:type="dcterms:W3CDTF">2025-12-14T02:57:00Z</dcterms:modified>
</cp:coreProperties>
</file>