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6127D" w14:textId="0F102D4F" w:rsidR="00111FF6" w:rsidRPr="00035A1F" w:rsidRDefault="008938EC">
      <w:pPr>
        <w:rPr>
          <w:b/>
          <w:bCs/>
        </w:rPr>
      </w:pPr>
      <w:r w:rsidRPr="00035A1F">
        <w:rPr>
          <w:b/>
          <w:bCs/>
        </w:rPr>
        <w:t>DV Memo – Symbolic Versus Substantive</w:t>
      </w:r>
    </w:p>
    <w:p w14:paraId="70D8D655" w14:textId="77777777" w:rsidR="008938EC" w:rsidRDefault="008938EC"/>
    <w:p w14:paraId="20791D95" w14:textId="239F2CE1" w:rsidR="008938EC" w:rsidRDefault="008938EC">
      <w:r>
        <w:t xml:space="preserve">My initial conception of this project distinguished between “symbolic” representation – matters of how a legislator invokes constituencies primarily in public communication, whether floor speeches, district newsletters, or social media – and “substantive” representation. The latter, I conceived of as involving both policy “responsiveness” in terms of policy outcomes: filing, sponsoring, or supporting legislation that reflects a constituencies’ preferences or interests (preference vs interests also being an important distinction in how ‘good’ representation is treated), and policy process matters: the degree to which a legislator prioritizes or expends political capital to support an issue. </w:t>
      </w:r>
    </w:p>
    <w:p w14:paraId="1D296354" w14:textId="77777777" w:rsidR="008938EC" w:rsidRDefault="008938EC"/>
    <w:p w14:paraId="0771A38F" w14:textId="5FD35D56" w:rsidR="008938EC" w:rsidRDefault="008938EC">
      <w:r>
        <w:t xml:space="preserve">This separation reflects both consideration of feasibility (is it likely I can </w:t>
      </w:r>
      <w:r>
        <w:rPr>
          <w:i/>
          <w:iCs/>
        </w:rPr>
        <w:t xml:space="preserve">only </w:t>
      </w:r>
      <w:r>
        <w:t xml:space="preserve">operationalize speech, or sponsorship/co-sponsorship?), distinctions other studies have made between the two, and Pitkin’s normative distinction </w:t>
      </w:r>
      <w:r w:rsidR="001F6F97">
        <w:t xml:space="preserve">between the two in her interest-based approach, where </w:t>
      </w:r>
      <w:r>
        <w:t xml:space="preserve">symbolic </w:t>
      </w:r>
      <w:r w:rsidR="001F6F97">
        <w:t>has</w:t>
      </w:r>
      <w:r>
        <w:t xml:space="preserve"> to do with a constituency </w:t>
      </w:r>
      <w:r w:rsidRPr="001F6F97">
        <w:rPr>
          <w:i/>
          <w:iCs/>
        </w:rPr>
        <w:t>feeling</w:t>
      </w:r>
      <w:r>
        <w:t xml:space="preserve"> represented, and substantive </w:t>
      </w:r>
      <w:r w:rsidR="001F6F97">
        <w:t>has</w:t>
      </w:r>
      <w:r>
        <w:t xml:space="preserve"> to do with their ‘actually’ </w:t>
      </w:r>
      <w:r w:rsidRPr="001F6F97">
        <w:rPr>
          <w:i/>
          <w:iCs/>
        </w:rPr>
        <w:t>being</w:t>
      </w:r>
      <w:r>
        <w:t xml:space="preserve"> represented</w:t>
      </w:r>
      <w:r w:rsidR="001F6F97">
        <w:t xml:space="preserve">. </w:t>
      </w:r>
    </w:p>
    <w:p w14:paraId="1ACEFADD" w14:textId="77777777" w:rsidR="00B874C2" w:rsidRDefault="00B874C2"/>
    <w:p w14:paraId="283CC946" w14:textId="5B3D483E" w:rsidR="00B874C2" w:rsidRPr="007E02A7" w:rsidRDefault="00B874C2">
      <w:r>
        <w:t xml:space="preserve">Mansbridge, Saward, and Disch </w:t>
      </w:r>
      <w:r w:rsidR="007E02A7">
        <w:t xml:space="preserve">challenge this binary’s ontological premise: that there’s a meaningful difference between symbolic and substantive representation, and more foundationally that there is such a thing as a pre-given constituency whose interests representatives act on. Disch’s claim is that representatives themselves construct or mobilize constituencies into existence. Thus symbolic acts of invoking – for my case – carceral citizens as part of a legislator’s constituency is a performative act that constitutes their political membership, and has, as Mansbridge stresses, </w:t>
      </w:r>
      <w:r w:rsidR="007E02A7">
        <w:rPr>
          <w:i/>
          <w:iCs/>
        </w:rPr>
        <w:t>substantive</w:t>
      </w:r>
      <w:r w:rsidR="007E02A7">
        <w:t xml:space="preserve"> effects. Under this framework, and Saward’s conception of representation as “event,” a question of whether legislators understand carceral citizens as members of their constituency is not a precondition to study symbolic representation, but rather it </w:t>
      </w:r>
      <w:r w:rsidR="007E02A7">
        <w:rPr>
          <w:i/>
          <w:iCs/>
        </w:rPr>
        <w:t>is</w:t>
      </w:r>
      <w:r w:rsidR="007E02A7">
        <w:t xml:space="preserve"> symbolic representation and in its construction of carceral citizens as a constituency and thus political knowers, a matter of substantive and epistemic import. </w:t>
      </w:r>
    </w:p>
    <w:p w14:paraId="75BAAFC2" w14:textId="77777777" w:rsidR="001F6F97" w:rsidRDefault="001F6F97"/>
    <w:p w14:paraId="0918F609" w14:textId="5653BD2C" w:rsidR="001F6F97" w:rsidRDefault="001F6F97">
      <w:r>
        <w:t xml:space="preserve">Ultimately, my ambition is to put this project in epistemic terms. This has to do with </w:t>
      </w:r>
      <w:r w:rsidR="001A2455">
        <w:t>. . .</w:t>
      </w:r>
    </w:p>
    <w:p w14:paraId="754D1427" w14:textId="77777777" w:rsidR="001A2455" w:rsidRDefault="001A2455"/>
    <w:p w14:paraId="28387243" w14:textId="5206BC98" w:rsidR="001A2455" w:rsidRDefault="001A2455">
      <w:r>
        <w:lastRenderedPageBreak/>
        <w:t>When carceral citizens are invoked, what epistemic status do they have? Are they treated as knowers with experiences, perspectives, and demands that are politically credible, or are they treated as policy objects?</w:t>
      </w:r>
    </w:p>
    <w:p w14:paraId="5122A073" w14:textId="5D8B1F39" w:rsidR="001A2455" w:rsidRDefault="001A2455">
      <w:r>
        <w:t>This is the qualitative dimension of symbolic representation (hollow vs. centering, epistemic inclusion)</w:t>
      </w:r>
    </w:p>
    <w:p w14:paraId="666379F4" w14:textId="512D52D3" w:rsidR="001A2455" w:rsidRDefault="001A2455">
      <w:r>
        <w:sym w:font="Wingdings" w:char="F0E0"/>
      </w:r>
      <w:r>
        <w:t xml:space="preserve"> testimonial</w:t>
      </w:r>
    </w:p>
    <w:p w14:paraId="67B25978" w14:textId="7670B02A" w:rsidR="001A2455" w:rsidRDefault="001A2455">
      <w:r>
        <w:sym w:font="Wingdings" w:char="F0E0"/>
      </w:r>
      <w:r>
        <w:t xml:space="preserve"> hermeneutic </w:t>
      </w:r>
    </w:p>
    <w:p w14:paraId="4761E715" w14:textId="75DDF7D0" w:rsidR="001A2455" w:rsidRDefault="001A2455">
      <w:r>
        <w:t xml:space="preserve">Responsiveness: does the legislator act as a bridge? Does the legislator take carceral constituent communication seriously in practice? In this case, requires being accessible. </w:t>
      </w:r>
    </w:p>
    <w:p w14:paraId="7A65E3F4" w14:textId="62480719" w:rsidR="001A2455" w:rsidRDefault="001A2455">
      <w:r>
        <w:t xml:space="preserve">Does epistemic inclusion presuppose that someone is already being included in representational imaginary at some level? </w:t>
      </w:r>
    </w:p>
    <w:p w14:paraId="7918140A" w14:textId="7AA526EB" w:rsidR="001A2455" w:rsidRDefault="001A2455">
      <w:r>
        <w:t xml:space="preserve">Epistemic inclusion and conceptually prior question whether carceral citizens appear in a legislator’s imaginary, rather than appearing in unjust ways. This is: “are they even there?” Is the epistemic question “in what mode”? </w:t>
      </w:r>
    </w:p>
    <w:p w14:paraId="382A7753" w14:textId="4D30243A" w:rsidR="001A2455" w:rsidRDefault="001A2455">
      <w:r>
        <w:t xml:space="preserve">Alternative: can I frame epistemic inclusion as the </w:t>
      </w:r>
      <w:r>
        <w:rPr>
          <w:i/>
          <w:iCs/>
        </w:rPr>
        <w:t>underlying mechanism</w:t>
      </w:r>
      <w:r>
        <w:t xml:space="preserve"> that connects tiers:</w:t>
      </w:r>
    </w:p>
    <w:p w14:paraId="7C0C3D61" w14:textId="0A0800A4" w:rsidR="00087622" w:rsidRDefault="00087622" w:rsidP="001A2455">
      <w:pPr>
        <w:pStyle w:val="ListParagraph"/>
        <w:numPr>
          <w:ilvl w:val="0"/>
          <w:numId w:val="1"/>
        </w:numPr>
      </w:pPr>
      <w:r>
        <w:t>Are carceral citizens descriptively represented?</w:t>
      </w:r>
    </w:p>
    <w:p w14:paraId="23B73B26" w14:textId="05D29E36" w:rsidR="001A2455" w:rsidRDefault="001A2455" w:rsidP="001A2455">
      <w:pPr>
        <w:pStyle w:val="ListParagraph"/>
        <w:numPr>
          <w:ilvl w:val="0"/>
          <w:numId w:val="1"/>
        </w:numPr>
      </w:pPr>
      <w:r>
        <w:t>Are carceral citizens recognized as a constituency (constitutive)</w:t>
      </w:r>
    </w:p>
    <w:p w14:paraId="100A3939" w14:textId="3ECF666E" w:rsidR="001A2455" w:rsidRDefault="001A2455" w:rsidP="001A2455">
      <w:pPr>
        <w:pStyle w:val="ListParagraph"/>
        <w:numPr>
          <w:ilvl w:val="0"/>
          <w:numId w:val="1"/>
        </w:numPr>
      </w:pPr>
      <w:r>
        <w:t>How are they recognized (epistemic quality)</w:t>
      </w:r>
    </w:p>
    <w:p w14:paraId="57F2A884" w14:textId="2872F5C2" w:rsidR="001A2455" w:rsidRDefault="001A2455" w:rsidP="001A2455">
      <w:pPr>
        <w:pStyle w:val="ListParagraph"/>
        <w:numPr>
          <w:ilvl w:val="0"/>
          <w:numId w:val="1"/>
        </w:numPr>
      </w:pPr>
      <w:r>
        <w:t xml:space="preserve">Does recognition produce </w:t>
      </w:r>
      <w:r w:rsidR="00700697">
        <w:t xml:space="preserve">or correspond with other </w:t>
      </w:r>
      <w:r>
        <w:t>action</w:t>
      </w:r>
      <w:r w:rsidR="00700697">
        <w:t xml:space="preserve"> (“responsiveness”)</w:t>
      </w:r>
    </w:p>
    <w:p w14:paraId="45949F7A" w14:textId="7C34B00B" w:rsidR="00700697" w:rsidRDefault="00700697" w:rsidP="00700697">
      <w:pPr>
        <w:pStyle w:val="ListParagraph"/>
        <w:numPr>
          <w:ilvl w:val="0"/>
          <w:numId w:val="1"/>
        </w:numPr>
      </w:pPr>
      <w:r>
        <w:t>Epistemic inclusion/exclusion would explain why the gaps between tiers exist/matter democratically</w:t>
      </w:r>
    </w:p>
    <w:p w14:paraId="0CC874AD" w14:textId="575B2500" w:rsidR="00700697" w:rsidRDefault="00700697" w:rsidP="00700697">
      <w:r>
        <w:t>More on symbolic/substantive binary</w:t>
      </w:r>
    </w:p>
    <w:p w14:paraId="5619874E" w14:textId="1E0D2917" w:rsidR="00700697" w:rsidRDefault="00700697" w:rsidP="00700697">
      <w:pPr>
        <w:pStyle w:val="ListParagraph"/>
        <w:numPr>
          <w:ilvl w:val="0"/>
          <w:numId w:val="2"/>
        </w:numPr>
      </w:pPr>
      <w:r>
        <w:t>Symbolic as</w:t>
      </w:r>
    </w:p>
    <w:p w14:paraId="3EF0FEB8" w14:textId="02ECB51F" w:rsidR="00700697" w:rsidRDefault="00700697" w:rsidP="00700697">
      <w:pPr>
        <w:pStyle w:val="ListParagraph"/>
        <w:numPr>
          <w:ilvl w:val="1"/>
          <w:numId w:val="2"/>
        </w:numPr>
      </w:pPr>
      <w:r>
        <w:t>Communicative</w:t>
      </w:r>
    </w:p>
    <w:p w14:paraId="64DE0A30" w14:textId="4F3C4BFE" w:rsidR="00700697" w:rsidRDefault="00700697" w:rsidP="00700697">
      <w:pPr>
        <w:pStyle w:val="ListParagraph"/>
        <w:numPr>
          <w:ilvl w:val="1"/>
          <w:numId w:val="2"/>
        </w:numPr>
      </w:pPr>
      <w:r>
        <w:t>Constitutively powerful because it constructs who has political standing, may change institutional cultures and norms, and introduce new knowledge (ie, Liz Miranda introducing to her colleagues the idea not just that some incarcerated people are eligible to vote, but that they also want to)</w:t>
      </w:r>
    </w:p>
    <w:p w14:paraId="3B2D01C2" w14:textId="259B61DF" w:rsidR="00700697" w:rsidRDefault="00700697" w:rsidP="00700697">
      <w:pPr>
        <w:pStyle w:val="ListParagraph"/>
        <w:numPr>
          <w:ilvl w:val="0"/>
          <w:numId w:val="2"/>
        </w:numPr>
      </w:pPr>
      <w:r>
        <w:t>The value – for my project – of distinguishing between symbolic and substantive becomes a semi-practical distinction for measurement:</w:t>
      </w:r>
    </w:p>
    <w:p w14:paraId="71A5886C" w14:textId="1B992440" w:rsidR="00700697" w:rsidRDefault="00700697" w:rsidP="00700697">
      <w:pPr>
        <w:pStyle w:val="ListParagraph"/>
        <w:numPr>
          <w:ilvl w:val="1"/>
          <w:numId w:val="2"/>
        </w:numPr>
      </w:pPr>
      <w:r>
        <w:t>Speech – symbolic</w:t>
      </w:r>
    </w:p>
    <w:p w14:paraId="0FB86557" w14:textId="02587E2E" w:rsidR="00700697" w:rsidRDefault="00700697" w:rsidP="00700697">
      <w:pPr>
        <w:pStyle w:val="ListParagraph"/>
        <w:numPr>
          <w:ilvl w:val="1"/>
          <w:numId w:val="2"/>
        </w:numPr>
      </w:pPr>
      <w:r>
        <w:t>Bill text, sponsorship process/outcomes – substantive</w:t>
      </w:r>
    </w:p>
    <w:p w14:paraId="3BBDF9E9" w14:textId="503A02B8" w:rsidR="00700697" w:rsidRDefault="00700697" w:rsidP="00700697">
      <w:pPr>
        <w:pStyle w:val="ListParagraph"/>
        <w:numPr>
          <w:ilvl w:val="2"/>
          <w:numId w:val="2"/>
        </w:numPr>
      </w:pPr>
      <w:r>
        <w:lastRenderedPageBreak/>
        <w:t>Question of whether epistemic inclusion in discourse translates downstream to policy work</w:t>
      </w:r>
    </w:p>
    <w:p w14:paraId="48D26E83" w14:textId="7A2202CE" w:rsidR="00700697" w:rsidRDefault="00700697" w:rsidP="00700697">
      <w:pPr>
        <w:pStyle w:val="ListParagraph"/>
        <w:numPr>
          <w:ilvl w:val="2"/>
          <w:numId w:val="2"/>
        </w:numPr>
      </w:pPr>
      <w:r>
        <w:t xml:space="preserve">Also </w:t>
      </w:r>
      <w:r w:rsidR="00087622">
        <w:t xml:space="preserve">is there a benefit in being able to ask: we know that CJ policy is produced. . . what do people who do CJ things say? </w:t>
      </w:r>
    </w:p>
    <w:p w14:paraId="67DA23D0" w14:textId="77777777" w:rsidR="00035D91" w:rsidRDefault="00035D91" w:rsidP="00035D91"/>
    <w:p w14:paraId="40BE0CCB" w14:textId="77777777" w:rsidR="00035D91" w:rsidRDefault="00035D91" w:rsidP="00035D91"/>
    <w:p w14:paraId="25774EF4" w14:textId="77777777" w:rsidR="00035D91" w:rsidRDefault="00035D91" w:rsidP="00035D91">
      <w:pPr>
        <w:pStyle w:val="ListParagraph"/>
        <w:numPr>
          <w:ilvl w:val="0"/>
          <w:numId w:val="3"/>
        </w:numPr>
      </w:pPr>
      <w:r>
        <w:t xml:space="preserve">For some, whether legislators organize around constituent </w:t>
      </w:r>
      <w:r>
        <w:rPr>
          <w:i/>
          <w:iCs/>
        </w:rPr>
        <w:t>interests</w:t>
      </w:r>
      <w:r>
        <w:t xml:space="preserve"> or </w:t>
      </w:r>
      <w:r>
        <w:rPr>
          <w:i/>
          <w:iCs/>
        </w:rPr>
        <w:t>preferences</w:t>
      </w:r>
      <w:r>
        <w:t xml:space="preserve"> constitute distinct approaches to representation, or is a distinction that “draws on an important difference in how one conceives of the basis of political representation” (Miler 2018 p 13). </w:t>
      </w:r>
    </w:p>
    <w:p w14:paraId="6D1C9D43" w14:textId="77777777" w:rsidR="00035D91" w:rsidRDefault="00035D91" w:rsidP="00035D91">
      <w:pPr>
        <w:pStyle w:val="ListParagraph"/>
        <w:numPr>
          <w:ilvl w:val="1"/>
          <w:numId w:val="3"/>
        </w:numPr>
      </w:pPr>
      <w:r>
        <w:t xml:space="preserve">Pitkin (1967)charts and many other takes an avowedly interest based approach, wherein the legislator is conceived to “pursue the interest of his constituency rather than to do its bidding. . . representative owest the people “devotion to their interests” rather than ‘submission to their will” (176). </w:t>
      </w:r>
    </w:p>
    <w:p w14:paraId="7DC9FD23" w14:textId="77777777" w:rsidR="00035D91" w:rsidRDefault="00035D91" w:rsidP="00035D91">
      <w:pPr>
        <w:pStyle w:val="ListParagraph"/>
        <w:numPr>
          <w:ilvl w:val="1"/>
          <w:numId w:val="3"/>
        </w:numPr>
      </w:pPr>
      <w:r>
        <w:t>Interests are treated as more stable, which is another justification for interest-based approach</w:t>
      </w:r>
    </w:p>
    <w:p w14:paraId="490113D6" w14:textId="77777777" w:rsidR="00035D91" w:rsidRDefault="00035D91" w:rsidP="00035D91">
      <w:pPr>
        <w:pStyle w:val="ListParagraph"/>
        <w:numPr>
          <w:ilvl w:val="1"/>
          <w:numId w:val="3"/>
        </w:numPr>
      </w:pPr>
      <w:r>
        <w:t xml:space="preserve">Pitkin (1967): “representing. . . means acting in the interest of the represented, in a manner responsive to them,” and in democratic regimes the represented constituency is “somehow logically prior; the representative must be responsive to him rather than the other way around” </w:t>
      </w:r>
    </w:p>
    <w:p w14:paraId="4962D6C7" w14:textId="77777777" w:rsidR="00035D91" w:rsidRDefault="00035D91" w:rsidP="00035D91">
      <w:pPr>
        <w:pStyle w:val="ListParagraph"/>
        <w:numPr>
          <w:ilvl w:val="2"/>
          <w:numId w:val="3"/>
        </w:numPr>
      </w:pPr>
      <w:r>
        <w:t xml:space="preserve">She saw empirical research as showing legislators have to respond to too much stuff for citizen preferences to be primary determinant in legislative decisions, and that constituents don’t articulate well-formed preferences that are consistently held on issues that Congress takes up, and when they do, discrete preferences do not aggregate into a single interest without actions by the representative to make that happen.  </w:t>
      </w:r>
    </w:p>
    <w:p w14:paraId="6FD6688E" w14:textId="77777777" w:rsidR="00035D91" w:rsidRDefault="00035D91" w:rsidP="00035D91">
      <w:pPr>
        <w:pStyle w:val="ListParagraph"/>
        <w:numPr>
          <w:ilvl w:val="2"/>
          <w:numId w:val="3"/>
        </w:numPr>
      </w:pPr>
      <w:r>
        <w:t xml:space="preserve">In her argument on how Pitkin’s theory is overlooked/misread, Disch writes: </w:t>
      </w:r>
    </w:p>
    <w:p w14:paraId="0F760EBE" w14:textId="77777777" w:rsidR="00035D91" w:rsidRDefault="00035D91" w:rsidP="00035D91">
      <w:pPr>
        <w:pStyle w:val="ListParagraph"/>
        <w:numPr>
          <w:ilvl w:val="3"/>
          <w:numId w:val="3"/>
        </w:numPr>
      </w:pPr>
      <w:r w:rsidRPr="00AB33D7">
        <w:t xml:space="preserve">If representation cannot take its bearings from the imagined bedrock of constituent preferences, then how is  democratic representation possible? Pitkin argued that it isn’t—at least, not on the model of a “one-to-one,  person-to-person relationship” to which folkways and much political science scholarship remain captive.  Pitkin proposed that representative democracy should be conceived as systemic, </w:t>
      </w:r>
      <w:r w:rsidRPr="00AB33D7">
        <w:lastRenderedPageBreak/>
        <w:t xml:space="preserve">impersonal, and  anonymous. For representation to take place, there does not need to be a meeting of the minds between  representative and constituency, nor even so much as a meeting. Provided the system is well designed, acts of  government may be democratically representative even though “many individuals, both voters and legislators,  are pursuing quite other goals.”  </w:t>
      </w:r>
    </w:p>
    <w:p w14:paraId="3F204BF1" w14:textId="77777777" w:rsidR="00035D91" w:rsidRDefault="00035D91" w:rsidP="00035D91">
      <w:pPr>
        <w:pStyle w:val="ListParagraph"/>
        <w:numPr>
          <w:ilvl w:val="3"/>
          <w:numId w:val="3"/>
        </w:numPr>
      </w:pPr>
      <w:r>
        <w:t>Disch here is making the case for her theory that legislators create/shape constituencies rather than the classic other way around</w:t>
      </w:r>
    </w:p>
    <w:p w14:paraId="550E29E0" w14:textId="77777777" w:rsidR="00035D91" w:rsidRDefault="00035D91" w:rsidP="00035D91">
      <w:pPr>
        <w:pStyle w:val="ListParagraph"/>
        <w:numPr>
          <w:ilvl w:val="3"/>
          <w:numId w:val="3"/>
        </w:numPr>
      </w:pPr>
      <w:r>
        <w:t>Notes pitkin struggled still with responsiveness (“casts doubt on “responsiveness” as a normative ideal and operational index of democratic representation. She verges on posing my constituency paradox, that classic representation must posit as a starting point constituencies and interests that often take shape only by its means. .. recognized. . . that representation often involves acting for an “unorganized group”. . .If Frank is right, Pitkin did not intend to send theorists off on a normative quest.”)</w:t>
      </w:r>
    </w:p>
    <w:p w14:paraId="1B69619A" w14:textId="77777777" w:rsidR="00035D91" w:rsidRDefault="00035D91" w:rsidP="00035D91">
      <w:pPr>
        <w:pStyle w:val="ListParagraph"/>
        <w:numPr>
          <w:ilvl w:val="2"/>
          <w:numId w:val="3"/>
        </w:numPr>
      </w:pPr>
      <w:r>
        <w:t>Then moving to Mansbridge, where anticipatory “requires representatives to represent interests and preferences that have not yet taken shape”  (40)</w:t>
      </w:r>
    </w:p>
    <w:p w14:paraId="34D201A6" w14:textId="77777777" w:rsidR="00035D91" w:rsidRDefault="00035D91" w:rsidP="00035D91">
      <w:pPr>
        <w:pStyle w:val="ListParagraph"/>
        <w:numPr>
          <w:ilvl w:val="3"/>
          <w:numId w:val="3"/>
        </w:numPr>
      </w:pPr>
      <w:r>
        <w:t>Mansbridge thinks retrospective voting (similar or same to anticipatory?) can allow for a reflexive understanding of “interests’ (defined as enlightened preferences)” (Mansbridge) to enter into “what would otherwise be purely preference-oriented model of political behavior” (Mansbridge)” (41)</w:t>
      </w:r>
    </w:p>
    <w:p w14:paraId="779619B0" w14:textId="77777777" w:rsidR="00035D91" w:rsidRDefault="00035D91" w:rsidP="00035D91">
      <w:pPr>
        <w:pStyle w:val="ListParagraph"/>
        <w:numPr>
          <w:ilvl w:val="3"/>
          <w:numId w:val="3"/>
        </w:numPr>
      </w:pPr>
      <w:r>
        <w:t>Takes leave of citizen preference as bedrock, but still encourages thinking of voters as either educable or manipulable</w:t>
      </w:r>
    </w:p>
    <w:p w14:paraId="546473B7" w14:textId="77777777" w:rsidR="00035D91" w:rsidRDefault="00035D91" w:rsidP="00035D91">
      <w:pPr>
        <w:pStyle w:val="ListParagraph"/>
        <w:numPr>
          <w:ilvl w:val="3"/>
          <w:numId w:val="3"/>
        </w:numPr>
      </w:pPr>
      <w:r>
        <w:t>“Quietly amending Pitkin, [Mansbridge] argues that empirical researchers bear a normative charge to assess whether any changes they may observe in public opinion “are best described as ‘education’ or ‘manipulation.’”</w:t>
      </w:r>
    </w:p>
    <w:p w14:paraId="2CB81A35" w14:textId="77777777" w:rsidR="00035D91" w:rsidRDefault="00035D91" w:rsidP="00035D91">
      <w:pPr>
        <w:pStyle w:val="ListParagraph"/>
        <w:numPr>
          <w:ilvl w:val="3"/>
          <w:numId w:val="3"/>
        </w:numPr>
      </w:pPr>
      <w:r>
        <w:t xml:space="preserve">“She reduces Pitkin’s broad category of leadership to a specific activity – education – that links political representation explicitly to competence-building. Education. . .fosters autonomy. It is a “form of influence” that meets two criteria: it </w:t>
      </w:r>
      <w:r>
        <w:lastRenderedPageBreak/>
        <w:t xml:space="preserve">“works through arguments on the merits and is by definition in the recipents’ interests.” Manipulation, by contrast, is a form of coercive power” (41) done to constituents without their knowing, in a circumstance where they might have taken a different action. </w:t>
      </w:r>
    </w:p>
    <w:p w14:paraId="2DD23E38" w14:textId="77777777" w:rsidR="00035D91" w:rsidRDefault="00035D91" w:rsidP="00035D91">
      <w:pPr>
        <w:pStyle w:val="ListParagraph"/>
        <w:numPr>
          <w:ilvl w:val="3"/>
          <w:numId w:val="3"/>
        </w:numPr>
      </w:pPr>
      <w:r>
        <w:t xml:space="preserve">Mansbridge “concedes that “questions regarding voters’ interest, in contrast to their preferences,” do not have the character of bedrock because they are not “susceptible to certain resolution” </w:t>
      </w:r>
    </w:p>
    <w:p w14:paraId="75A9B173" w14:textId="77777777" w:rsidR="00035D91" w:rsidRDefault="00035D91" w:rsidP="00035D91">
      <w:pPr>
        <w:pStyle w:val="ListParagraph"/>
        <w:numPr>
          <w:ilvl w:val="4"/>
          <w:numId w:val="3"/>
        </w:numPr>
      </w:pPr>
      <w:r>
        <w:t>Bedrock norm: predominant empirical model of democratic representation that imagines people form and fix their preferences prior to engaging with political institutions and political campaigns, allows researchers to safely rely on responsiveness as an indicator that political representation is working as it should</w:t>
      </w:r>
    </w:p>
    <w:p w14:paraId="0A097115" w14:textId="77777777" w:rsidR="00035D91" w:rsidRDefault="00035D91" w:rsidP="00035D91"/>
    <w:p w14:paraId="7B2A6BD2" w14:textId="77777777" w:rsidR="00035D91" w:rsidRPr="001A2455" w:rsidRDefault="00035D91" w:rsidP="00035D91"/>
    <w:sectPr w:rsidR="00035D91" w:rsidRPr="001A24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71D8"/>
    <w:multiLevelType w:val="hybridMultilevel"/>
    <w:tmpl w:val="950446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9E10BF9"/>
    <w:multiLevelType w:val="hybridMultilevel"/>
    <w:tmpl w:val="FA4CDB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0CD63EF"/>
    <w:multiLevelType w:val="hybridMultilevel"/>
    <w:tmpl w:val="12ACB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97737399">
    <w:abstractNumId w:val="2"/>
  </w:num>
  <w:num w:numId="2" w16cid:durableId="562448261">
    <w:abstractNumId w:val="0"/>
  </w:num>
  <w:num w:numId="3" w16cid:durableId="6052302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8EC"/>
    <w:rsid w:val="00035A1F"/>
    <w:rsid w:val="00035D91"/>
    <w:rsid w:val="00087622"/>
    <w:rsid w:val="00111FF6"/>
    <w:rsid w:val="00172CCD"/>
    <w:rsid w:val="001A2455"/>
    <w:rsid w:val="001F6F97"/>
    <w:rsid w:val="0030716D"/>
    <w:rsid w:val="003150F8"/>
    <w:rsid w:val="003C4592"/>
    <w:rsid w:val="004C7E67"/>
    <w:rsid w:val="00700697"/>
    <w:rsid w:val="0073445B"/>
    <w:rsid w:val="007A17A7"/>
    <w:rsid w:val="007E02A7"/>
    <w:rsid w:val="008938EC"/>
    <w:rsid w:val="008C2728"/>
    <w:rsid w:val="00B43BCA"/>
    <w:rsid w:val="00B874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CBDB417"/>
  <w15:chartTrackingRefBased/>
  <w15:docId w15:val="{123428DC-FA23-D144-9B8D-E7DA3BA34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38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38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38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3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3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38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8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8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8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8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38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38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3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3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3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8EC"/>
    <w:rPr>
      <w:rFonts w:eastAsiaTheme="majorEastAsia" w:cstheme="majorBidi"/>
      <w:color w:val="272727" w:themeColor="text1" w:themeTint="D8"/>
    </w:rPr>
  </w:style>
  <w:style w:type="paragraph" w:styleId="Title">
    <w:name w:val="Title"/>
    <w:basedOn w:val="Normal"/>
    <w:next w:val="Normal"/>
    <w:link w:val="TitleChar"/>
    <w:uiPriority w:val="10"/>
    <w:qFormat/>
    <w:rsid w:val="008938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8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8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8EC"/>
    <w:pPr>
      <w:spacing w:before="160"/>
      <w:jc w:val="center"/>
    </w:pPr>
    <w:rPr>
      <w:i/>
      <w:iCs/>
      <w:color w:val="404040" w:themeColor="text1" w:themeTint="BF"/>
    </w:rPr>
  </w:style>
  <w:style w:type="character" w:customStyle="1" w:styleId="QuoteChar">
    <w:name w:val="Quote Char"/>
    <w:basedOn w:val="DefaultParagraphFont"/>
    <w:link w:val="Quote"/>
    <w:uiPriority w:val="29"/>
    <w:rsid w:val="008938EC"/>
    <w:rPr>
      <w:i/>
      <w:iCs/>
      <w:color w:val="404040" w:themeColor="text1" w:themeTint="BF"/>
    </w:rPr>
  </w:style>
  <w:style w:type="paragraph" w:styleId="ListParagraph">
    <w:name w:val="List Paragraph"/>
    <w:basedOn w:val="Normal"/>
    <w:uiPriority w:val="34"/>
    <w:qFormat/>
    <w:rsid w:val="008938EC"/>
    <w:pPr>
      <w:ind w:left="720"/>
      <w:contextualSpacing/>
    </w:pPr>
  </w:style>
  <w:style w:type="character" w:styleId="IntenseEmphasis">
    <w:name w:val="Intense Emphasis"/>
    <w:basedOn w:val="DefaultParagraphFont"/>
    <w:uiPriority w:val="21"/>
    <w:qFormat/>
    <w:rsid w:val="008938EC"/>
    <w:rPr>
      <w:i/>
      <w:iCs/>
      <w:color w:val="0F4761" w:themeColor="accent1" w:themeShade="BF"/>
    </w:rPr>
  </w:style>
  <w:style w:type="paragraph" w:styleId="IntenseQuote">
    <w:name w:val="Intense Quote"/>
    <w:basedOn w:val="Normal"/>
    <w:next w:val="Normal"/>
    <w:link w:val="IntenseQuoteChar"/>
    <w:uiPriority w:val="30"/>
    <w:qFormat/>
    <w:rsid w:val="00893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38EC"/>
    <w:rPr>
      <w:i/>
      <w:iCs/>
      <w:color w:val="0F4761" w:themeColor="accent1" w:themeShade="BF"/>
    </w:rPr>
  </w:style>
  <w:style w:type="character" w:styleId="IntenseReference">
    <w:name w:val="Intense Reference"/>
    <w:basedOn w:val="DefaultParagraphFont"/>
    <w:uiPriority w:val="32"/>
    <w:qFormat/>
    <w:rsid w:val="008938E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5</Pages>
  <Words>1259</Words>
  <Characters>7756</Characters>
  <Application>Microsoft Office Word</Application>
  <DocSecurity>0</DocSecurity>
  <Lines>143</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4</cp:revision>
  <dcterms:created xsi:type="dcterms:W3CDTF">2026-02-19T18:43:00Z</dcterms:created>
  <dcterms:modified xsi:type="dcterms:W3CDTF">2026-02-25T20:09:00Z</dcterms:modified>
</cp:coreProperties>
</file>