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FDF1" w14:textId="69EEC043" w:rsidR="001554D9" w:rsidRDefault="00AB170B">
      <w:r>
        <w:t>Test 1 revision brainstorm</w:t>
      </w:r>
    </w:p>
    <w:p w14:paraId="6F7B924D" w14:textId="77777777" w:rsidR="00AB170B" w:rsidRDefault="00AB170B" w:rsidP="00AB170B">
      <w:pPr>
        <w:pStyle w:val="font-claude-response-body"/>
      </w:pPr>
      <w:r>
        <w:rPr>
          <w:rStyle w:val="Strong"/>
          <w:rFonts w:eastAsiaTheme="majorEastAsia"/>
        </w:rPr>
        <w:t>The Core Theoretical Move for Chapter 1</w:t>
      </w:r>
    </w:p>
    <w:p w14:paraId="72A876F3" w14:textId="77777777" w:rsidR="00AB170B" w:rsidRDefault="00AB170B" w:rsidP="00AB170B">
      <w:pPr>
        <w:pStyle w:val="font-claude-response-body"/>
      </w:pPr>
      <w:r>
        <w:t xml:space="preserve">I think the strongest framing positions your data as evidence that carceral contact produces </w:t>
      </w:r>
      <w:r>
        <w:rPr>
          <w:rStyle w:val="Emphasis"/>
          <w:rFonts w:eastAsiaTheme="majorEastAsia"/>
        </w:rPr>
        <w:t>coherent, distinctive political orientations</w:t>
      </w:r>
      <w:r>
        <w:t xml:space="preserve"> — and that the systematic gap between what impacted people think and what non-impacted people think has implications for representation when legislators overwhelmingly come from non-impacted backgrounds. The Fricker/Pottle/WPP framework helps you explain </w:t>
      </w:r>
      <w:r>
        <w:rPr>
          <w:rStyle w:val="Emphasis"/>
          <w:rFonts w:eastAsiaTheme="majorEastAsia"/>
        </w:rPr>
        <w:t>why</w:t>
      </w:r>
      <w:r>
        <w:t xml:space="preserve"> this matters beyond just "different groups have different preferences."</w:t>
      </w:r>
    </w:p>
    <w:p w14:paraId="43E84688" w14:textId="77777777" w:rsidR="00AB170B" w:rsidRDefault="00AB170B" w:rsidP="00AB170B">
      <w:pPr>
        <w:pStyle w:val="font-claude-response-body"/>
      </w:pPr>
      <w:r>
        <w:t>Here's how I'd sequence the logic:</w:t>
      </w:r>
    </w:p>
    <w:p w14:paraId="40E6ABCB" w14:textId="1349EEF8" w:rsidR="00AB170B" w:rsidRDefault="00AB170B" w:rsidP="00AB170B">
      <w:pPr>
        <w:pStyle w:val="font-claude-response-body"/>
      </w:pPr>
      <w:r>
        <w:rPr>
          <w:rStyle w:val="Strong"/>
          <w:rFonts w:eastAsiaTheme="majorEastAsia"/>
        </w:rPr>
        <w:t>Step 1: The assumption that needs unsettling.</w:t>
      </w:r>
      <w:r>
        <w:t xml:space="preserve"> Traditional responsiveness models (Pitkin) assume legislators can perceive constituent interests. But </w:t>
      </w:r>
      <w:r w:rsidR="008F1B34">
        <w:t xml:space="preserve">(KM: whether perceiving interests or preferences, it requires) </w:t>
      </w:r>
      <w:r>
        <w:t xml:space="preserve">perceiving interests requires knowing what constituents think, experience, and want. </w:t>
      </w:r>
      <w:r w:rsidR="008F1B34">
        <w:t xml:space="preserve">(KM: is there something to the tune of: while some </w:t>
      </w:r>
      <w:r w:rsidR="003F0A72">
        <w:t xml:space="preserve">stress a meaningful distinction between interests and preferences, in order to support or more readily conceive of responsiveness. . . maybe connected to Pitkin’s view that in the rare interests where constituencies have prior, consistently held preferences, they are unagreeable into a single actionable interest for the representative without that representative doing some work, other’s (Disch) note that this </w:t>
      </w:r>
      <w:proofErr w:type="spellStart"/>
      <w:r w:rsidR="003F0A72">
        <w:t>distuncture</w:t>
      </w:r>
      <w:proofErr w:type="spellEnd"/>
      <w:r w:rsidR="003F0A72">
        <w:t xml:space="preserve"> leads Pitkin and others to ignore the role that the state – including/especially for Disch, </w:t>
      </w:r>
      <w:proofErr w:type="spellStart"/>
      <w:r w:rsidR="003F0A72">
        <w:t xml:space="preserve">legislators – </w:t>
      </w:r>
      <w:proofErr w:type="spellEnd"/>
      <w:r w:rsidR="003F0A72">
        <w:t xml:space="preserve">play in shaping constituent preferences/interests, and to maintain the </w:t>
      </w:r>
      <w:r>
        <w:t xml:space="preserve">embedded </w:t>
      </w:r>
      <w:r w:rsidR="003F0A72">
        <w:t>of what</w:t>
      </w:r>
      <w:r>
        <w:t xml:space="preserve"> Delli </w:t>
      </w:r>
      <w:proofErr w:type="spellStart"/>
      <w:r>
        <w:t>Carpini</w:t>
      </w:r>
      <w:proofErr w:type="spellEnd"/>
      <w:r>
        <w:t xml:space="preserve"> and Keeter called the "tragedy and farce" of the uninformed citizenry — that </w:t>
      </w:r>
      <w:r w:rsidR="003F0A72">
        <w:t>most</w:t>
      </w:r>
      <w:r>
        <w:t xml:space="preserve"> citizens lack coherent political knowledge.</w:t>
      </w:r>
      <w:r w:rsidR="003F0A72">
        <w:t xml:space="preserve">. . .even </w:t>
      </w:r>
      <w:proofErr w:type="spellStart"/>
      <w:r w:rsidR="003F0A72">
        <w:t>Mabsridge</w:t>
      </w:r>
      <w:proofErr w:type="spellEnd"/>
      <w:r w:rsidR="003F0A72">
        <w:t xml:space="preserve"> in her shift to anticipatory . . .Then, quickly find a way to connect up dots: this assumption </w:t>
      </w:r>
      <w:r>
        <w:t>does the work of what WPP (and Fricker) would identify as epistemic injustice: it functions as a prejudicial stereotype that deflates the credibility of marginalized communities' political claims before they're even heard</w:t>
      </w:r>
      <w:r w:rsidR="003F0A72">
        <w:t xml:space="preserve">, or that scholars show may reflect methodological choices on the part of political scientists (Efran Perez, WPP), and (calling it back) overlooks the role interactions with the state play in shaping (whether they be) preferences or interests. ) </w:t>
      </w:r>
      <w:r>
        <w:t>And yes, the preferences/</w:t>
      </w:r>
      <w:proofErr w:type="gramStart"/>
      <w:r>
        <w:t>interests</w:t>
      </w:r>
      <w:proofErr w:type="gramEnd"/>
      <w:r>
        <w:t xml:space="preserve"> distinction can be part of how this works — when elites decide what marginalized people express are "mere preferences" rather than informed articulations of their own interests, that's a credibility judgment operating through exactly the mechanisms Fricker describes.</w:t>
      </w:r>
      <w:r w:rsidR="003F0A72">
        <w:t xml:space="preserve"> (KM: then this first step would need to wrap with (a) why I start by taking up the question of preferences; (b) that there is reason to think that the state – particular the police/carceral state – can shape </w:t>
      </w:r>
      <w:proofErr w:type="spellStart"/>
      <w:r w:rsidR="003F0A72">
        <w:t>xyz</w:t>
      </w:r>
      <w:proofErr w:type="spellEnd"/>
      <w:r w:rsidR="003F0A72">
        <w:t xml:space="preserve">. </w:t>
      </w:r>
    </w:p>
    <w:p w14:paraId="6C596329" w14:textId="77777777" w:rsidR="00AB170B" w:rsidRDefault="00AB170B" w:rsidP="00AB170B">
      <w:pPr>
        <w:pStyle w:val="font-claude-response-body"/>
      </w:pPr>
      <w:r>
        <w:rPr>
          <w:rStyle w:val="Strong"/>
          <w:rFonts w:eastAsiaTheme="majorEastAsia"/>
        </w:rPr>
        <w:t>Step 2: WPP as the challenge.</w:t>
      </w:r>
      <w:r>
        <w:t xml:space="preserve"> WPP shows that heavily policed communities don't lack political knowledge — they have </w:t>
      </w:r>
      <w:r>
        <w:rPr>
          <w:rStyle w:val="Emphasis"/>
          <w:rFonts w:eastAsiaTheme="majorEastAsia"/>
        </w:rPr>
        <w:t>dual knowledge</w:t>
      </w:r>
      <w:r>
        <w:t xml:space="preserve">, a sophisticated understanding of both the formal and informal operations of the state. This is subjugated knowledge (Foucault via Cohen, Collins, hooks), not absent knowledge. The function of this knowledge isn't to improve democratic outputs because these communities </w:t>
      </w:r>
      <w:r>
        <w:rPr>
          <w:rStyle w:val="Emphasis"/>
          <w:rFonts w:eastAsiaTheme="majorEastAsia"/>
        </w:rPr>
        <w:t>know their preferences have little influence</w:t>
      </w:r>
      <w:r>
        <w:t>. That's not ignorance — that's accurate political knowledge about their own exclusion.</w:t>
      </w:r>
    </w:p>
    <w:p w14:paraId="3C3E029F" w14:textId="77777777" w:rsidR="00AB170B" w:rsidRDefault="00AB170B" w:rsidP="00AB170B">
      <w:pPr>
        <w:pStyle w:val="font-claude-response-body"/>
      </w:pPr>
      <w:r>
        <w:rPr>
          <w:rStyle w:val="Strong"/>
          <w:rFonts w:eastAsiaTheme="majorEastAsia"/>
        </w:rPr>
        <w:lastRenderedPageBreak/>
        <w:t>Step 3: Your data extends this.</w:t>
      </w:r>
      <w:r>
        <w:t xml:space="preserve"> WPP demonstrates that carceral contact produces distinct knowledge </w:t>
      </w:r>
      <w:r>
        <w:rPr>
          <w:rStyle w:val="Emphasis"/>
          <w:rFonts w:eastAsiaTheme="majorEastAsia"/>
        </w:rPr>
        <w:t>about the state</w:t>
      </w:r>
      <w:r>
        <w:t xml:space="preserve">. Your data can show that carceral contact also produces distinctive, coherent </w:t>
      </w:r>
      <w:r>
        <w:rPr>
          <w:rStyle w:val="Emphasis"/>
          <w:rFonts w:eastAsiaTheme="majorEastAsia"/>
        </w:rPr>
        <w:t>policy preferences</w:t>
      </w:r>
      <w:r>
        <w:t xml:space="preserve"> — and that these preferences differ systematically from those of non-impacted people. The consistency finding is especially powerful here. Non-impacted people support prison education but not minimum wage in prisons; impacted people are more uniformly supportive across rehabilitative policies. That pattern doesn't look like uninformed or incoherent preferences — it looks like a coherent political orientation grounded in experiential knowledge of the system. And the victim finding, if it goes the way your hunch suggests, further complicates the assumed knowledge hierarchy by showing that people with direct experience of criminal victimization don't adopt the punitive orientations that elite discourse assumes they hold.</w:t>
      </w:r>
    </w:p>
    <w:p w14:paraId="31F768CD" w14:textId="77777777" w:rsidR="00AB170B" w:rsidRDefault="00AB170B" w:rsidP="00AB170B">
      <w:pPr>
        <w:pStyle w:val="font-claude-response-body"/>
      </w:pPr>
      <w:r>
        <w:rPr>
          <w:rStyle w:val="Strong"/>
          <w:rFonts w:eastAsiaTheme="majorEastAsia"/>
        </w:rPr>
        <w:t>Step 4: Why this matters for representation.</w:t>
      </w:r>
      <w:r>
        <w:t xml:space="preserve"> If impacted communities have coherent, distinctive preferences that differ systematically from non-impacted communities, and legislators are overwhelmingly non-impacted, then the experiential gap between representatives and these constituents has substantive policy consequences. This is where your chapter connects forward to the rest of the dissertation — the data here establishes the </w:t>
      </w:r>
      <w:r>
        <w:rPr>
          <w:rStyle w:val="Emphasis"/>
          <w:rFonts w:eastAsiaTheme="majorEastAsia"/>
        </w:rPr>
        <w:t>empirical basis</w:t>
      </w:r>
      <w:r>
        <w:t xml:space="preserve"> for the epistemic problem your other chapters examine from the legislative side.</w:t>
      </w:r>
    </w:p>
    <w:p w14:paraId="7B7C4E8B" w14:textId="77777777" w:rsidR="00AB170B" w:rsidRDefault="00AB170B" w:rsidP="00AB170B">
      <w:pPr>
        <w:pStyle w:val="font-claude-response-body"/>
      </w:pPr>
      <w:r>
        <w:rPr>
          <w:rStyle w:val="Strong"/>
          <w:rFonts w:eastAsiaTheme="majorEastAsia"/>
        </w:rPr>
        <w:t>On Your Naming Question</w:t>
      </w:r>
    </w:p>
    <w:p w14:paraId="6ADE3509" w14:textId="77777777" w:rsidR="00AB170B" w:rsidRDefault="00AB170B" w:rsidP="00AB170B">
      <w:pPr>
        <w:pStyle w:val="font-claude-response-body"/>
      </w:pPr>
      <w:r>
        <w:t xml:space="preserve">I'd be cautious about "epistemic differences" as a standalone term — it could sound like you're claiming impacted people </w:t>
      </w:r>
      <w:r>
        <w:rPr>
          <w:rStyle w:val="Emphasis"/>
          <w:rFonts w:eastAsiaTheme="majorEastAsia"/>
        </w:rPr>
        <w:t>know more</w:t>
      </w:r>
      <w:r>
        <w:t xml:space="preserve"> (which invites a standpoint theory </w:t>
      </w:r>
      <w:proofErr w:type="gramStart"/>
      <w:r>
        <w:t>debate</w:t>
      </w:r>
      <w:proofErr w:type="gramEnd"/>
      <w:r>
        <w:t xml:space="preserve"> you may not want to center). A few alternatives that might work better depending on your comfort level: "experientially grounded political orientations," "distinct carceral-contact-based policy attitudes," or simply "systematic preference divergence shaped by carceral contact." You could also frame it as evidence of what WPP call "dual knowledge" operating at the level of policy attitudes, not just knowledge of state operations. The key claim isn't that one group knows better — it's that different experiential positions produce different (and internally coherent) political orientations, and that representation theory needs to grapple with this.</w:t>
      </w:r>
    </w:p>
    <w:p w14:paraId="69A594ED" w14:textId="77777777" w:rsidR="00AB170B" w:rsidRDefault="00AB170B" w:rsidP="00AB170B">
      <w:pPr>
        <w:pStyle w:val="font-claude-response-body"/>
      </w:pPr>
      <w:r>
        <w:rPr>
          <w:rStyle w:val="Strong"/>
          <w:rFonts w:eastAsiaTheme="majorEastAsia"/>
        </w:rPr>
        <w:t>On Preferences vs. Interests</w:t>
      </w:r>
    </w:p>
    <w:p w14:paraId="104F2F47" w14:textId="77777777" w:rsidR="00AB170B" w:rsidRDefault="00AB170B" w:rsidP="00AB170B">
      <w:pPr>
        <w:pStyle w:val="font-claude-response-body"/>
      </w:pPr>
      <w:r>
        <w:t xml:space="preserve">I think your instinct (option a) is right — you </w:t>
      </w:r>
      <w:r>
        <w:rPr>
          <w:rStyle w:val="Emphasis"/>
          <w:rFonts w:eastAsiaTheme="majorEastAsia"/>
        </w:rPr>
        <w:t>can</w:t>
      </w:r>
      <w:r>
        <w:t xml:space="preserve"> argue that the distinction between preferences and interests often reflects "knowledge from above." But I'd be precise about what you're claiming. You don't need to collapse the distinction entirely (which would put you in a philosophically awkward position). Instead, the move is: the assumption that marginalized people's expressed preferences don't reflect their "real" interests often operates through exactly the kind of testimonial injustice Fricker describes — a prejudicial credibility deficit applied to certain knowers based on their social identity. WPP's Portal participants </w:t>
      </w:r>
      <w:r>
        <w:rPr>
          <w:rStyle w:val="Emphasis"/>
          <w:rFonts w:eastAsiaTheme="majorEastAsia"/>
        </w:rPr>
        <w:t>know</w:t>
      </w:r>
      <w:r>
        <w:t xml:space="preserve"> their preferences don't influence policy and </w:t>
      </w:r>
      <w:r>
        <w:rPr>
          <w:rStyle w:val="Emphasis"/>
          <w:rFonts w:eastAsiaTheme="majorEastAsia"/>
        </w:rPr>
        <w:t>know</w:t>
      </w:r>
      <w:r>
        <w:t xml:space="preserve"> the system isn't designed for them. That's not preference-interest confusion; that's sophisticated political reasoning.</w:t>
      </w:r>
    </w:p>
    <w:p w14:paraId="48D56ED7" w14:textId="77777777" w:rsidR="00AB170B" w:rsidRDefault="00AB170B" w:rsidP="00AB170B">
      <w:pPr>
        <w:pStyle w:val="font-claude-response-body"/>
      </w:pPr>
      <w:r>
        <w:t xml:space="preserve">For your chapter, this means you don't necessarily need to start by adjudicating the Pitkin preferences/interests question head-on. Instead, you can note that your survey measures expressed preferences, that the preferences/interests distinction is itself contested (with a brief </w:t>
      </w:r>
      <w:r>
        <w:lastRenderedPageBreak/>
        <w:t>nod to why), and that the coherence and systematicity of the preferences you observe suggest they reflect something more than noise or uninformed attitudes — they reflect what WPP and standpoint theorists would recognize as experientially grounded political knowledge. This lets you bracket the deeper philosophical question while signaling awareness of it.</w:t>
      </w:r>
    </w:p>
    <w:p w14:paraId="3F0A02DA" w14:textId="77777777" w:rsidR="00AB170B" w:rsidRDefault="00AB170B" w:rsidP="00AB170B">
      <w:pPr>
        <w:pStyle w:val="font-claude-response-body"/>
      </w:pPr>
      <w:r>
        <w:rPr>
          <w:rStyle w:val="Strong"/>
          <w:rFonts w:eastAsiaTheme="majorEastAsia"/>
        </w:rPr>
        <w:t>Practical Suggestion for Chapter Structure</w:t>
      </w:r>
    </w:p>
    <w:p w14:paraId="7E1C2960" w14:textId="77777777" w:rsidR="00AB170B" w:rsidRDefault="00AB170B" w:rsidP="00AB170B">
      <w:pPr>
        <w:pStyle w:val="font-claude-response-body"/>
      </w:pPr>
      <w:r>
        <w:t>Would it work to open the theoretical framing with something like: "A growing body of scholarship challenges the assumption that communities most affected by criminal legal policy lack the political knowledge or coherent preferences necessary for meaningful democratic inclusion [WPP, standpoint theory citations]. This chapter contributes empirical evidence to that challenge by examining whether and how different forms of carceral contact — direct incarceration, proximal contact, and victimization — shape policy preferences and perceptions of incarcerated people's deservingness." Then you've set up both the empirical contribution and the theoretical stakes without burying the Fricker/Pottle threads — they're part of the motivating framework rather than an afterthought.</w:t>
      </w:r>
    </w:p>
    <w:p w14:paraId="0B17ABDE" w14:textId="77777777" w:rsidR="00AB170B" w:rsidRDefault="00AB170B"/>
    <w:sectPr w:rsidR="00AB1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0B"/>
    <w:rsid w:val="001554D9"/>
    <w:rsid w:val="003A5267"/>
    <w:rsid w:val="003F0A72"/>
    <w:rsid w:val="008C2728"/>
    <w:rsid w:val="008F1B34"/>
    <w:rsid w:val="00A31487"/>
    <w:rsid w:val="00AB170B"/>
    <w:rsid w:val="00B4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DEEC7D"/>
  <w15:chartTrackingRefBased/>
  <w15:docId w15:val="{BD6CF8CF-AAC7-CF4D-9C0B-22419D9BF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70B"/>
    <w:rPr>
      <w:rFonts w:eastAsiaTheme="majorEastAsia" w:cstheme="majorBidi"/>
      <w:color w:val="272727" w:themeColor="text1" w:themeTint="D8"/>
    </w:rPr>
  </w:style>
  <w:style w:type="paragraph" w:styleId="Title">
    <w:name w:val="Title"/>
    <w:basedOn w:val="Normal"/>
    <w:next w:val="Normal"/>
    <w:link w:val="TitleChar"/>
    <w:uiPriority w:val="10"/>
    <w:qFormat/>
    <w:rsid w:val="00AB1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70B"/>
    <w:pPr>
      <w:spacing w:before="160"/>
      <w:jc w:val="center"/>
    </w:pPr>
    <w:rPr>
      <w:i/>
      <w:iCs/>
      <w:color w:val="404040" w:themeColor="text1" w:themeTint="BF"/>
    </w:rPr>
  </w:style>
  <w:style w:type="character" w:customStyle="1" w:styleId="QuoteChar">
    <w:name w:val="Quote Char"/>
    <w:basedOn w:val="DefaultParagraphFont"/>
    <w:link w:val="Quote"/>
    <w:uiPriority w:val="29"/>
    <w:rsid w:val="00AB170B"/>
    <w:rPr>
      <w:i/>
      <w:iCs/>
      <w:color w:val="404040" w:themeColor="text1" w:themeTint="BF"/>
    </w:rPr>
  </w:style>
  <w:style w:type="paragraph" w:styleId="ListParagraph">
    <w:name w:val="List Paragraph"/>
    <w:basedOn w:val="Normal"/>
    <w:uiPriority w:val="34"/>
    <w:qFormat/>
    <w:rsid w:val="00AB170B"/>
    <w:pPr>
      <w:ind w:left="720"/>
      <w:contextualSpacing/>
    </w:pPr>
  </w:style>
  <w:style w:type="character" w:styleId="IntenseEmphasis">
    <w:name w:val="Intense Emphasis"/>
    <w:basedOn w:val="DefaultParagraphFont"/>
    <w:uiPriority w:val="21"/>
    <w:qFormat/>
    <w:rsid w:val="00AB170B"/>
    <w:rPr>
      <w:i/>
      <w:iCs/>
      <w:color w:val="0F4761" w:themeColor="accent1" w:themeShade="BF"/>
    </w:rPr>
  </w:style>
  <w:style w:type="paragraph" w:styleId="IntenseQuote">
    <w:name w:val="Intense Quote"/>
    <w:basedOn w:val="Normal"/>
    <w:next w:val="Normal"/>
    <w:link w:val="IntenseQuoteChar"/>
    <w:uiPriority w:val="30"/>
    <w:qFormat/>
    <w:rsid w:val="00AB1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70B"/>
    <w:rPr>
      <w:i/>
      <w:iCs/>
      <w:color w:val="0F4761" w:themeColor="accent1" w:themeShade="BF"/>
    </w:rPr>
  </w:style>
  <w:style w:type="character" w:styleId="IntenseReference">
    <w:name w:val="Intense Reference"/>
    <w:basedOn w:val="DefaultParagraphFont"/>
    <w:uiPriority w:val="32"/>
    <w:qFormat/>
    <w:rsid w:val="00AB170B"/>
    <w:rPr>
      <w:b/>
      <w:bCs/>
      <w:smallCaps/>
      <w:color w:val="0F4761" w:themeColor="accent1" w:themeShade="BF"/>
      <w:spacing w:val="5"/>
    </w:rPr>
  </w:style>
  <w:style w:type="paragraph" w:customStyle="1" w:styleId="font-claude-response-body">
    <w:name w:val="font-claude-response-body"/>
    <w:basedOn w:val="Normal"/>
    <w:rsid w:val="00AB17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170B"/>
    <w:rPr>
      <w:b/>
      <w:bCs/>
    </w:rPr>
  </w:style>
  <w:style w:type="character" w:styleId="Emphasis">
    <w:name w:val="Emphasis"/>
    <w:basedOn w:val="DefaultParagraphFont"/>
    <w:uiPriority w:val="20"/>
    <w:qFormat/>
    <w:rsid w:val="00AB17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1107</Words>
  <Characters>6825</Characters>
  <Application>Microsoft Office Word</Application>
  <DocSecurity>0</DocSecurity>
  <Lines>126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2026-02-25T19:39:00Z</dcterms:created>
  <dcterms:modified xsi:type="dcterms:W3CDTF">2026-02-25T20:58:00Z</dcterms:modified>
</cp:coreProperties>
</file>