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Citation Mapping: Atkeson &amp; Carrillo (2007)</w:t>
      </w:r>
    </w:p>
    <w:p>
      <w:pPr>
        <w:spacing w:after="80"/>
      </w:pPr>
      <w:r>
        <w:rPr>
          <w:rFonts w:ascii="Arial" w:cs="Arial" w:eastAsia="Arial" w:hAnsi="Arial"/>
          <w:i/>
          <w:iCs/>
          <w:sz w:val="20"/>
          <w:szCs w:val="20"/>
        </w:rPr>
        <w:t xml:space="preserve">"More is Better: The Influence of Collective Female Descriptive Representation on External Efficacy"</w:t>
      </w:r>
    </w:p>
    <w:p>
      <w:pPr>
        <w:spacing w:after="200"/>
      </w:pPr>
      <w:r>
        <w:rPr>
          <w:rFonts w:ascii="Arial" w:cs="Arial" w:eastAsia="Arial" w:hAnsi="Arial"/>
          <w:color w:val="555555"/>
          <w:sz w:val="20"/>
          <w:szCs w:val="20"/>
        </w:rPr>
        <w:t xml:space="preserve">Mapped to potential relevance for dissertation on political representation of carceral citizens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gridCol w:w="5600"/>
      </w:tblGrid>
      <w:tr>
        <w:tc>
          <w:tcPr>
            <w:tcW w:type="dxa" w:w="2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18"/>
                <w:szCs w:val="18"/>
              </w:rPr>
              <w:t xml:space="preserve">Citation(s)</w:t>
            </w:r>
          </w:p>
        </w:tc>
        <w:tc>
          <w:tcPr>
            <w:tcW w:type="dxa" w:w="358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18"/>
                <w:szCs w:val="18"/>
              </w:rPr>
              <w:t xml:space="preserve">Claim / Method / Importance in A&amp;C</w:t>
            </w:r>
          </w:p>
        </w:tc>
        <w:tc>
          <w:tcPr>
            <w:tcW w:type="dxa" w:w="358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vAlign w:val="center"/>
          </w:tcPr>
          <w:p>
            <w:r>
              <w:rPr>
                <w:rFonts w:ascii="Arial" w:cs="Arial" w:eastAsia="Arial" w:hAnsi="Arial"/>
                <w:b/>
                <w:bCs/>
                <w:color w:val="FFFFFF"/>
                <w:sz w:val="18"/>
                <w:szCs w:val="18"/>
              </w:rPr>
              <w:t xml:space="preserve">Potential Relevance to Your Project</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A. Core Theoretical Claims: Descriptive Representation &amp; Legitimacy</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Mansbridge 1999; Phillips 1998</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Descriptive representation strengthens the </w:t>
            </w:r>
            <w:r>
              <w:rPr>
                <w:rFonts w:ascii="Arial" w:cs="Arial" w:eastAsia="Arial" w:hAnsi="Arial"/>
                <w:b/>
                <w:bCs/>
                <w:sz w:val="18"/>
                <w:szCs w:val="18"/>
              </w:rPr>
              <w:t xml:space="preserve">legitimacy</w:t>
            </w:r>
            <w:r>
              <w:rPr>
                <w:rFonts w:ascii="Arial" w:cs="Arial" w:eastAsia="Arial" w:hAnsi="Arial"/>
                <w:sz w:val="18"/>
                <w:szCs w:val="18"/>
              </w:rPr>
              <w:t xml:space="preserve"> of democratic institutions. A representative body sharing physical characteristics with its constituency symbolically appears more open to input and better able to understand citizen interests.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Directly supports your argument that symbolic recognition is constitutive of political membership. Mansbridge's "contingent yes" is already central to your framework. A&amp;C's use of Mansbridge to link descriptive rep to </w:t>
            </w:r>
            <w:r>
              <w:rPr>
                <w:rFonts w:ascii="Arial" w:cs="Arial" w:eastAsia="Arial" w:hAnsi="Arial"/>
                <w:b/>
                <w:bCs/>
                <w:sz w:val="18"/>
                <w:szCs w:val="18"/>
              </w:rPr>
              <w:t xml:space="preserve">institutional legitimacy</w:t>
            </w:r>
            <w:r>
              <w:rPr>
                <w:rFonts w:ascii="Arial" w:cs="Arial" w:eastAsia="Arial" w:hAnsi="Arial"/>
                <w:sz w:val="18"/>
                <w:szCs w:val="18"/>
              </w:rPr>
              <w:t xml:space="preserve"> (not just individual benefit) parallels your argument that symbolic inclusion of carceral citizens has democratic stakes beyond the individuals involved.</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Pitkin 1967</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Descriptive representation has been "largely dismissed" because it is not necessary for substantive representation. A&amp;C argue their findings challenge this.</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Useful as a foil. You're making a similar move: arguing that even if descriptive rep isn't sufficient for substantive outcomes, symbolic and epistemic dimensions of representation matter independently. A&amp;C found empirical evidence for this with gender; you're theorizing it for carceral populations.</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Weissberg 1978</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Introduces the </w:t>
            </w:r>
            <w:r>
              <w:rPr>
                <w:rFonts w:ascii="Arial" w:cs="Arial" w:eastAsia="Arial" w:hAnsi="Arial"/>
                <w:b/>
                <w:bCs/>
                <w:sz w:val="18"/>
                <w:szCs w:val="18"/>
              </w:rPr>
              <w:t xml:space="preserve">collective vs. dyadic</w:t>
            </w:r>
            <w:r>
              <w:rPr>
                <w:rFonts w:ascii="Arial" w:cs="Arial" w:eastAsia="Arial" w:hAnsi="Arial"/>
                <w:sz w:val="18"/>
                <w:szCs w:val="18"/>
              </w:rPr>
              <w:t xml:space="preserve"> representation distinction. Collective = how well the institution as a whole represents citizens; dyadic = how well a specific member represents his/her constituents.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Key conceptual distinction for your project. Your analysis of whether legislators as a body constitute carceral citizens in their representational imaginary is fundamentally a question about collective representation. Weissberg gives you the canonical cite for why institutional-level patterns matter beyond individual legislator behavior.</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Dovi 2002</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Argues that not just any descriptive representative will do; "preferable" descriptive representatives are those with strong mutual relationships to dispossessed subgroups.</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Relevant to your exploration of which legislators (by identity, experience, proximity) serve as bridges to carceral communities. Dovi's framework could inform your analysis of why Pressley/Miranda-type legislators are exceptional.</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B. Mechanisms Linking Representation to Attitudes &amp; Engagement</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Burns, Schlozman &amp; Verba 2001; Koch 1997; Verba, Burns &amp; Schlozman 1997</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Female citizens are more likely to </w:t>
            </w:r>
            <w:r>
              <w:rPr>
                <w:rFonts w:ascii="Arial" w:cs="Arial" w:eastAsia="Arial" w:hAnsi="Arial"/>
                <w:b/>
                <w:bCs/>
                <w:sz w:val="18"/>
                <w:szCs w:val="18"/>
              </w:rPr>
              <w:t xml:space="preserve">remember</w:t>
            </w:r>
            <w:r>
              <w:rPr>
                <w:rFonts w:ascii="Arial" w:cs="Arial" w:eastAsia="Arial" w:hAnsi="Arial"/>
                <w:sz w:val="18"/>
                <w:szCs w:val="18"/>
              </w:rPr>
              <w:t xml:space="preserve"> an elected official's name when she is a woman, suggesting women pay more attention to politics when women are present.</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Inverse logic for your case: if presence generates attention and engagement, </w:t>
            </w:r>
            <w:r>
              <w:rPr>
                <w:rFonts w:ascii="Arial" w:cs="Arial" w:eastAsia="Arial" w:hAnsi="Arial"/>
                <w:b/>
                <w:bCs/>
                <w:sz w:val="18"/>
                <w:szCs w:val="18"/>
              </w:rPr>
              <w:t xml:space="preserve">absence</w:t>
            </w:r>
            <w:r>
              <w:rPr>
                <w:rFonts w:ascii="Arial" w:cs="Arial" w:eastAsia="Arial" w:hAnsi="Arial"/>
                <w:sz w:val="18"/>
                <w:szCs w:val="18"/>
              </w:rPr>
              <w:t xml:space="preserve"> likely generates invisibility and disengagement. Useful for arguing that the communicative environment legislators create around carceral citizens has downstream effects on those citizens' political subjectivity, even if you can't measure it directly.</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Atkeson 2003</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Competitive female candidates positively influence female political engagement: political interest, knowledge, internal efficacy, political discussion, activity, and attention to news all increase.</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A&amp;C's own prior work establishing the broader engagement effects of descriptive representation. Strengthens the general case that representational patterns shape democratic participation for the represented group.</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Tate 2001, 2003</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African Americans feel more favorable to their MC when Black; perceived descriptive representation correlates with approval of Congress and trust in government. Blacks have a "fairly accurate picture" of their collective descriptive representation in Congress. </w:t>
            </w:r>
            <w:r>
              <w:rPr>
                <w:rFonts w:ascii="Arial" w:cs="Arial" w:eastAsia="Arial" w:hAnsi="Arial"/>
                <w:b/>
                <w:bCs/>
                <w:sz w:val="18"/>
                <w:szCs w:val="18"/>
              </w:rPr>
              <w:t xml:space="preserve">No dyadic effect</w:t>
            </w:r>
            <w:r>
              <w:rPr>
                <w:rFonts w:ascii="Arial" w:cs="Arial" w:eastAsia="Arial" w:hAnsi="Arial"/>
                <w:sz w:val="18"/>
                <w:szCs w:val="18"/>
              </w:rPr>
              <w:t xml:space="preserve"> on efficacy.</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Important racial parallel. Tate's finding that perceived collective descriptive rep matters more than dyadic rep for Black citizens reinforces the collective-level logic of your project. Her finding on perceived accuracy is interesting given carceral citizens' communicative isolation—they likely </w:t>
            </w:r>
            <w:r>
              <w:rPr>
                <w:rFonts w:ascii="Arial" w:cs="Arial" w:eastAsia="Arial" w:hAnsi="Arial"/>
                <w:b/>
                <w:bCs/>
                <w:sz w:val="18"/>
                <w:szCs w:val="18"/>
              </w:rPr>
              <w:t xml:space="preserve">cannot</w:t>
            </w:r>
            <w:r>
              <w:rPr>
                <w:rFonts w:ascii="Arial" w:cs="Arial" w:eastAsia="Arial" w:hAnsi="Arial"/>
                <w:sz w:val="18"/>
                <w:szCs w:val="18"/>
              </w:rPr>
              <w:t xml:space="preserve"> perceive their collective representation.</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Gordon &amp; Segura 2002</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Collective Latino descriptive representation positively influences perceptions of legislative job performance. </w:t>
            </w:r>
            <w:r>
              <w:rPr>
                <w:rFonts w:ascii="Arial" w:cs="Arial" w:eastAsia="Arial" w:hAnsi="Arial"/>
                <w:b/>
                <w:bCs/>
                <w:sz w:val="18"/>
                <w:szCs w:val="18"/>
              </w:rPr>
              <w:t xml:space="preserve">No effect</w:t>
            </w:r>
            <w:r>
              <w:rPr>
                <w:rFonts w:ascii="Arial" w:cs="Arial" w:eastAsia="Arial" w:hAnsi="Arial"/>
                <w:sz w:val="18"/>
                <w:szCs w:val="18"/>
              </w:rPr>
              <w:t xml:space="preserve"> of dyadic Latino representation on political efficacy.</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Another minority-group finding confirming the collective &gt; dyadic pattern. Useful if you extend your argument to how carceral citizens (disproportionately Black and Latino) are multiply excluded from both descriptive and symbolic representation.</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Pantoja &amp; Segura 2002</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Dyadic descriptive representation (same ethnic background) reduces political </w:t>
            </w:r>
            <w:r>
              <w:rPr>
                <w:rFonts w:ascii="Arial" w:cs="Arial" w:eastAsia="Arial" w:hAnsi="Arial"/>
                <w:b/>
                <w:bCs/>
                <w:sz w:val="18"/>
                <w:szCs w:val="18"/>
              </w:rPr>
              <w:t xml:space="preserve">alienation</w:t>
            </w:r>
            <w:r>
              <w:rPr>
                <w:rFonts w:ascii="Arial" w:cs="Arial" w:eastAsia="Arial" w:hAnsi="Arial"/>
                <w:sz w:val="18"/>
                <w:szCs w:val="18"/>
              </w:rPr>
              <w:t xml:space="preserve">.</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Could be useful for thinking about the affective dimensions of representation for carceral citizens. Even if your project focuses on the supply side (legislator speech), alienation/belonging is what's at stake on the demand side.</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C. What Descriptive Representatives Actually Do Differently</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Carroll 1984; Mandel &amp; Dodson 1992; Thomas 1991, 1994</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Women legislators bring different </w:t>
            </w:r>
            <w:r>
              <w:rPr>
                <w:rFonts w:ascii="Arial" w:cs="Arial" w:eastAsia="Arial" w:hAnsi="Arial"/>
                <w:b/>
                <w:bCs/>
                <w:sz w:val="18"/>
                <w:szCs w:val="18"/>
              </w:rPr>
              <w:t xml:space="preserve">backgrounds</w:t>
            </w:r>
            <w:r>
              <w:rPr>
                <w:rFonts w:ascii="Arial" w:cs="Arial" w:eastAsia="Arial" w:hAnsi="Arial"/>
                <w:sz w:val="18"/>
                <w:szCs w:val="18"/>
              </w:rPr>
              <w:t xml:space="preserve"> (education, nonprofits, volunteerism vs. business) and different </w:t>
            </w:r>
            <w:r>
              <w:rPr>
                <w:rFonts w:ascii="Arial" w:cs="Arial" w:eastAsia="Arial" w:hAnsi="Arial"/>
                <w:b/>
                <w:bCs/>
                <w:sz w:val="18"/>
                <w:szCs w:val="18"/>
              </w:rPr>
              <w:t xml:space="preserve">issue priorities</w:t>
            </w:r>
            <w:r>
              <w:rPr>
                <w:rFonts w:ascii="Arial" w:cs="Arial" w:eastAsia="Arial" w:hAnsi="Arial"/>
                <w:sz w:val="18"/>
                <w:szCs w:val="18"/>
              </w:rPr>
              <w:t xml:space="preserve"> to legislative life.</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Parallel to your argument about legislators with carceral proximity bringing different experiential knowledge. The claim that experiential differences produce different legislative attention maps onto your framework about epistemic inclusion—legislators who have been proximal to the carceral state may have different "interpretive frameworks" (Pottle's term).</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Berkman &amp; O'Connor 1993; Burrell 1997; Day 1994; Murphy 1997; Thomas 1991</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Higher proportions of female representation increase the </w:t>
            </w:r>
            <w:r>
              <w:rPr>
                <w:rFonts w:ascii="Arial" w:cs="Arial" w:eastAsia="Arial" w:hAnsi="Arial"/>
                <w:b/>
                <w:bCs/>
                <w:sz w:val="18"/>
                <w:szCs w:val="18"/>
              </w:rPr>
              <w:t xml:space="preserve">amount of legislative attention</w:t>
            </w:r>
            <w:r>
              <w:rPr>
                <w:rFonts w:ascii="Arial" w:cs="Arial" w:eastAsia="Arial" w:hAnsi="Arial"/>
                <w:sz w:val="18"/>
                <w:szCs w:val="18"/>
              </w:rPr>
              <w:t xml:space="preserve"> to female policy priorities, though not necessarily policy outputs.</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The attention-without-outputs finding is directly relevant to your tiered framework. Symbolic recognition (Tier 1) and epistemic inclusion (Tier 2) may exist without translating to policy responsiveness (Tier 3). This literature gives you an empirical precedent for why the tiers can be decoupled.</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Crowley 2004; Tolbert &amp; Steuernagel 2001; Weldon 2002</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Female representation does </w:t>
            </w:r>
            <w:r>
              <w:rPr>
                <w:rFonts w:ascii="Arial" w:cs="Arial" w:eastAsia="Arial" w:hAnsi="Arial"/>
                <w:b/>
                <w:bCs/>
                <w:sz w:val="18"/>
                <w:szCs w:val="18"/>
              </w:rPr>
              <w:t xml:space="preserve">not</w:t>
            </w:r>
            <w:r>
              <w:rPr>
                <w:rFonts w:ascii="Arial" w:cs="Arial" w:eastAsia="Arial" w:hAnsi="Arial"/>
                <w:sz w:val="18"/>
                <w:szCs w:val="18"/>
              </w:rPr>
              <w:t xml:space="preserve"> necessarily lead to policy outputs. Complicates the descriptive-to-substantive pipeline.</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Supports your theoretical point that symbolic and epistemic representation are analytically distinct from substantive/policy responsiveness. The gap between symbolic and substantive is what makes your tiered framework necessary.</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Leader 1977; Diamond 1977; Reingold 2000</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Women state legislators are </w:t>
            </w:r>
            <w:r>
              <w:rPr>
                <w:rFonts w:ascii="Arial" w:cs="Arial" w:eastAsia="Arial" w:hAnsi="Arial"/>
                <w:b/>
                <w:bCs/>
                <w:sz w:val="18"/>
                <w:szCs w:val="18"/>
              </w:rPr>
              <w:t xml:space="preserve">policy leaders</w:t>
            </w:r>
            <w:r>
              <w:rPr>
                <w:rFonts w:ascii="Arial" w:cs="Arial" w:eastAsia="Arial" w:hAnsi="Arial"/>
                <w:sz w:val="18"/>
                <w:szCs w:val="18"/>
              </w:rPr>
              <w:t xml:space="preserve"> on "women's issues"—they express more concern, serve on related committees, write and mobilize support for relevant legislation.</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Raises the question: who, if anyone, serves as a policy leader on carceral issues? Your interviews with directly/proximally impacted legislators could speak to whether a parallel dynamic exists. The absence of such leaders is itself a finding about representational failure.</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Schwindt-Bayer &amp; Mishler 2005</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Comparative study of 31 nations: female citizens have greater </w:t>
            </w:r>
            <w:r>
              <w:rPr>
                <w:rFonts w:ascii="Arial" w:cs="Arial" w:eastAsia="Arial" w:hAnsi="Arial"/>
                <w:b/>
                <w:bCs/>
                <w:sz w:val="18"/>
                <w:szCs w:val="18"/>
              </w:rPr>
              <w:t xml:space="preserve">confidence in parliament</w:t>
            </w:r>
            <w:r>
              <w:rPr>
                <w:rFonts w:ascii="Arial" w:cs="Arial" w:eastAsia="Arial" w:hAnsi="Arial"/>
                <w:sz w:val="18"/>
                <w:szCs w:val="18"/>
              </w:rPr>
              <w:t xml:space="preserve"> when women represent larger proportions of the lower house. Also find that representation affects policy outputs.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Cross-national evidence for the collective representation → legitimacy pathway. Useful for framing your project's stakes: if collective symbolic representation shapes institutional trust, then the near-total absence of carceral citizens from the representational imaginary has implications for democratic legitimacy writ large.</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D. Awareness / Visibility Mechanisms</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Whicker &amp; Jewell 1998</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"The proportion of leaders who are female is roughly the same as the proportion of female legislators." More women in legislature = more women in leadership = more visibility.</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Useful analogy in reverse: carceral citizens have no pathway to legislative leadership, so the visibility-through-presence mechanism is entirely absent. The communicative pathway A&amp;C describe (more presence → more visibility → more engagement) is structurally foreclosed.</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Hinckley, Hofstetter &amp; Kessel 1974; Squire &amp; Fastnow 1994; Delli Carpini &amp; Keeter 1996</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Governors are the </w:t>
            </w:r>
            <w:r>
              <w:rPr>
                <w:rFonts w:ascii="Arial" w:cs="Arial" w:eastAsia="Arial" w:hAnsi="Arial"/>
                <w:b/>
                <w:bCs/>
                <w:sz w:val="18"/>
                <w:szCs w:val="18"/>
              </w:rPr>
              <w:t xml:space="preserve">most recognized</w:t>
            </w:r>
            <w:r>
              <w:rPr>
                <w:rFonts w:ascii="Arial" w:cs="Arial" w:eastAsia="Arial" w:hAnsi="Arial"/>
                <w:sz w:val="18"/>
                <w:szCs w:val="18"/>
              </w:rPr>
              <w:t xml:space="preserve"> elected officials behind the president. Citizens are more likely to know their governor's name than legislators' names. Greater visibility of executive office enhances the representation-efficacy link.</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Highlights that visibility is a precondition for representational effects. For carceral citizens, the question isn't whether they know their representatives but whether representatives make them visible at all. Your text-analysis approach captures the supply side of visibility that these studies take as given.</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Huddy &amp; Terkildsen 1993; Rosenthal 1998</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Female elected officials are perceived as more </w:t>
            </w:r>
            <w:r>
              <w:rPr>
                <w:rFonts w:ascii="Arial" w:cs="Arial" w:eastAsia="Arial" w:hAnsi="Arial"/>
                <w:b/>
                <w:bCs/>
                <w:sz w:val="18"/>
                <w:szCs w:val="18"/>
              </w:rPr>
              <w:t xml:space="preserve">honest</w:t>
            </w:r>
            <w:r>
              <w:rPr>
                <w:rFonts w:ascii="Arial" w:cs="Arial" w:eastAsia="Arial" w:hAnsi="Arial"/>
                <w:sz w:val="18"/>
                <w:szCs w:val="18"/>
              </w:rPr>
              <w:t xml:space="preserve"> and possessing governing styles that emphasize </w:t>
            </w:r>
            <w:r>
              <w:rPr>
                <w:rFonts w:ascii="Arial" w:cs="Arial" w:eastAsia="Arial" w:hAnsi="Arial"/>
                <w:b/>
                <w:bCs/>
                <w:sz w:val="18"/>
                <w:szCs w:val="18"/>
              </w:rPr>
              <w:t xml:space="preserve">inclusiveness and egalitarianism</w:t>
            </w:r>
            <w:r>
              <w:rPr>
                <w:rFonts w:ascii="Arial" w:cs="Arial" w:eastAsia="Arial" w:hAnsi="Arial"/>
                <w:sz w:val="18"/>
                <w:szCs w:val="18"/>
              </w:rPr>
              <w:t xml:space="preserve">. This may explain why female governors boost efficacy for both genders.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Interesting for thinking about why some legislators might serve as symbolic bridges to carceral communities: perceived traits like honesty, inclusiveness, and willingness to engage with marginalized populations may matter. Your interview component could explore whether proximally impacted legislators are perceived this way by advocacy groups.</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E. Alternative Explanations &amp; Controls</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Elazar 1984; Sharkansky 1969; Hill 1981; Nechemias 1985, 1987; Diamond 1977; Norrander &amp; Wilcox 1998</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b/>
                <w:bCs/>
                <w:sz w:val="18"/>
                <w:szCs w:val="18"/>
              </w:rPr>
              <w:t xml:space="preserve">State political culture</w:t>
            </w:r>
            <w:r>
              <w:rPr>
                <w:rFonts w:ascii="Arial" w:cs="Arial" w:eastAsia="Arial" w:hAnsi="Arial"/>
                <w:sz w:val="18"/>
                <w:szCs w:val="18"/>
              </w:rPr>
              <w:t xml:space="preserve"> (moralistic, individualistic, traditionalistic) predicts both women in the statehouse and potentially external efficacy. A&amp;C control for this to avoid confounding.</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Methodologically important for your project. State-level variation in carceral burden, political culture, and criminal justice orientation could confound relationships between legislator speech and representation. These cites give you a framework for thinking about state-level controls when you examine variation across states.</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Hero &amp; Tolbert 1995</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Even if a constituent has a "like" representative (dyadic), she may reasonably believe her interests are </w:t>
            </w:r>
            <w:r>
              <w:rPr>
                <w:rFonts w:ascii="Arial" w:cs="Arial" w:eastAsia="Arial" w:hAnsi="Arial"/>
                <w:b/>
                <w:bCs/>
                <w:sz w:val="18"/>
                <w:szCs w:val="18"/>
              </w:rPr>
              <w:t xml:space="preserve">marginalized without some threshold</w:t>
            </w:r>
            <w:r>
              <w:rPr>
                <w:rFonts w:ascii="Arial" w:cs="Arial" w:eastAsia="Arial" w:hAnsi="Arial"/>
                <w:sz w:val="18"/>
                <w:szCs w:val="18"/>
              </w:rPr>
              <w:t xml:space="preserve"> of collective descriptive representation.</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Directly relevant to your "special cases" framework. Even if a few Pressley/Miranda-type legislators exist, carceral citizens' interests may remain marginalized without broader collective symbolic inclusion. This is the logic of why your Tier 1 (baseline symbolic recognition) matters as a threshold condition.</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Lawless 2004</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Mixed/puzzling results on dyadic descriptive representation and efficacy. Female House representation increases men's but not women's external efficacy. Finds </w:t>
            </w:r>
            <w:r>
              <w:rPr>
                <w:rFonts w:ascii="Arial" w:cs="Arial" w:eastAsia="Arial" w:hAnsi="Arial"/>
                <w:b/>
                <w:bCs/>
                <w:sz w:val="18"/>
                <w:szCs w:val="18"/>
              </w:rPr>
              <w:t xml:space="preserve">no effect</w:t>
            </w:r>
            <w:r>
              <w:rPr>
                <w:rFonts w:ascii="Arial" w:cs="Arial" w:eastAsia="Arial" w:hAnsi="Arial"/>
                <w:sz w:val="18"/>
                <w:szCs w:val="18"/>
              </w:rPr>
              <w:t xml:space="preserve"> of collective representation in an American context—but A&amp;C argue this is due to measurement/sample restrictions.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Useful methodological caution: how you operationalize and measure representation matters enormously. Also useful as a contrast—Lawless restricted her sample to citizens who could place their MC on thermometer scores, creating generalization problems. Your text-analysis approach avoids this by measuring the supply side directly.</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F. External Efficacy as a Concept</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Balch 1974; Converse 1972; Abramson 1983</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External efficacy = individual perception that governmental authorities and institutions are </w:t>
            </w:r>
            <w:r>
              <w:rPr>
                <w:rFonts w:ascii="Arial" w:cs="Arial" w:eastAsia="Arial" w:hAnsi="Arial"/>
                <w:b/>
                <w:bCs/>
                <w:sz w:val="18"/>
                <w:szCs w:val="18"/>
              </w:rPr>
              <w:t xml:space="preserve">responsive to citizen influence</w:t>
            </w:r>
            <w:r>
              <w:rPr>
                <w:rFonts w:ascii="Arial" w:cs="Arial" w:eastAsia="Arial" w:hAnsi="Arial"/>
                <w:sz w:val="18"/>
                <w:szCs w:val="18"/>
              </w:rPr>
              <w:t xml:space="preserve">. Extensively studied because of its relationship to political participation and inherent value to democratic systems.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You're not studying external efficacy per se, but the concept of perceived government responsiveness is central to your framework. If legislators don't symbolically include carceral citizens, those citizens cannot perceive government as responsive to them. These foundational cites on efficacy could support your argument about what's at stake.</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Abramson &amp; Aldrich 1982; Citrin &amp; Green 1986; Pollock 1983</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Higher political efficacy promotes </w:t>
            </w:r>
            <w:r>
              <w:rPr>
                <w:rFonts w:ascii="Arial" w:cs="Arial" w:eastAsia="Arial" w:hAnsi="Arial"/>
                <w:b/>
                <w:bCs/>
                <w:sz w:val="18"/>
                <w:szCs w:val="18"/>
              </w:rPr>
              <w:t xml:space="preserve">regime stability</w:t>
            </w:r>
            <w:r>
              <w:rPr>
                <w:rFonts w:ascii="Arial" w:cs="Arial" w:eastAsia="Arial" w:hAnsi="Arial"/>
                <w:sz w:val="18"/>
                <w:szCs w:val="18"/>
              </w:rPr>
              <w:t xml:space="preserve"> by keeping citizens committed to democratic governance. Lower efficacy may lead to democratic instability.</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Connects to your argument about democratic legitimacy and the "special cases" framework. If symbolic exclusion of carceral citizens depresses their sense of government responsiveness, this has implications for democratic stability—especially given the scale of carceral contact in the U.S.</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Campbell et al. 1960; Rosenstone &amp; Hansen 1993</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Those with stronger feelings of political efficacy are more likely to be </w:t>
            </w:r>
            <w:r>
              <w:rPr>
                <w:rFonts w:ascii="Arial" w:cs="Arial" w:eastAsia="Arial" w:hAnsi="Arial"/>
                <w:b/>
                <w:bCs/>
                <w:sz w:val="18"/>
                <w:szCs w:val="18"/>
              </w:rPr>
              <w:t xml:space="preserve">active in all forms of political activity</w:t>
            </w:r>
            <w:r>
              <w:rPr>
                <w:rFonts w:ascii="Arial" w:cs="Arial" w:eastAsia="Arial" w:hAnsi="Arial"/>
                <w:sz w:val="18"/>
                <w:szCs w:val="18"/>
              </w:rPr>
              <w:t xml:space="preserve">.</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The efficacy-participation link matters for your argument about household spillover effects. If carceral contact depresses efficacy (via symbolic exclusion), this could reduce political participation not just for the incarcerated person but for proximal family members.</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G. Substantive Representation &amp; Party Cues</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Lawless 2004 (party cues argument)</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Party offers </w:t>
            </w:r>
            <w:r>
              <w:rPr>
                <w:rFonts w:ascii="Arial" w:cs="Arial" w:eastAsia="Arial" w:hAnsi="Arial"/>
                <w:b/>
                <w:bCs/>
                <w:sz w:val="18"/>
                <w:szCs w:val="18"/>
              </w:rPr>
              <w:t xml:space="preserve">substantive representation cues</w:t>
            </w:r>
            <w:r>
              <w:rPr>
                <w:rFonts w:ascii="Arial" w:cs="Arial" w:eastAsia="Arial" w:hAnsi="Arial"/>
                <w:sz w:val="18"/>
                <w:szCs w:val="18"/>
              </w:rPr>
              <w:t xml:space="preserve"> since parties offer more cohesive ideology and policy agenda. But A&amp;C argue party is unlikely to influence external efficacy because it's less easily perceived than descriptive factors like gender.</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Relevant to thinking about what cues carceral citizens (and their families) have available to assess representation. Party is a poor cue for carceral policy given bipartisan tough-on-crime legacies. This reinforces why symbolic and epistemic dimensions—not just policy positions—matter for this population.</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H. Methodological Choices &amp; Design</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ANES pooled data 1988–1998; ordered probit with clustering by state</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Pooled cross-sectional data over time to leverage state-level variation. Clustering adjusts SEs for within-state non-independence. Use of </w:t>
            </w:r>
            <w:r>
              <w:rPr>
                <w:rFonts w:ascii="Arial" w:cs="Arial" w:eastAsia="Arial" w:hAnsi="Arial"/>
                <w:b/>
                <w:bCs/>
                <w:sz w:val="18"/>
                <w:szCs w:val="18"/>
              </w:rPr>
              <w:t xml:space="preserve">Clarify</w:t>
            </w:r>
            <w:r>
              <w:rPr>
                <w:rFonts w:ascii="Arial" w:cs="Arial" w:eastAsia="Arial" w:hAnsi="Arial"/>
                <w:sz w:val="18"/>
                <w:szCs w:val="18"/>
              </w:rPr>
              <w:t xml:space="preserve"> (Tomz, Wittenberg &amp; King 2000) for predicted probabilities.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Not directly applicable to your text-analysis design, but the logic of leveraging cross-state and cross-time variation in representation is relevant. You're also exploiting state-level variation in carceral burden and legislator characteristics. Their approach to handling the state-level clustering of individual observations is worth noting if you model individual-level outcomes.</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Craig, Niemi &amp; Silver 1990; Shingles 1981; Morrell 2003</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"Nocare" is the strongest single measure of external efficacy for government responsiveness. Distinguishes incumbent-based external efficacy from procedural fairness / diffuse support.</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If you ever extend to measuring carceral citizens' attitudes (e.g., through surveys of formerly incarcerated people), this literature on efficacy measurement would be important. The incumbent-based vs. procedural distinction maps loosely onto your symbolic recognition vs. epistemic inclusion distinction.</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I. Reverse Causality &amp; Candidate Emergence</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Fox &amp; Lawless 2004; Darcy, Welch &amp; Clark 1994</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The attitude "qualification" is one of two key factors inducing women to run for office. Potential legislators come from different social strata than their publics. A&amp;C argue reverse causality (higher efficacy → more women candidates) is unlikely.</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Relevant to your thinking about why so few directly impacted people serve in legislatures. The candidate emergence literature suggests structural barriers (not just attitudes) explain who runs. For carceral citizens, felony disenfranchisement and stigma create additional barriers beyond those women face, reinforcing the "special cases" argument.</w:t>
            </w:r>
          </w:p>
        </w:tc>
      </w:tr>
      <w:tr>
        <w:tc>
          <w:tcPr>
            <w:tcW w:type="dxa" w:w="9360"/>
            <w:gridSpan w:val="3"/>
            <w:tcBorders>
              <w:top w:val="single" w:color="999999" w:sz="1"/>
              <w:left w:val="single" w:color="999999" w:sz="1"/>
              <w:bottom w:val="single" w:color="999999" w:sz="1"/>
              <w:right w:val="single" w:color="999999" w:sz="1"/>
            </w:tcBorders>
            <w:shd w:fill="D5E8D4" w:val="clear"/>
            <w:tcMar>
              <w:top w:type="dxa" w:w="60"/>
              <w:left w:type="dxa" w:w="100"/>
              <w:bottom w:type="dxa" w:w="60"/>
              <w:right w:type="dxa" w:w="100"/>
            </w:tcMar>
          </w:tcPr>
          <w:p>
            <w:r>
              <w:rPr>
                <w:rFonts w:ascii="Arial" w:cs="Arial" w:eastAsia="Arial" w:hAnsi="Arial"/>
                <w:b/>
                <w:bCs/>
                <w:color w:val="1B4332"/>
                <w:sz w:val="19"/>
                <w:szCs w:val="19"/>
              </w:rPr>
              <w:t xml:space="preserve">J. Key Empirical Findings from A&amp;C's Own Analysis</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A&amp;C's interaction model (Table 1)</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The </w:t>
            </w:r>
            <w:r>
              <w:rPr>
                <w:rFonts w:ascii="Arial" w:cs="Arial" w:eastAsia="Arial" w:hAnsi="Arial"/>
                <w:b/>
                <w:bCs/>
                <w:sz w:val="18"/>
                <w:szCs w:val="18"/>
              </w:rPr>
              <w:t xml:space="preserve">proportion of women in state legislatures × gender</w:t>
            </w:r>
            <w:r>
              <w:rPr>
                <w:rFonts w:ascii="Arial" w:cs="Arial" w:eastAsia="Arial" w:hAnsi="Arial"/>
                <w:sz w:val="18"/>
                <w:szCs w:val="18"/>
              </w:rPr>
              <w:t xml:space="preserve"> interaction is positive and significant: more women in the statehouse increases female (but not male) citizens' external efficacy. Moving from 4% to 40% female representation shifts ~15% of women out of the lowest efficacy levels.</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Provides an empirical template for the kind of effect you're theorizing about. If collective symbolic representation of carceral citizens increased, would it shift attitudes/engagement? You can't test this directly, but A&amp;C's effect sizes give you a sense of the magnitude of representational effects for other excluded groups.</w:t>
            </w:r>
          </w:p>
        </w:tc>
      </w:tr>
      <w:tr>
        <w:tc>
          <w:tcPr>
            <w:tcW w:type="dxa" w:w="220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A&amp;C's female governor finding</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A female governor boosts external efficacy for </w:t>
            </w:r>
            <w:r>
              <w:rPr>
                <w:rFonts w:ascii="Arial" w:cs="Arial" w:eastAsia="Arial" w:hAnsi="Arial"/>
                <w:b/>
                <w:bCs/>
                <w:sz w:val="18"/>
                <w:szCs w:val="18"/>
              </w:rPr>
              <w:t xml:space="preserve">both</w:t>
            </w:r>
            <w:r>
              <w:rPr>
                <w:rFonts w:ascii="Arial" w:cs="Arial" w:eastAsia="Arial" w:hAnsi="Arial"/>
                <w:sz w:val="18"/>
                <w:szCs w:val="18"/>
              </w:rPr>
              <w:t xml:space="preserve"> men and women equally (~5% shift). This is counterintuitive and attributed to the visibility and perceived traits of female executives.</w:t>
            </w:r>
          </w:p>
        </w:tc>
        <w:tc>
          <w:tcPr>
            <w:tcW w:type="dxa" w:w="3580"/>
            <w:tcBorders>
              <w:top w:val="single" w:color="999999" w:sz="1"/>
              <w:left w:val="single" w:color="999999" w:sz="1"/>
              <w:bottom w:val="single" w:color="999999" w:sz="1"/>
              <w:right w:val="single" w:color="999999" w:sz="1"/>
            </w:tcBorders>
            <w:shd w:fill="F5F5F5" w:val="clear"/>
            <w:tcMar>
              <w:top w:type="dxa" w:w="60"/>
              <w:left w:type="dxa" w:w="100"/>
              <w:bottom w:type="dxa" w:w="60"/>
              <w:right w:type="dxa" w:w="100"/>
            </w:tcMar>
          </w:tcPr>
          <w:p>
            <w:r>
              <w:rPr>
                <w:rFonts w:ascii="Arial" w:cs="Arial" w:eastAsia="Arial" w:hAnsi="Arial"/>
                <w:sz w:val="18"/>
                <w:szCs w:val="18"/>
              </w:rPr>
              <w:t xml:space="preserve">Raises an interesting question for your project: could highly visible, proximally impacted legislators (like Pressley) affect not just carceral citizens' perceptions but broader public attitudes about carceral populations' political membership? The governor finding suggests visible representation can have diffuse effects beyond the "matching" group.</w:t>
            </w:r>
          </w:p>
        </w:tc>
      </w:tr>
      <w:tr>
        <w:tc>
          <w:tcPr>
            <w:tcW w:type="dxa" w:w="220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A&amp;C's null finding on dyadic representation</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No support for the idea that dyadic descriptive, dyadic substantive, or collective substantive representation influences external efficacy. The female senator interaction is actually </w:t>
            </w:r>
            <w:r>
              <w:rPr>
                <w:rFonts w:ascii="Arial" w:cs="Arial" w:eastAsia="Arial" w:hAnsi="Arial"/>
                <w:b/>
                <w:bCs/>
                <w:sz w:val="18"/>
                <w:szCs w:val="18"/>
              </w:rPr>
              <w:t xml:space="preserve">negative</w:t>
            </w:r>
            <w:r>
              <w:rPr>
                <w:rFonts w:ascii="Arial" w:cs="Arial" w:eastAsia="Arial" w:hAnsi="Arial"/>
                <w:sz w:val="18"/>
                <w:szCs w:val="18"/>
              </w:rPr>
              <w:t xml:space="preserve"> for women.</w:t>
            </w:r>
          </w:p>
        </w:tc>
        <w:tc>
          <w:tcPr>
            <w:tcW w:type="dxa" w:w="3580"/>
            <w:tcBorders>
              <w:top w:val="single" w:color="999999" w:sz="1"/>
              <w:left w:val="single" w:color="999999" w:sz="1"/>
              <w:bottom w:val="single" w:color="999999" w:sz="1"/>
              <w:right w:val="single" w:color="999999" w:sz="1"/>
            </w:tcBorders>
            <w:shd w:fill="FFFFFF" w:val="clear"/>
            <w:tcMar>
              <w:top w:type="dxa" w:w="60"/>
              <w:left w:type="dxa" w:w="100"/>
              <w:bottom w:type="dxa" w:w="60"/>
              <w:right w:type="dxa" w:w="100"/>
            </w:tcMar>
          </w:tcPr>
          <w:p>
            <w:r>
              <w:rPr>
                <w:rFonts w:ascii="Arial" w:cs="Arial" w:eastAsia="Arial" w:hAnsi="Arial"/>
                <w:sz w:val="18"/>
                <w:szCs w:val="18"/>
              </w:rPr>
              <w:t xml:space="preserve">Reinforces the primacy of collective/symbolic representation over individual-level representation. For your project: having one or two champions (Pressley, Miranda) may matter less than the aggregate pattern of whether carceral citizens appear in the collective representational imaginary.</w:t>
            </w:r>
          </w:p>
        </w:tc>
      </w:tr>
    </w:tbl>
    <w:p>
      <w:pPr>
        <w:spacing w:before="300"/>
      </w:pPr>
    </w:p>
    <w:p>
      <w:r>
        <w:rPr>
          <w:rFonts w:ascii="Arial" w:cs="Arial" w:eastAsia="Arial" w:hAnsi="Arial"/>
          <w:b/>
          <w:bCs/>
          <w:color w:val="2C3E50"/>
          <w:sz w:val="22"/>
          <w:szCs w:val="22"/>
        </w:rPr>
        <w:t xml:space="preserve">Notes on Usage</w:t>
      </w:r>
    </w:p>
    <w:p>
      <w:pPr>
        <w:spacing w:before="100"/>
      </w:pPr>
      <w:r>
        <w:rPr>
          <w:rFonts w:ascii="Arial" w:cs="Arial" w:eastAsia="Arial" w:hAnsi="Arial"/>
          <w:sz w:val="19"/>
          <w:szCs w:val="19"/>
        </w:rPr>
        <w:t xml:space="preserve">Sections A–D contain citations most directly useful for your theory chapter and the "special cases" framework. Section E is relevant for research design. Sections F–G connect to your broader argument about democratic stakes. Sections H–I are methodological. Section J summarizes A&amp;C's own findings and their implications for your project.</w:t>
      </w:r>
    </w:p>
    <w:sectPr>
      <w:pgSz w:w="12240" w:h="158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rFonts w:ascii="Arial" w:cs="Arial" w:eastAsia="Arial" w:hAnsi="Arial"/>
      <w:b/>
      <w:bCs/>
      <w:color w:val="1B4332"/>
      <w:sz w:val="32"/>
      <w:szCs w:val="32"/>
    </w:rPr>
  </w:style>
  <w:style w:type="paragraph" w:styleId="Heading2">
    <w:name w:val="Heading 2"/>
    <w:basedOn w:val="Normal"/>
    <w:next w:val="Normal"/>
    <w:qFormat/>
    <w:pPr>
      <w:spacing w:before="160" w:after="120"/>
      <w:outlineLvl w:val="1"/>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2026-02-26T21:14:17.009Z</dcterms:created>
  <dcterms:modified xsi:type="dcterms:W3CDTF">2026-02-26T21:14:17.010Z</dcterms:modified>
</cp:coreProperties>
</file>

<file path=docProps/custom.xml><?xml version="1.0" encoding="utf-8"?>
<Properties xmlns="http://schemas.openxmlformats.org/officeDocument/2006/custom-properties" xmlns:vt="http://schemas.openxmlformats.org/officeDocument/2006/docPropsVTypes"/>
</file>