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B82F9" w14:textId="77777777" w:rsidR="00D8659D" w:rsidRDefault="00D8659D" w:rsidP="00D8659D">
      <w:pPr>
        <w:pStyle w:val="Heading1"/>
      </w:pPr>
      <w:bookmarkStart w:id="0" w:name="_Toc220591738"/>
      <w:r>
        <w:t xml:space="preserve">III. </w:t>
      </w:r>
      <w:r w:rsidRPr="001B48DC">
        <w:t>Test 1</w:t>
      </w:r>
      <w:r>
        <w:t>: CJ-Impacted vs. Weird Publics and Criminal Legal Policy Preferences</w:t>
      </w:r>
      <w:bookmarkEnd w:id="0"/>
    </w:p>
    <w:p w14:paraId="6C3547E5" w14:textId="77777777" w:rsidR="00791109" w:rsidRDefault="00791109" w:rsidP="00791109"/>
    <w:p w14:paraId="7834B190" w14:textId="4848F82A" w:rsidR="001831BE" w:rsidRDefault="001831BE" w:rsidP="00791109">
      <w:r>
        <w:t>Intro/Puzzle Paragraph</w:t>
      </w:r>
      <w:r w:rsidR="008174A7">
        <w:t>(s)</w:t>
      </w:r>
    </w:p>
    <w:p w14:paraId="67A749CF" w14:textId="07DE1B84" w:rsidR="001831BE" w:rsidRDefault="001831BE" w:rsidP="001831BE">
      <w:pPr>
        <w:pStyle w:val="ListParagraph"/>
        <w:numPr>
          <w:ilvl w:val="0"/>
          <w:numId w:val="6"/>
        </w:numPr>
      </w:pPr>
      <w:r>
        <w:t xml:space="preserve">Puzzle/tension: legislators make criminal legal policy on behalf of millions of people directly/indirectly affected by the carceral state, many of whom are informally/formally excluded from participation. </w:t>
      </w:r>
      <w:proofErr w:type="gramStart"/>
      <w:r>
        <w:t>Yet,</w:t>
      </w:r>
      <w:proofErr w:type="gramEnd"/>
      <w:r>
        <w:t xml:space="preserve"> we know remarkably little about the political orientations of these communities </w:t>
      </w:r>
      <w:r w:rsidR="008174A7">
        <w:t xml:space="preserve">and what we think we know is shaped by assumptions about political knowledge and competence. Recent scholarship has begun to change/challenge that/ showing instead XYZ (WPP, Perez). </w:t>
      </w:r>
    </w:p>
    <w:p w14:paraId="15CE8081" w14:textId="6B7A5138" w:rsidR="008174A7" w:rsidRDefault="008174A7" w:rsidP="001831BE">
      <w:pPr>
        <w:pStyle w:val="ListParagraph"/>
        <w:numPr>
          <w:ilvl w:val="0"/>
          <w:numId w:val="6"/>
        </w:numPr>
      </w:pPr>
      <w:r>
        <w:t xml:space="preserve">Frame chapter’s contribution: </w:t>
      </w:r>
    </w:p>
    <w:p w14:paraId="3B2900FA" w14:textId="565B246C" w:rsidR="008174A7" w:rsidRDefault="008174A7" w:rsidP="008174A7">
      <w:pPr>
        <w:pStyle w:val="ListParagraph"/>
        <w:numPr>
          <w:ilvl w:val="1"/>
          <w:numId w:val="6"/>
        </w:numPr>
      </w:pPr>
      <w:r>
        <w:t xml:space="preserve">Provides empirical evidence that communities impacted by the carceral state – through direct incarceration, proximal contact, and victimization – hold distinctive coherent policy preferences that differ systematically from non-impacted populations. </w:t>
      </w:r>
    </w:p>
    <w:p w14:paraId="3A2E8FE2" w14:textId="62E11CD4" w:rsidR="008174A7" w:rsidRDefault="008174A7" w:rsidP="008174A7">
      <w:pPr>
        <w:pStyle w:val="ListParagraph"/>
        <w:numPr>
          <w:ilvl w:val="1"/>
          <w:numId w:val="6"/>
        </w:numPr>
      </w:pPr>
      <w:r>
        <w:t xml:space="preserve">Findings have implications for how we understand the representational relationship between </w:t>
      </w:r>
      <w:proofErr w:type="spellStart"/>
      <w:r>
        <w:t>leigslators</w:t>
      </w:r>
      <w:proofErr w:type="spellEnd"/>
      <w:r>
        <w:t xml:space="preserve"> and carceral constituents, a question subsequent chapters will take up directly. </w:t>
      </w:r>
    </w:p>
    <w:p w14:paraId="5697934F" w14:textId="3ACA9616" w:rsidR="008174A7" w:rsidRDefault="008174A7" w:rsidP="008174A7">
      <w:pPr>
        <w:pStyle w:val="ListParagraph"/>
        <w:numPr>
          <w:ilvl w:val="0"/>
          <w:numId w:val="6"/>
        </w:numPr>
      </w:pPr>
      <w:r>
        <w:t xml:space="preserve">What this chapter does: </w:t>
      </w:r>
    </w:p>
    <w:p w14:paraId="76D4F0E3" w14:textId="29CB1304" w:rsidR="008174A7" w:rsidRDefault="008174A7" w:rsidP="008174A7">
      <w:pPr>
        <w:pStyle w:val="ListParagraph"/>
        <w:numPr>
          <w:ilvl w:val="1"/>
          <w:numId w:val="6"/>
        </w:numPr>
      </w:pPr>
      <w:r>
        <w:t xml:space="preserve">Draws on original survey data to examine whether and how different forms of carceral contact correspond with distinct criminal legal policy preferences and perceptions of incarcerated people. </w:t>
      </w:r>
    </w:p>
    <w:p w14:paraId="558EE30F" w14:textId="4B89FB0D" w:rsidR="008174A7" w:rsidRDefault="008174A7" w:rsidP="008174A7">
      <w:pPr>
        <w:pStyle w:val="ListParagraph"/>
        <w:numPr>
          <w:ilvl w:val="0"/>
          <w:numId w:val="6"/>
        </w:numPr>
      </w:pPr>
      <w:r>
        <w:t>Brief payoff preview:</w:t>
      </w:r>
    </w:p>
    <w:p w14:paraId="1483B415" w14:textId="7B06F020" w:rsidR="008174A7" w:rsidRDefault="008174A7" w:rsidP="008174A7">
      <w:pPr>
        <w:pStyle w:val="ListParagraph"/>
        <w:numPr>
          <w:ilvl w:val="1"/>
          <w:numId w:val="6"/>
        </w:numPr>
      </w:pPr>
      <w:r>
        <w:t xml:space="preserve">Patterns suggest not just preference divergence but something like distinct political orientations grounded in experiential knowledge of the system, which raises questions about the epistemic foundations of representation that subsequent </w:t>
      </w:r>
      <w:proofErr w:type="gramStart"/>
      <w:r>
        <w:t>chapters</w:t>
      </w:r>
      <w:proofErr w:type="gramEnd"/>
      <w:r>
        <w:t xml:space="preserve"> address. </w:t>
      </w:r>
    </w:p>
    <w:p w14:paraId="59376A7D" w14:textId="208FED0B" w:rsidR="008174A7" w:rsidRDefault="008174A7" w:rsidP="008174A7">
      <w:r>
        <w:t>II. Representation, Knowledge, &amp; the Carceral State</w:t>
      </w:r>
    </w:p>
    <w:p w14:paraId="002E93C9" w14:textId="21D562B8" w:rsidR="008174A7" w:rsidRDefault="008174A7" w:rsidP="008174A7">
      <w:r>
        <w:t>Header: A. The Epistemic Requirements of Responsiveness</w:t>
      </w:r>
    </w:p>
    <w:p w14:paraId="2D4A0136" w14:textId="3602F2BF" w:rsidR="008174A7" w:rsidRDefault="008174A7" w:rsidP="008174A7">
      <w:pPr>
        <w:pStyle w:val="ListParagraph"/>
        <w:numPr>
          <w:ilvl w:val="0"/>
          <w:numId w:val="6"/>
        </w:numPr>
      </w:pPr>
      <w:r>
        <w:t>Start with shared premise: wh</w:t>
      </w:r>
      <w:r w:rsidRPr="008174A7">
        <w:t xml:space="preserve">ether one conceives of representation as interest-based (Pitkin) or preference-based, the representative must have some epistemic access to what constituents think, experience, and want. Note briefly that the preferences/interests distinction has generated substantial debate — Pitkin took an </w:t>
      </w:r>
      <w:r w:rsidRPr="008174A7">
        <w:lastRenderedPageBreak/>
        <w:t xml:space="preserve">interest-based approach where representatives owe constituents "devotion to their interests" rather than "submission to their will"; Mansbridge's anticipatory model defines interests as "enlightened preferences" and acknowledges these may not preexist the representational process; Disch argues that this disjuncture exposes a deeper constituency paradox where legislators actively construct the constituencies and preferences they claim to represent. Flag the upshot without fully </w:t>
      </w:r>
      <w:proofErr w:type="gramStart"/>
      <w:r w:rsidRPr="008174A7">
        <w:t>adjudicating:</w:t>
      </w:r>
      <w:proofErr w:type="gramEnd"/>
      <w:r w:rsidRPr="008174A7">
        <w:t xml:space="preserve"> across these frameworks, a persistent requirement is that the representative must be able to perceive or construct a meaningful account of constituent orientations. And this is where the system breaks down for carceral communities — not because they lack coherent orientations, but because the epistemic economy systematically discounts what they know.</w:t>
      </w:r>
    </w:p>
    <w:p w14:paraId="45586B42" w14:textId="77777777" w:rsidR="008174A7" w:rsidRDefault="008174A7" w:rsidP="008174A7"/>
    <w:p w14:paraId="2848DD78" w14:textId="3C77E6AA" w:rsidR="008174A7" w:rsidRDefault="008174A7" w:rsidP="008174A7">
      <w:r>
        <w:t>Header B. The Uninformed Citizenry and Its Carceral Inflection</w:t>
      </w:r>
    </w:p>
    <w:p w14:paraId="40E0816D" w14:textId="4A6F6D33" w:rsidR="008174A7" w:rsidRDefault="008174A7" w:rsidP="008174A7">
      <w:r w:rsidRPr="008174A7">
        <w:t xml:space="preserve">Introduce the bedrock norm and the "tragedy and farce" assumption (Delli </w:t>
      </w:r>
      <w:proofErr w:type="spellStart"/>
      <w:r w:rsidRPr="008174A7">
        <w:t>Carpini</w:t>
      </w:r>
      <w:proofErr w:type="spellEnd"/>
      <w:r w:rsidRPr="008174A7">
        <w:t xml:space="preserve"> and Keeter): that most citizens, and marginalized citizens especially, lack coherent political knowledge. Note that this assumption has been challenged on methodological grounds (Pérez on measurement choices that systematically undercount marginalized communities' political knowledge) and on substantive grounds. Transition to Fricker: the assumption that marginalized communities lack coherent political knowledge functions as what Fricker would call a prejudicial stereotype — one that operates in the "economy of credibility" to deflate the epistemic standing of these communities before their claims are even heard. Pottle extends this into electoral politics: electoral incentives shape not only policy choices but the production and circulation of political knowledge, and groups with low strategic value are systematically excluded from the interpretive frameworks legislators use to define problems and solutions. This exclusion is path-dependent — excluded groups are constructed as uncredible knowers (testimonial injustice) and their knowledge is dismissed as outside the political mainstream (hermeneutical injustice).</w:t>
      </w:r>
    </w:p>
    <w:p w14:paraId="429F42AC" w14:textId="77777777" w:rsidR="008174A7" w:rsidRDefault="008174A7" w:rsidP="008174A7"/>
    <w:p w14:paraId="51E03F3B" w14:textId="565CCBA4" w:rsidR="008174A7" w:rsidRDefault="008174A7" w:rsidP="008174A7">
      <w:r>
        <w:t>Header C: Dual Knowledge and the Political Orientations of Carceral Communities</w:t>
      </w:r>
    </w:p>
    <w:p w14:paraId="03F5B30F" w14:textId="77777777" w:rsidR="008174A7" w:rsidRPr="008174A7" w:rsidRDefault="008174A7" w:rsidP="008174A7">
      <w:r w:rsidRPr="008174A7">
        <w:t xml:space="preserve">Pivot to what we </w:t>
      </w:r>
      <w:proofErr w:type="gramStart"/>
      <w:r w:rsidRPr="008174A7">
        <w:t>actually know</w:t>
      </w:r>
      <w:proofErr w:type="gramEnd"/>
      <w:r w:rsidRPr="008174A7">
        <w:t xml:space="preserve"> about what carceral-contact communities think. WPP is the centerpiece: heavily policed communities possess "dual knowledge" — extensive, sophisticated understanding of both the formal operations of law and the "hidden curriculum" of policing-in-practice. This knowledge is not acquired voluntarily but imposed through state coercion, and its function is not to improve democratic outputs (because these communities accurately perceive that their preferences have little influence) but to </w:t>
      </w:r>
      <w:r w:rsidRPr="008174A7">
        <w:lastRenderedPageBreak/>
        <w:t>preserve autonomy, dignity, and safety. Connect to the broader tradition: standpoint theory, Foucault's "subjugated knowledge," Collins, hooks — scholars who have long recognized that experiential knowledge of oppression constitutes a distinctive epistemic resource, not a deficit. Note the policy feedback literature: interactions with the carceral state shape political orientations through both resource effects and interpretive effects (Soss, Weaver, Lerman). But most of this work examines how contact shapes views of the state or of oneself as a citizen — not how contact shapes preferences about specific criminal legal policies or perceptions of the deservingness of those targeted by those policies. That's the empirical gap this chapter addresses.</w:t>
      </w:r>
    </w:p>
    <w:p w14:paraId="4DD6FCF0" w14:textId="1E3A4DA9" w:rsidR="008174A7" w:rsidRDefault="008174A7" w:rsidP="008174A7">
      <w:r>
        <w:t>Header D: From Knowledge to Preferences: What This Chapter Measures and Why</w:t>
      </w:r>
    </w:p>
    <w:p w14:paraId="5A16D66D" w14:textId="77D8762A" w:rsidR="008174A7" w:rsidRDefault="008174A7" w:rsidP="008174A7">
      <w:r w:rsidRPr="008174A7">
        <w:t xml:space="preserve">This is the short bridge section that justifies your empirical focus. Acknowledge that your survey measures expressed policy preferences and deservingness perceptions — not the full range of political knowledge or orientation that WPP and others document. But argue that if carceral contact produces distinctive, coherent </w:t>
      </w:r>
      <w:r w:rsidRPr="008174A7">
        <w:rPr>
          <w:i/>
          <w:iCs/>
        </w:rPr>
        <w:t>preferences</w:t>
      </w:r>
      <w:r w:rsidRPr="008174A7">
        <w:t xml:space="preserve"> that differ systematically from non-impacted populations, this constitutes evidence of exactly the kind of experientially grounded political orientation that the "uninformed citizenry" assumption denies. The consistency of preferences across policies is particularly telling — it suggests a coherent orientation rather than episodic reactions. And deservingness perceptions, while treated here as a secondary measure of group differentiation rather than the primary theoretical object, provide additional evidence that carceral contact shapes how people think about the targets of policy, not just the policies themselves. Note that subsequent chapters and the Allison/Mackenzie data on carceral state contact and views of the state will allow for a more direct examination of the epistemic dimensions flagged above — this chapter establishes the empirical foundation.</w:t>
      </w:r>
    </w:p>
    <w:p w14:paraId="1711BBCB" w14:textId="77777777" w:rsidR="008174A7" w:rsidRDefault="008174A7" w:rsidP="008174A7"/>
    <w:p w14:paraId="1D53C457" w14:textId="17125C2A" w:rsidR="008174A7" w:rsidRDefault="008174A7" w:rsidP="008174A7">
      <w:r>
        <w:t>III. Expectations</w:t>
      </w:r>
    </w:p>
    <w:p w14:paraId="7F23AF8B" w14:textId="43CBDDF2" w:rsidR="008174A7" w:rsidRDefault="008174A7" w:rsidP="008174A7">
      <w:r>
        <w:t xml:space="preserve">This is where you move from "here's why </w:t>
      </w:r>
      <w:proofErr w:type="gramStart"/>
      <w:r>
        <w:t>this matters</w:t>
      </w:r>
      <w:proofErr w:type="gramEnd"/>
      <w:r>
        <w:t xml:space="preserve"> and what we should expect" into the formal hypotheses. The theoretical framing above should have generated clear expectations: impacted groups will hold more supportive/less punitive preferences; they will be more consistent across policy types; different forms of contact may produce different patterns; victims will complicate the assumed punitive orientation. Then you're into the data/design section your advisor sketched.</w:t>
      </w:r>
    </w:p>
    <w:p w14:paraId="7E2C5259" w14:textId="77777777" w:rsidR="008174A7" w:rsidRDefault="008174A7" w:rsidP="008174A7"/>
    <w:p w14:paraId="32A6C4E0" w14:textId="77777777" w:rsidR="008174A7" w:rsidRDefault="008174A7" w:rsidP="008174A7"/>
    <w:p w14:paraId="42DB90FA" w14:textId="77777777" w:rsidR="008174A7" w:rsidRDefault="008174A7" w:rsidP="008174A7">
      <w:r>
        <w:lastRenderedPageBreak/>
        <w:t>Section: Data/Design</w:t>
      </w:r>
    </w:p>
    <w:p w14:paraId="7C55AB39" w14:textId="77777777" w:rsidR="008174A7" w:rsidRDefault="008174A7" w:rsidP="008174A7">
      <w:pPr>
        <w:pStyle w:val="ListParagraph"/>
        <w:numPr>
          <w:ilvl w:val="0"/>
          <w:numId w:val="1"/>
        </w:numPr>
      </w:pPr>
      <w:r>
        <w:t>data</w:t>
      </w:r>
    </w:p>
    <w:p w14:paraId="7D9692D4" w14:textId="77777777" w:rsidR="008174A7" w:rsidRDefault="008174A7" w:rsidP="008174A7">
      <w:pPr>
        <w:pStyle w:val="ListParagraph"/>
        <w:numPr>
          <w:ilvl w:val="0"/>
          <w:numId w:val="1"/>
        </w:numPr>
      </w:pPr>
      <w:r>
        <w:t>how collected</w:t>
      </w:r>
    </w:p>
    <w:p w14:paraId="148BC93A" w14:textId="77777777" w:rsidR="008174A7" w:rsidRDefault="008174A7" w:rsidP="008174A7">
      <w:pPr>
        <w:pStyle w:val="ListParagraph"/>
        <w:numPr>
          <w:ilvl w:val="0"/>
          <w:numId w:val="1"/>
        </w:numPr>
      </w:pPr>
      <w:r>
        <w:t>who’s in it</w:t>
      </w:r>
    </w:p>
    <w:p w14:paraId="51B37370" w14:textId="77777777" w:rsidR="008174A7" w:rsidRDefault="008174A7" w:rsidP="008174A7">
      <w:pPr>
        <w:pStyle w:val="ListParagraph"/>
        <w:numPr>
          <w:ilvl w:val="0"/>
          <w:numId w:val="1"/>
        </w:numPr>
      </w:pPr>
      <w:r>
        <w:t>IVs</w:t>
      </w:r>
    </w:p>
    <w:p w14:paraId="6C606075" w14:textId="77777777" w:rsidR="008174A7" w:rsidRDefault="008174A7" w:rsidP="008174A7">
      <w:pPr>
        <w:pStyle w:val="ListParagraph"/>
        <w:numPr>
          <w:ilvl w:val="0"/>
          <w:numId w:val="1"/>
        </w:numPr>
      </w:pPr>
      <w:r>
        <w:t>DVs</w:t>
      </w:r>
    </w:p>
    <w:p w14:paraId="28411281" w14:textId="2C5256AD" w:rsidR="007515FE" w:rsidRDefault="007515FE" w:rsidP="007515FE">
      <w:r>
        <w:t>Data</w:t>
      </w:r>
    </w:p>
    <w:p w14:paraId="33BBD03C" w14:textId="636FACB6" w:rsidR="007515FE" w:rsidRDefault="007515FE" w:rsidP="007515FE">
      <w:r>
        <w:t xml:space="preserve">I explore whether policy contact shapes people's attitudes about deservingness, and how those deservingness perceptions mediate policy preferences. I employ original survey data using a national sample of 2,716 US adults collected in September 2024 through the platform </w:t>
      </w:r>
      <w:proofErr w:type="spellStart"/>
      <w:r>
        <w:t>Forthwright</w:t>
      </w:r>
      <w:proofErr w:type="spellEnd"/>
      <w:r>
        <w:t>. The survey adapts the approach of Kreitzer and Smith's (2018) empirical mapping of power and deservingness constructions of 87 target populations.</w:t>
      </w:r>
    </w:p>
    <w:p w14:paraId="61AA121D" w14:textId="0A185C58" w:rsidR="0055163B" w:rsidRDefault="0055163B" w:rsidP="007515FE">
      <w:r>
        <w:t>[More on Sample Size &amp; Structure – After Cleaning]</w:t>
      </w:r>
    </w:p>
    <w:p w14:paraId="0140F94F" w14:textId="45687A78" w:rsidR="0055163B" w:rsidRDefault="0055163B" w:rsidP="0055163B">
      <w:pPr>
        <w:pStyle w:val="ListParagraph"/>
        <w:numPr>
          <w:ilvl w:val="0"/>
          <w:numId w:val="6"/>
        </w:numPr>
      </w:pPr>
      <w:r>
        <w:t>Participants After Cleaning (n = 2222)</w:t>
      </w:r>
    </w:p>
    <w:p w14:paraId="6E8247B3" w14:textId="77777777" w:rsidR="0055163B" w:rsidRDefault="0055163B" w:rsidP="0055163B">
      <w:r>
        <w:t>Assignment Blocks</w:t>
      </w:r>
    </w:p>
    <w:tbl>
      <w:tblPr>
        <w:tblStyle w:val="TableGrid"/>
        <w:tblW w:w="0" w:type="auto"/>
        <w:tblLook w:val="04A0" w:firstRow="1" w:lastRow="0" w:firstColumn="1" w:lastColumn="0" w:noHBand="0" w:noVBand="1"/>
      </w:tblPr>
      <w:tblGrid>
        <w:gridCol w:w="3116"/>
        <w:gridCol w:w="3117"/>
        <w:gridCol w:w="3117"/>
      </w:tblGrid>
      <w:tr w:rsidR="0055163B" w14:paraId="7C39C632" w14:textId="77777777" w:rsidTr="00BF345A">
        <w:tc>
          <w:tcPr>
            <w:tcW w:w="3116" w:type="dxa"/>
          </w:tcPr>
          <w:p w14:paraId="17057EFD" w14:textId="77777777" w:rsidR="0055163B" w:rsidRDefault="0055163B" w:rsidP="00BF345A">
            <w:r>
              <w:t>Block</w:t>
            </w:r>
          </w:p>
        </w:tc>
        <w:tc>
          <w:tcPr>
            <w:tcW w:w="3117" w:type="dxa"/>
          </w:tcPr>
          <w:p w14:paraId="48E56509" w14:textId="77777777" w:rsidR="0055163B" w:rsidRDefault="0055163B" w:rsidP="00BF345A">
            <w:r>
              <w:t>Block-Only Questions</w:t>
            </w:r>
          </w:p>
        </w:tc>
        <w:tc>
          <w:tcPr>
            <w:tcW w:w="3117" w:type="dxa"/>
          </w:tcPr>
          <w:p w14:paraId="2361DBCB" w14:textId="77777777" w:rsidR="0055163B" w:rsidRDefault="0055163B" w:rsidP="00BF345A">
            <w:r>
              <w:t>n</w:t>
            </w:r>
          </w:p>
        </w:tc>
      </w:tr>
      <w:tr w:rsidR="0055163B" w14:paraId="4531B050" w14:textId="77777777" w:rsidTr="00BF345A">
        <w:tc>
          <w:tcPr>
            <w:tcW w:w="3116" w:type="dxa"/>
          </w:tcPr>
          <w:p w14:paraId="4F7568FE" w14:textId="77777777" w:rsidR="0055163B" w:rsidRDefault="0055163B" w:rsidP="00BF345A">
            <w:r>
              <w:t>A</w:t>
            </w:r>
          </w:p>
        </w:tc>
        <w:tc>
          <w:tcPr>
            <w:tcW w:w="3117" w:type="dxa"/>
          </w:tcPr>
          <w:p w14:paraId="6649C9A3" w14:textId="77777777" w:rsidR="0055163B" w:rsidRDefault="0055163B" w:rsidP="00BF345A"/>
        </w:tc>
        <w:tc>
          <w:tcPr>
            <w:tcW w:w="3117" w:type="dxa"/>
          </w:tcPr>
          <w:p w14:paraId="37C96B99" w14:textId="77777777" w:rsidR="0055163B" w:rsidRDefault="0055163B" w:rsidP="00BF345A">
            <w:r>
              <w:t>761</w:t>
            </w:r>
          </w:p>
        </w:tc>
      </w:tr>
      <w:tr w:rsidR="0055163B" w14:paraId="2641AD94" w14:textId="77777777" w:rsidTr="00BF345A">
        <w:tc>
          <w:tcPr>
            <w:tcW w:w="3116" w:type="dxa"/>
          </w:tcPr>
          <w:p w14:paraId="1E45BDD6" w14:textId="77777777" w:rsidR="0055163B" w:rsidRDefault="0055163B" w:rsidP="00BF345A">
            <w:r>
              <w:t>B</w:t>
            </w:r>
          </w:p>
        </w:tc>
        <w:tc>
          <w:tcPr>
            <w:tcW w:w="3117" w:type="dxa"/>
          </w:tcPr>
          <w:p w14:paraId="74908D3C" w14:textId="77777777" w:rsidR="0055163B" w:rsidRDefault="0055163B" w:rsidP="00BF345A"/>
        </w:tc>
        <w:tc>
          <w:tcPr>
            <w:tcW w:w="3117" w:type="dxa"/>
          </w:tcPr>
          <w:p w14:paraId="68873679" w14:textId="77777777" w:rsidR="0055163B" w:rsidRDefault="0055163B" w:rsidP="00BF345A">
            <w:r>
              <w:t>750</w:t>
            </w:r>
          </w:p>
        </w:tc>
      </w:tr>
      <w:tr w:rsidR="0055163B" w14:paraId="56220BA9" w14:textId="77777777" w:rsidTr="00BF345A">
        <w:tc>
          <w:tcPr>
            <w:tcW w:w="3116" w:type="dxa"/>
          </w:tcPr>
          <w:p w14:paraId="40ACD6A4" w14:textId="77777777" w:rsidR="0055163B" w:rsidRDefault="0055163B" w:rsidP="00BF345A">
            <w:r>
              <w:t>C</w:t>
            </w:r>
          </w:p>
        </w:tc>
        <w:tc>
          <w:tcPr>
            <w:tcW w:w="3117" w:type="dxa"/>
          </w:tcPr>
          <w:p w14:paraId="41B31D2E" w14:textId="77777777" w:rsidR="0055163B" w:rsidRDefault="0055163B" w:rsidP="00BF345A"/>
        </w:tc>
        <w:tc>
          <w:tcPr>
            <w:tcW w:w="3117" w:type="dxa"/>
          </w:tcPr>
          <w:p w14:paraId="0F73521E" w14:textId="77777777" w:rsidR="0055163B" w:rsidRDefault="0055163B" w:rsidP="00BF345A">
            <w:r>
              <w:t>711</w:t>
            </w:r>
          </w:p>
        </w:tc>
      </w:tr>
      <w:tr w:rsidR="0055163B" w14:paraId="22CC7839" w14:textId="77777777" w:rsidTr="00BF345A">
        <w:tc>
          <w:tcPr>
            <w:tcW w:w="3116" w:type="dxa"/>
          </w:tcPr>
          <w:p w14:paraId="73262629" w14:textId="77777777" w:rsidR="0055163B" w:rsidRPr="00134C6C" w:rsidRDefault="0055163B" w:rsidP="00BF345A">
            <w:pPr>
              <w:rPr>
                <w:i/>
                <w:iCs/>
              </w:rPr>
            </w:pPr>
            <w:r w:rsidRPr="00134C6C">
              <w:rPr>
                <w:i/>
                <w:iCs/>
              </w:rPr>
              <w:t>All</w:t>
            </w:r>
          </w:p>
        </w:tc>
        <w:tc>
          <w:tcPr>
            <w:tcW w:w="3117" w:type="dxa"/>
          </w:tcPr>
          <w:p w14:paraId="1992F5F2" w14:textId="77777777" w:rsidR="0055163B" w:rsidRDefault="0055163B" w:rsidP="00BF345A"/>
        </w:tc>
        <w:tc>
          <w:tcPr>
            <w:tcW w:w="3117" w:type="dxa"/>
          </w:tcPr>
          <w:p w14:paraId="35F212EA" w14:textId="77777777" w:rsidR="0055163B" w:rsidRDefault="0055163B" w:rsidP="00BF345A"/>
        </w:tc>
      </w:tr>
    </w:tbl>
    <w:p w14:paraId="192CD4B0" w14:textId="77777777" w:rsidR="0055163B" w:rsidRDefault="0055163B" w:rsidP="0055163B"/>
    <w:p w14:paraId="411F5E1B" w14:textId="639B5E94" w:rsidR="0055163B" w:rsidRDefault="0055163B" w:rsidP="007515FE">
      <w:r>
        <w:t xml:space="preserve">Demographics </w:t>
      </w:r>
    </w:p>
    <w:p w14:paraId="07D43795" w14:textId="08C21D7E" w:rsidR="00D13EBE" w:rsidRDefault="0055163B" w:rsidP="007515FE">
      <w:r>
        <w:t>Race</w:t>
      </w:r>
    </w:p>
    <w:tbl>
      <w:tblPr>
        <w:tblStyle w:val="TableGrid"/>
        <w:tblW w:w="0" w:type="auto"/>
        <w:tblLook w:val="04A0" w:firstRow="1" w:lastRow="0" w:firstColumn="1" w:lastColumn="0" w:noHBand="0" w:noVBand="1"/>
      </w:tblPr>
      <w:tblGrid>
        <w:gridCol w:w="1870"/>
        <w:gridCol w:w="1870"/>
        <w:gridCol w:w="1870"/>
        <w:gridCol w:w="1870"/>
        <w:gridCol w:w="1870"/>
      </w:tblGrid>
      <w:tr w:rsidR="00D13EBE" w14:paraId="187A768B" w14:textId="77777777" w:rsidTr="00D13EBE">
        <w:tc>
          <w:tcPr>
            <w:tcW w:w="1870" w:type="dxa"/>
          </w:tcPr>
          <w:p w14:paraId="09A3494A" w14:textId="4AE708AA" w:rsidR="00D13EBE" w:rsidRDefault="00D13EBE" w:rsidP="007515FE">
            <w:r>
              <w:t>Racial ID</w:t>
            </w:r>
          </w:p>
        </w:tc>
        <w:tc>
          <w:tcPr>
            <w:tcW w:w="1870" w:type="dxa"/>
          </w:tcPr>
          <w:p w14:paraId="583F55CD" w14:textId="1DD7E7C6" w:rsidR="00D13EBE" w:rsidRDefault="00D13EBE" w:rsidP="007515FE">
            <w:r>
              <w:t>Black</w:t>
            </w:r>
          </w:p>
        </w:tc>
        <w:tc>
          <w:tcPr>
            <w:tcW w:w="1870" w:type="dxa"/>
          </w:tcPr>
          <w:p w14:paraId="10CB82FA" w14:textId="1619346E" w:rsidR="00D13EBE" w:rsidRDefault="00D13EBE" w:rsidP="007515FE">
            <w:r>
              <w:t>White</w:t>
            </w:r>
          </w:p>
        </w:tc>
        <w:tc>
          <w:tcPr>
            <w:tcW w:w="1870" w:type="dxa"/>
          </w:tcPr>
          <w:p w14:paraId="6A6C5AB4" w14:textId="6798C45E" w:rsidR="00D13EBE" w:rsidRDefault="00D13EBE" w:rsidP="007515FE">
            <w:r>
              <w:t>Hispanic</w:t>
            </w:r>
          </w:p>
        </w:tc>
        <w:tc>
          <w:tcPr>
            <w:tcW w:w="1870" w:type="dxa"/>
          </w:tcPr>
          <w:p w14:paraId="59E099D5" w14:textId="21033FA9" w:rsidR="00D13EBE" w:rsidRDefault="00D13EBE" w:rsidP="007515FE">
            <w:r>
              <w:t>Other</w:t>
            </w:r>
          </w:p>
        </w:tc>
      </w:tr>
      <w:tr w:rsidR="00D13EBE" w14:paraId="34CF121A" w14:textId="77777777" w:rsidTr="00D13EBE">
        <w:tc>
          <w:tcPr>
            <w:tcW w:w="1870" w:type="dxa"/>
          </w:tcPr>
          <w:p w14:paraId="2D227722" w14:textId="49360EC6" w:rsidR="00D13EBE" w:rsidRDefault="00D13EBE" w:rsidP="007515FE">
            <w:r>
              <w:t>Count</w:t>
            </w:r>
          </w:p>
        </w:tc>
        <w:tc>
          <w:tcPr>
            <w:tcW w:w="1870" w:type="dxa"/>
          </w:tcPr>
          <w:p w14:paraId="1E411584" w14:textId="590A3BF3" w:rsidR="00D13EBE" w:rsidRDefault="00D13EBE" w:rsidP="007515FE">
            <w:r>
              <w:t>246</w:t>
            </w:r>
          </w:p>
        </w:tc>
        <w:tc>
          <w:tcPr>
            <w:tcW w:w="1870" w:type="dxa"/>
          </w:tcPr>
          <w:p w14:paraId="41E32B57" w14:textId="4CE0961E" w:rsidR="00D13EBE" w:rsidRDefault="00D13EBE" w:rsidP="007515FE">
            <w:r>
              <w:t>1067</w:t>
            </w:r>
          </w:p>
        </w:tc>
        <w:tc>
          <w:tcPr>
            <w:tcW w:w="1870" w:type="dxa"/>
          </w:tcPr>
          <w:p w14:paraId="43027FE6" w14:textId="78F382E4" w:rsidR="00D13EBE" w:rsidRDefault="00D13EBE" w:rsidP="007515FE">
            <w:r>
              <w:t>237</w:t>
            </w:r>
          </w:p>
        </w:tc>
        <w:tc>
          <w:tcPr>
            <w:tcW w:w="1870" w:type="dxa"/>
          </w:tcPr>
          <w:p w14:paraId="51F1657B" w14:textId="354DF1A5" w:rsidR="00D13EBE" w:rsidRDefault="00D13EBE" w:rsidP="007515FE">
            <w:r>
              <w:t>79</w:t>
            </w:r>
          </w:p>
        </w:tc>
      </w:tr>
    </w:tbl>
    <w:p w14:paraId="2E2E7C1F" w14:textId="7F840CE8" w:rsidR="00D13EBE" w:rsidRDefault="00D13EBE" w:rsidP="007515FE"/>
    <w:p w14:paraId="006DA5A4" w14:textId="616A962E" w:rsidR="0055163B" w:rsidRDefault="0055163B" w:rsidP="007515FE">
      <w:r>
        <w:t xml:space="preserve">Gender: 759 men after cleaning, 845 women. </w:t>
      </w:r>
    </w:p>
    <w:p w14:paraId="78628E35" w14:textId="78E5A674" w:rsidR="0055163B" w:rsidRDefault="0055163B" w:rsidP="007515FE">
      <w:r>
        <w:t>Education</w:t>
      </w:r>
      <w:proofErr w:type="gramStart"/>
      <w:r>
        <w:t>: ?</w:t>
      </w:r>
      <w:proofErr w:type="gramEnd"/>
    </w:p>
    <w:p w14:paraId="49E32DD6" w14:textId="012FD07A" w:rsidR="0055163B" w:rsidRDefault="0055163B" w:rsidP="007515FE">
      <w:r>
        <w:t>Party:</w:t>
      </w:r>
    </w:p>
    <w:p w14:paraId="79028BB4" w14:textId="6BCA4487" w:rsidR="0055163B" w:rsidRDefault="0055163B" w:rsidP="007515FE">
      <w:r>
        <w:t>Ideology</w:t>
      </w:r>
    </w:p>
    <w:p w14:paraId="69025D3E" w14:textId="69601152" w:rsidR="0055163B" w:rsidRDefault="0055163B" w:rsidP="007515FE">
      <w:r>
        <w:t xml:space="preserve">Panel C: Carceral Contact </w:t>
      </w:r>
    </w:p>
    <w:tbl>
      <w:tblPr>
        <w:tblStyle w:val="TableGrid"/>
        <w:tblW w:w="0" w:type="auto"/>
        <w:tblLook w:val="04A0" w:firstRow="1" w:lastRow="0" w:firstColumn="1" w:lastColumn="0" w:noHBand="0" w:noVBand="1"/>
      </w:tblPr>
      <w:tblGrid>
        <w:gridCol w:w="4675"/>
        <w:gridCol w:w="4675"/>
      </w:tblGrid>
      <w:tr w:rsidR="0055163B" w14:paraId="5E760CAB" w14:textId="77777777" w:rsidTr="0055163B">
        <w:tc>
          <w:tcPr>
            <w:tcW w:w="4675" w:type="dxa"/>
          </w:tcPr>
          <w:p w14:paraId="4B33D9EC" w14:textId="0E6BD54A" w:rsidR="0055163B" w:rsidRDefault="0055163B" w:rsidP="007515FE">
            <w:r>
              <w:lastRenderedPageBreak/>
              <w:t>Experience</w:t>
            </w:r>
          </w:p>
        </w:tc>
        <w:tc>
          <w:tcPr>
            <w:tcW w:w="4675" w:type="dxa"/>
          </w:tcPr>
          <w:p w14:paraId="1F3C1172" w14:textId="73B5AFA6" w:rsidR="0055163B" w:rsidRDefault="0055163B" w:rsidP="007515FE">
            <w:r>
              <w:t>n</w:t>
            </w:r>
          </w:p>
        </w:tc>
      </w:tr>
      <w:tr w:rsidR="0055163B" w14:paraId="3D2011A3" w14:textId="77777777" w:rsidTr="0055163B">
        <w:tc>
          <w:tcPr>
            <w:tcW w:w="4675" w:type="dxa"/>
          </w:tcPr>
          <w:p w14:paraId="1BC681EC" w14:textId="0D47346B" w:rsidR="0055163B" w:rsidRDefault="0055163B" w:rsidP="007515FE">
            <w:r>
              <w:t>Any Impacted</w:t>
            </w:r>
          </w:p>
        </w:tc>
        <w:tc>
          <w:tcPr>
            <w:tcW w:w="4675" w:type="dxa"/>
          </w:tcPr>
          <w:p w14:paraId="297308A9" w14:textId="71D0D62F" w:rsidR="0055163B" w:rsidRDefault="0055163B" w:rsidP="007515FE"/>
        </w:tc>
      </w:tr>
      <w:tr w:rsidR="0055163B" w14:paraId="4A897C0A" w14:textId="77777777" w:rsidTr="0055163B">
        <w:tc>
          <w:tcPr>
            <w:tcW w:w="4675" w:type="dxa"/>
          </w:tcPr>
          <w:p w14:paraId="125176AE" w14:textId="77CDD44F" w:rsidR="0055163B" w:rsidRDefault="0055163B" w:rsidP="007515FE">
            <w:r>
              <w:t>Ever Incarcerated</w:t>
            </w:r>
          </w:p>
        </w:tc>
        <w:tc>
          <w:tcPr>
            <w:tcW w:w="4675" w:type="dxa"/>
          </w:tcPr>
          <w:p w14:paraId="5A42AA3B" w14:textId="77777777" w:rsidR="0055163B" w:rsidRDefault="0055163B" w:rsidP="007515FE"/>
        </w:tc>
      </w:tr>
      <w:tr w:rsidR="0055163B" w14:paraId="797DD3B0" w14:textId="77777777" w:rsidTr="0055163B">
        <w:tc>
          <w:tcPr>
            <w:tcW w:w="4675" w:type="dxa"/>
          </w:tcPr>
          <w:p w14:paraId="176866F9" w14:textId="4039E26F" w:rsidR="0055163B" w:rsidRDefault="0055163B" w:rsidP="007515FE">
            <w:r>
              <w:t>Know Incarcerated</w:t>
            </w:r>
          </w:p>
        </w:tc>
        <w:tc>
          <w:tcPr>
            <w:tcW w:w="4675" w:type="dxa"/>
          </w:tcPr>
          <w:p w14:paraId="1B43220B" w14:textId="77777777" w:rsidR="0055163B" w:rsidRDefault="0055163B" w:rsidP="007515FE"/>
        </w:tc>
      </w:tr>
      <w:tr w:rsidR="0055163B" w14:paraId="0CC1FC3B" w14:textId="77777777" w:rsidTr="0055163B">
        <w:tc>
          <w:tcPr>
            <w:tcW w:w="4675" w:type="dxa"/>
          </w:tcPr>
          <w:p w14:paraId="6B2F0304" w14:textId="28935E54" w:rsidR="0055163B" w:rsidRDefault="0055163B" w:rsidP="007515FE">
            <w:r>
              <w:t>Ever Victimized</w:t>
            </w:r>
          </w:p>
        </w:tc>
        <w:tc>
          <w:tcPr>
            <w:tcW w:w="4675" w:type="dxa"/>
          </w:tcPr>
          <w:p w14:paraId="0593A8DE" w14:textId="77777777" w:rsidR="0055163B" w:rsidRDefault="0055163B" w:rsidP="007515FE"/>
        </w:tc>
      </w:tr>
      <w:tr w:rsidR="0055163B" w14:paraId="14EFF1AF" w14:textId="77777777" w:rsidTr="0055163B">
        <w:tc>
          <w:tcPr>
            <w:tcW w:w="4675" w:type="dxa"/>
          </w:tcPr>
          <w:p w14:paraId="08F62407" w14:textId="66AC0F69" w:rsidR="0055163B" w:rsidRDefault="0055163B" w:rsidP="007515FE">
            <w:r>
              <w:t>Not Impacted</w:t>
            </w:r>
          </w:p>
        </w:tc>
        <w:tc>
          <w:tcPr>
            <w:tcW w:w="4675" w:type="dxa"/>
          </w:tcPr>
          <w:p w14:paraId="65D0C3AF" w14:textId="77777777" w:rsidR="0055163B" w:rsidRDefault="0055163B" w:rsidP="007515FE"/>
        </w:tc>
      </w:tr>
    </w:tbl>
    <w:p w14:paraId="2C5FD150" w14:textId="77777777" w:rsidR="0055163B" w:rsidRDefault="0055163B" w:rsidP="007515FE"/>
    <w:p w14:paraId="0736795F" w14:textId="48489971" w:rsidR="0055163B" w:rsidRDefault="0055163B" w:rsidP="007515FE">
      <w:r>
        <w:t>Panel D: Key Outcomes</w:t>
      </w:r>
    </w:p>
    <w:p w14:paraId="19BDE489" w14:textId="77777777" w:rsidR="0055163B" w:rsidRDefault="0055163B" w:rsidP="007515FE"/>
    <w:p w14:paraId="4A3347B2" w14:textId="3FA26795" w:rsidR="007515FE" w:rsidRPr="007515FE" w:rsidRDefault="007515FE" w:rsidP="007515FE">
      <w:pPr>
        <w:rPr>
          <w:b/>
          <w:bCs/>
        </w:rPr>
      </w:pPr>
      <w:r w:rsidRPr="007515FE">
        <w:rPr>
          <w:b/>
          <w:bCs/>
        </w:rPr>
        <w:t>Dependent Variables</w:t>
      </w:r>
    </w:p>
    <w:p w14:paraId="5C521353" w14:textId="64685771" w:rsidR="0037093F" w:rsidRDefault="0037093F" w:rsidP="007515FE">
      <w:r>
        <w:t>Policies</w:t>
      </w:r>
    </w:p>
    <w:p w14:paraId="2BD185B8" w14:textId="36E734FE" w:rsidR="0037093F" w:rsidRDefault="0037093F" w:rsidP="0037093F">
      <w:r>
        <w:t>1-5</w:t>
      </w:r>
    </w:p>
    <w:p w14:paraId="24D0595B" w14:textId="30BED5EE" w:rsidR="0037093F" w:rsidRDefault="0037093F" w:rsidP="0037093F">
      <w:r>
        <w:t>6-7</w:t>
      </w:r>
    </w:p>
    <w:p w14:paraId="44638144" w14:textId="77777777" w:rsidR="0037093F" w:rsidRDefault="0037093F" w:rsidP="0037093F"/>
    <w:p w14:paraId="640D2116" w14:textId="4C14FD9B" w:rsidR="007515FE" w:rsidRDefault="007515FE" w:rsidP="007515FE">
      <w:r>
        <w:t>Target Deservingness</w:t>
      </w:r>
    </w:p>
    <w:p w14:paraId="05B13CEC" w14:textId="111B868F" w:rsidR="007515FE" w:rsidRDefault="007515FE" w:rsidP="007515FE">
      <w:r w:rsidRPr="007515FE">
        <w:t>Perceptions of target deservingness are operationalized using 0-100 sliding scale ratings of "incarcerated people/prisoners." After reading a short explanation of what deserving usually connotes (Figure \</w:t>
      </w:r>
      <w:proofErr w:type="gramStart"/>
      <w:r w:rsidRPr="007515FE">
        <w:t># )</w:t>
      </w:r>
      <w:proofErr w:type="gramEnd"/>
      <w:r w:rsidRPr="007515FE">
        <w:t>, respondents rated the deservingness of a total of 65 groups.</w:t>
      </w:r>
    </w:p>
    <w:p w14:paraId="66FD872E" w14:textId="4619861B" w:rsidR="007515FE" w:rsidRDefault="007515FE" w:rsidP="007515FE">
      <w:pPr>
        <w:ind w:left="720"/>
      </w:pPr>
      <w:r>
        <w:t>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w:t>
      </w:r>
    </w:p>
    <w:p w14:paraId="225E7658" w14:textId="5C3A9106" w:rsidR="007515FE" w:rsidRDefault="007515FE" w:rsidP="007515FE">
      <w:pPr>
        <w:ind w:left="720"/>
      </w:pPr>
      <w:r>
        <w:t>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w:t>
      </w:r>
    </w:p>
    <w:p w14:paraId="6D6670FE" w14:textId="1CEEDC45" w:rsidR="007515FE" w:rsidRDefault="007515FE" w:rsidP="007515FE">
      <w:pPr>
        <w:ind w:left="720"/>
      </w:pPr>
      <w:r>
        <w:t>Based on what you know about these groups, how deserving or undeserving would you say each of these groups are, generally speaking? Here, 0 means most people in that group are completely undeserving. 100 means most people in that group are very deserving.</w:t>
      </w:r>
    </w:p>
    <w:p w14:paraId="35844865" w14:textId="0F964AD7" w:rsidR="0037093F" w:rsidRPr="0037093F" w:rsidRDefault="0037093F" w:rsidP="0037093F">
      <w:pPr>
        <w:rPr>
          <w:i/>
          <w:iCs/>
        </w:rPr>
      </w:pPr>
      <w:r w:rsidRPr="0037093F">
        <w:rPr>
          <w:i/>
          <w:iCs/>
        </w:rPr>
        <w:t>From these scores, what I have/intend to use</w:t>
      </w:r>
      <w:r>
        <w:rPr>
          <w:i/>
          <w:iCs/>
        </w:rPr>
        <w:t xml:space="preserve"> (as outcome, composite control)</w:t>
      </w:r>
    </w:p>
    <w:p w14:paraId="62F72D37" w14:textId="128C9030" w:rsidR="0055163B" w:rsidRDefault="0055163B" w:rsidP="0055163B">
      <w:pPr>
        <w:pStyle w:val="ListParagraph"/>
        <w:numPr>
          <w:ilvl w:val="0"/>
          <w:numId w:val="6"/>
        </w:numPr>
        <w:rPr>
          <w:b/>
          <w:bCs/>
        </w:rPr>
      </w:pPr>
      <w:r>
        <w:rPr>
          <w:b/>
          <w:bCs/>
        </w:rPr>
        <w:t>Mean deservingness</w:t>
      </w:r>
    </w:p>
    <w:tbl>
      <w:tblPr>
        <w:tblStyle w:val="TableGrid"/>
        <w:tblW w:w="0" w:type="auto"/>
        <w:tblLook w:val="04A0" w:firstRow="1" w:lastRow="0" w:firstColumn="1" w:lastColumn="0" w:noHBand="0" w:noVBand="1"/>
      </w:tblPr>
      <w:tblGrid>
        <w:gridCol w:w="4675"/>
        <w:gridCol w:w="4675"/>
      </w:tblGrid>
      <w:tr w:rsidR="0055163B" w14:paraId="7F6BDB65" w14:textId="77777777" w:rsidTr="0055163B">
        <w:tc>
          <w:tcPr>
            <w:tcW w:w="4675" w:type="dxa"/>
          </w:tcPr>
          <w:p w14:paraId="12ADEDEB" w14:textId="0F8C220A" w:rsidR="0055163B" w:rsidRDefault="0055163B" w:rsidP="0055163B">
            <w:pPr>
              <w:rPr>
                <w:b/>
                <w:bCs/>
              </w:rPr>
            </w:pPr>
            <w:r>
              <w:rPr>
                <w:b/>
                <w:bCs/>
              </w:rPr>
              <w:lastRenderedPageBreak/>
              <w:t>Group</w:t>
            </w:r>
          </w:p>
        </w:tc>
        <w:tc>
          <w:tcPr>
            <w:tcW w:w="4675" w:type="dxa"/>
          </w:tcPr>
          <w:p w14:paraId="358D0E56" w14:textId="002E56CD" w:rsidR="0055163B" w:rsidRDefault="0055163B" w:rsidP="0055163B">
            <w:pPr>
              <w:rPr>
                <w:b/>
                <w:bCs/>
              </w:rPr>
            </w:pPr>
            <w:r>
              <w:rPr>
                <w:b/>
                <w:bCs/>
              </w:rPr>
              <w:t>Mean Deservingness Score</w:t>
            </w:r>
          </w:p>
        </w:tc>
      </w:tr>
      <w:tr w:rsidR="0055163B" w14:paraId="74996963" w14:textId="77777777" w:rsidTr="0055163B">
        <w:tc>
          <w:tcPr>
            <w:tcW w:w="4675" w:type="dxa"/>
          </w:tcPr>
          <w:p w14:paraId="67CCAFF2" w14:textId="1592C2D5" w:rsidR="0055163B" w:rsidRDefault="0037093F" w:rsidP="0055163B">
            <w:pPr>
              <w:rPr>
                <w:b/>
                <w:bCs/>
              </w:rPr>
            </w:pPr>
            <w:r>
              <w:rPr>
                <w:b/>
                <w:bCs/>
              </w:rPr>
              <w:t xml:space="preserve">The one </w:t>
            </w:r>
            <w:proofErr w:type="spellStart"/>
            <w:r>
              <w:rPr>
                <w:b/>
                <w:bCs/>
              </w:rPr>
              <w:t>cj</w:t>
            </w:r>
            <w:proofErr w:type="spellEnd"/>
            <w:r>
              <w:rPr>
                <w:b/>
                <w:bCs/>
              </w:rPr>
              <w:t xml:space="preserve"> I’ve used</w:t>
            </w:r>
          </w:p>
        </w:tc>
        <w:tc>
          <w:tcPr>
            <w:tcW w:w="4675" w:type="dxa"/>
          </w:tcPr>
          <w:p w14:paraId="3286B34D" w14:textId="77777777" w:rsidR="0055163B" w:rsidRDefault="0055163B" w:rsidP="0055163B">
            <w:pPr>
              <w:rPr>
                <w:b/>
                <w:bCs/>
              </w:rPr>
            </w:pPr>
          </w:p>
        </w:tc>
      </w:tr>
      <w:tr w:rsidR="0055163B" w14:paraId="0367BDAF" w14:textId="77777777" w:rsidTr="0055163B">
        <w:tc>
          <w:tcPr>
            <w:tcW w:w="4675" w:type="dxa"/>
          </w:tcPr>
          <w:p w14:paraId="3C6CE1B1" w14:textId="5E6F490D" w:rsidR="0055163B" w:rsidRDefault="0037093F" w:rsidP="0055163B">
            <w:pPr>
              <w:rPr>
                <w:b/>
                <w:bCs/>
              </w:rPr>
            </w:pPr>
            <w:r>
              <w:rPr>
                <w:b/>
                <w:bCs/>
              </w:rPr>
              <w:t>Maybe the other CJ</w:t>
            </w:r>
          </w:p>
        </w:tc>
        <w:tc>
          <w:tcPr>
            <w:tcW w:w="4675" w:type="dxa"/>
          </w:tcPr>
          <w:p w14:paraId="381B1E57" w14:textId="77777777" w:rsidR="0055163B" w:rsidRDefault="0055163B" w:rsidP="0055163B">
            <w:pPr>
              <w:rPr>
                <w:b/>
                <w:bCs/>
              </w:rPr>
            </w:pPr>
          </w:p>
        </w:tc>
      </w:tr>
      <w:tr w:rsidR="0055163B" w14:paraId="57BE0AFE" w14:textId="77777777" w:rsidTr="0055163B">
        <w:tc>
          <w:tcPr>
            <w:tcW w:w="4675" w:type="dxa"/>
          </w:tcPr>
          <w:p w14:paraId="3DE4A064" w14:textId="5AFE3D24" w:rsidR="0055163B" w:rsidRDefault="0037093F" w:rsidP="0055163B">
            <w:pPr>
              <w:rPr>
                <w:b/>
                <w:bCs/>
              </w:rPr>
            </w:pPr>
            <w:r>
              <w:rPr>
                <w:b/>
                <w:bCs/>
              </w:rPr>
              <w:t>Maybe of help needing groups together (noted below)</w:t>
            </w:r>
          </w:p>
        </w:tc>
        <w:tc>
          <w:tcPr>
            <w:tcW w:w="4675" w:type="dxa"/>
          </w:tcPr>
          <w:p w14:paraId="06E9F08D" w14:textId="77777777" w:rsidR="0055163B" w:rsidRDefault="0055163B" w:rsidP="0055163B">
            <w:pPr>
              <w:rPr>
                <w:b/>
                <w:bCs/>
              </w:rPr>
            </w:pPr>
          </w:p>
        </w:tc>
      </w:tr>
      <w:tr w:rsidR="0055163B" w14:paraId="59227C21" w14:textId="77777777" w:rsidTr="0055163B">
        <w:tc>
          <w:tcPr>
            <w:tcW w:w="4675" w:type="dxa"/>
          </w:tcPr>
          <w:p w14:paraId="30B88DD6" w14:textId="740967F6" w:rsidR="0055163B" w:rsidRDefault="0037093F" w:rsidP="0055163B">
            <w:pPr>
              <w:rPr>
                <w:b/>
                <w:bCs/>
              </w:rPr>
            </w:pPr>
            <w:r>
              <w:rPr>
                <w:b/>
                <w:bCs/>
              </w:rPr>
              <w:t>Maybe across all groups</w:t>
            </w:r>
          </w:p>
        </w:tc>
        <w:tc>
          <w:tcPr>
            <w:tcW w:w="4675" w:type="dxa"/>
          </w:tcPr>
          <w:p w14:paraId="3326233C" w14:textId="77777777" w:rsidR="0055163B" w:rsidRDefault="0055163B" w:rsidP="0055163B">
            <w:pPr>
              <w:rPr>
                <w:b/>
                <w:bCs/>
              </w:rPr>
            </w:pPr>
          </w:p>
        </w:tc>
      </w:tr>
    </w:tbl>
    <w:p w14:paraId="4E460DE3" w14:textId="77777777" w:rsidR="0055163B" w:rsidRPr="0055163B" w:rsidRDefault="0055163B" w:rsidP="0055163B">
      <w:pPr>
        <w:rPr>
          <w:b/>
          <w:bCs/>
        </w:rPr>
      </w:pPr>
    </w:p>
    <w:p w14:paraId="104898A7" w14:textId="77777777" w:rsidR="0037093F" w:rsidRDefault="0037093F" w:rsidP="007515FE">
      <w:pPr>
        <w:rPr>
          <w:b/>
          <w:bCs/>
        </w:rPr>
      </w:pPr>
    </w:p>
    <w:p w14:paraId="520D8E09" w14:textId="13C1E3B0" w:rsidR="007515FE" w:rsidRDefault="007515FE" w:rsidP="007515FE">
      <w:pPr>
        <w:rPr>
          <w:b/>
          <w:bCs/>
        </w:rPr>
      </w:pPr>
      <w:r>
        <w:rPr>
          <w:b/>
          <w:bCs/>
        </w:rPr>
        <w:t>Controls</w:t>
      </w:r>
    </w:p>
    <w:p w14:paraId="42AD6FF3" w14:textId="5A3F633C" w:rsidR="0037093F" w:rsidRPr="0037093F" w:rsidRDefault="0037093F" w:rsidP="0037093F">
      <w:pPr>
        <w:pStyle w:val="ListParagraph"/>
        <w:numPr>
          <w:ilvl w:val="0"/>
          <w:numId w:val="6"/>
        </w:numPr>
        <w:rPr>
          <w:b/>
          <w:bCs/>
        </w:rPr>
      </w:pPr>
      <w:r>
        <w:rPr>
          <w:b/>
          <w:bCs/>
        </w:rPr>
        <w:t>Mean punitiveness</w:t>
      </w:r>
    </w:p>
    <w:p w14:paraId="52E6EC6D" w14:textId="2EAEB250" w:rsidR="007515FE" w:rsidRPr="007515FE" w:rsidRDefault="007515FE" w:rsidP="007515FE">
      <w:r w:rsidRPr="007515FE">
        <w:t>I include ***x*** standard additional controls, and two unique controls to attend alternative explanations of perceptions of deservingness, policy views, and their relationship. First, Smith and Kreitzer (2024) show that while there are different levels of across and within partisan consensus around target group deservingness, partisanship strongly influences target social constructions. To control for party affiliation, respondents indicate whether they are Republican, Democrat, Independent, or ‘other party.’ I code for Republicans and Democrats—leaving independents and “others” as the comparison groups.</w:t>
      </w:r>
    </w:p>
    <w:p w14:paraId="74F74E6C" w14:textId="2D7CFACF" w:rsidR="007515FE" w:rsidRPr="007515FE" w:rsidRDefault="007515FE" w:rsidP="007515FE">
      <w:r w:rsidRPr="007515FE">
        <w:t>To capture a broader picture of political ideology, respondents were asked a series of questions related to government funding, regulation, and taxation as indicators of economic conservatism. They were also asked whether they consider themselves “liberal, conservative, or somewhere in between” on questions of social policy, such as welfare, infrastructure, health care, education, and minority rights. I combine responses to these items into a standardized ideology scale ranging from 0 to 1, where higher values reflect more conservative orientations. Each item is first rescaled to a common 0–1 metric and then averaged to produce the composite score.</w:t>
      </w:r>
      <w:proofErr w:type="gramStart"/>
      <w:r w:rsidRPr="007515FE">
        <w:t>\[</w:t>
      </w:r>
      <w:proofErr w:type="gramEnd"/>
      <w:r w:rsidRPr="007515FE">
        <w:t>\^6\]</w:t>
      </w:r>
    </w:p>
    <w:p w14:paraId="629165D1" w14:textId="22623AF8" w:rsidR="007515FE" w:rsidRPr="007515FE" w:rsidRDefault="007515FE" w:rsidP="007515FE">
      <w:r w:rsidRPr="007515FE">
        <w:t xml:space="preserve">Some carceral state scholarship suggests that individual views about carceral citizens and policy are determined by punitiveness towards offenders – whether conceptualized as beliefs about meritocracy and the rule of law, or expressive responses to perceived wrongdoing or harm (Sniderman and Piazza 1993, </w:t>
      </w:r>
      <w:proofErr w:type="spellStart"/>
      <w:r w:rsidRPr="007515FE">
        <w:t>Chouhy</w:t>
      </w:r>
      <w:proofErr w:type="spellEnd"/>
      <w:r w:rsidRPr="007515FE">
        <w:t xml:space="preserve"> et al 2022, Miller and Alexander 2016). While some operationalize this via support for the death penalty (Enns 2016), others use measures that reflect belief in the purpose of punishment. Here, I </w:t>
      </w:r>
      <w:proofErr w:type="spellStart"/>
      <w:r w:rsidRPr="007515FE">
        <w:t>operationalise</w:t>
      </w:r>
      <w:proofErr w:type="spellEnd"/>
      <w:r w:rsidRPr="007515FE">
        <w:t xml:space="preserve"> this concept with a control for beliefs about the purpose of punishment using an interval '</w:t>
      </w:r>
      <w:proofErr w:type="spellStart"/>
      <w:r w:rsidRPr="007515FE">
        <w:t>penal_point</w:t>
      </w:r>
      <w:proofErr w:type="spellEnd"/>
      <w:r w:rsidRPr="007515FE">
        <w:t xml:space="preserve">' variable, with respondents' views on whether the purpose of incarceration as to punish primarily, rehabilitate primarily, or somewhere in between, rescaled to a 0-1 metric from a </w:t>
      </w:r>
      <w:proofErr w:type="gramStart"/>
      <w:r w:rsidRPr="007515FE">
        <w:t>7 point</w:t>
      </w:r>
      <w:proofErr w:type="gramEnd"/>
      <w:r w:rsidRPr="007515FE">
        <w:t xml:space="preserve"> scale.</w:t>
      </w:r>
    </w:p>
    <w:p w14:paraId="2198A2A0" w14:textId="7EFB7C1A" w:rsidR="007515FE" w:rsidRPr="007515FE" w:rsidRDefault="007515FE" w:rsidP="007515FE">
      <w:r w:rsidRPr="007515FE">
        <w:lastRenderedPageBreak/>
        <w:t xml:space="preserve">A broader "punitive" orientation may influence perceptions of what incarcerated people deserve. By this I mean that policy targets like incarcerated people may, for some, be implicitly constructed as </w:t>
      </w:r>
      <w:proofErr w:type="gramStart"/>
      <w:r w:rsidRPr="007515FE">
        <w:t>being in need of</w:t>
      </w:r>
      <w:proofErr w:type="gramEnd"/>
      <w:r w:rsidRPr="007515FE">
        <w:t xml:space="preserve"> help or intervention, socially transgressive, or unfamiliar or distant from </w:t>
      </w:r>
      <w:proofErr w:type="spellStart"/>
      <w:r w:rsidRPr="007515FE">
        <w:t>mainsteam</w:t>
      </w:r>
      <w:proofErr w:type="spellEnd"/>
      <w:r w:rsidRPr="007515FE">
        <w:t xml:space="preserve"> society. As such, deserving perceptions of incarcerated people may reflect broader attitudes towards these groups overall. Similarly, respondents may give these groups ratings that reflect "deserving of some inferred benefit," where </w:t>
      </w:r>
      <w:proofErr w:type="gramStart"/>
      <w:r w:rsidRPr="007515FE">
        <w:t>others</w:t>
      </w:r>
      <w:proofErr w:type="gramEnd"/>
      <w:r w:rsidRPr="007515FE">
        <w:t xml:space="preserve"> groups, like "</w:t>
      </w:r>
      <w:proofErr w:type="spellStart"/>
      <w:r w:rsidRPr="007515FE">
        <w:t>Athiests</w:t>
      </w:r>
      <w:proofErr w:type="spellEnd"/>
      <w:r w:rsidRPr="007515FE">
        <w:t xml:space="preserve">," ratings may reflect a more generalized perception. To account for this general tendency, I construct a control variable based on respondents’ deservingness ratings of groups that are similarly framed in public discourse—such as welfare recipients, Medicaid and Medicare/SSN recipients, the unemployed, poor families, homeless individuals, and asylum seekers or refugees. These ratings are standardized using the same within-respondent centering approach described above: for each respondent, I subtract their overall average deservingness rating (across all 65 groups) from their ratings of these selected groups, then average the centered scores to produce a composite measure of generalized deservingness toward marginalized populations. This variable also allows me to explore whether the effects of criminal legal contact are particular to criminal legal target deservingness, rather than groups constructed as needing </w:t>
      </w:r>
      <w:proofErr w:type="gramStart"/>
      <w:r w:rsidRPr="007515FE">
        <w:t>help as a whole</w:t>
      </w:r>
      <w:proofErr w:type="gramEnd"/>
      <w:r w:rsidRPr="007515FE">
        <w:t xml:space="preserve">. </w:t>
      </w:r>
      <w:proofErr w:type="gramStart"/>
      <w:r w:rsidRPr="007515FE">
        <w:t>\[</w:t>
      </w:r>
      <w:proofErr w:type="gramEnd"/>
      <w:r w:rsidRPr="007515FE">
        <w:t>\^7\]</w:t>
      </w:r>
    </w:p>
    <w:p w14:paraId="58A42476" w14:textId="10D4F7DF" w:rsidR="007515FE" w:rsidRPr="007515FE" w:rsidRDefault="007515FE" w:rsidP="007515FE">
      <w:r w:rsidRPr="007515FE">
        <w:t xml:space="preserve">Similarly, some respondents may be less supportive of policies that help such groups. I use standardized survey items on relevant policies to create a policy dispositional index, including support for </w:t>
      </w:r>
      <w:proofErr w:type="spellStart"/>
      <w:r w:rsidRPr="007515FE">
        <w:t>Mediaid</w:t>
      </w:r>
      <w:proofErr w:type="spellEnd"/>
      <w:r w:rsidRPr="007515FE">
        <w:t xml:space="preserve"> and unemployment </w:t>
      </w:r>
      <w:proofErr w:type="spellStart"/>
      <w:r w:rsidRPr="007515FE">
        <w:t>assisstence</w:t>
      </w:r>
      <w:proofErr w:type="spellEnd"/>
      <w:r w:rsidRPr="007515FE">
        <w:t>, views on minimum wage and government support for the poor, and the agreement with the importance of accepting refugees.</w:t>
      </w:r>
      <w:proofErr w:type="gramStart"/>
      <w:r w:rsidRPr="007515FE">
        <w:t>\[</w:t>
      </w:r>
      <w:proofErr w:type="gramEnd"/>
      <w:r w:rsidRPr="007515FE">
        <w:t>\^8\]</w:t>
      </w:r>
    </w:p>
    <w:p w14:paraId="2042A4AC" w14:textId="5535D43E" w:rsidR="007515FE" w:rsidRPr="007515FE" w:rsidRDefault="007515FE" w:rsidP="007515FE">
      <w:r w:rsidRPr="007515FE">
        <w:t>I will also control for respondent race and racial attitudes. Respondents are asked whether they are White, Black or African American, Native American/Alaska Native, Asian/Asian American, Native Hawaiian/Other Pacific Islander, Middle Eastern/North African, Hispanic/Latino/a/e, or “my preferred response is not listed.” I will use a series of indicator variables (non-Hispanic white, non-Hispanic Black, Hispanic/Latino, and “other” race). To control for racial attitudes, I construct a racial resentment scale combining items from the ANES “Kinder” battery and the FIRE scale.</w:t>
      </w:r>
    </w:p>
    <w:p w14:paraId="644B4606" w14:textId="37B40E1C" w:rsidR="007515FE" w:rsidRPr="007515FE" w:rsidRDefault="007515FE" w:rsidP="007515FE">
      <w:r w:rsidRPr="007515FE">
        <w:t>Finally, I also control gender, level of education, and location.</w:t>
      </w:r>
      <w:proofErr w:type="gramStart"/>
      <w:r w:rsidRPr="007515FE">
        <w:t>\[</w:t>
      </w:r>
      <w:proofErr w:type="gramEnd"/>
      <w:r w:rsidRPr="007515FE">
        <w:t>\^9\] I control for gender with a binary variable where respondents who identified as genderqueer or ‘other’ (of which there were relatively few) will be randomly assigned to woman (0) and men (1).</w:t>
      </w:r>
    </w:p>
    <w:p w14:paraId="0CAFA4AD" w14:textId="77777777" w:rsidR="00650A1D" w:rsidRDefault="00650A1D" w:rsidP="008174A7"/>
    <w:p w14:paraId="4861615D" w14:textId="0D1C2B23" w:rsidR="008174A7" w:rsidRDefault="008174A7" w:rsidP="008174A7">
      <w:r>
        <w:t>In this section just for this early draft:</w:t>
      </w:r>
    </w:p>
    <w:p w14:paraId="5AE1062C" w14:textId="77777777" w:rsidR="008174A7" w:rsidRDefault="008174A7" w:rsidP="008174A7">
      <w:pPr>
        <w:pStyle w:val="ListParagraph"/>
        <w:numPr>
          <w:ilvl w:val="0"/>
          <w:numId w:val="5"/>
        </w:numPr>
      </w:pPr>
      <w:r>
        <w:lastRenderedPageBreak/>
        <w:t>I have an index of 7 policy variables and need to see how they load together (there’s a test for this whose name I’m forgetting), show that</w:t>
      </w:r>
    </w:p>
    <w:p w14:paraId="60D00999" w14:textId="4F071786" w:rsidR="00650A1D" w:rsidRDefault="000B34E6" w:rsidP="008174A7">
      <w:r>
        <w:t>How much outcome (incarcerated people/prisoner deservingness) variance each variable explains alone</w:t>
      </w:r>
    </w:p>
    <w:tbl>
      <w:tblPr>
        <w:tblStyle w:val="TableGrid"/>
        <w:tblW w:w="0" w:type="auto"/>
        <w:tblLook w:val="04A0" w:firstRow="1" w:lastRow="0" w:firstColumn="1" w:lastColumn="0" w:noHBand="0" w:noVBand="1"/>
      </w:tblPr>
      <w:tblGrid>
        <w:gridCol w:w="3116"/>
        <w:gridCol w:w="3117"/>
        <w:gridCol w:w="3117"/>
      </w:tblGrid>
      <w:tr w:rsidR="000B34E6" w14:paraId="3D7B5C1B" w14:textId="77777777" w:rsidTr="000B34E6">
        <w:tc>
          <w:tcPr>
            <w:tcW w:w="3116" w:type="dxa"/>
          </w:tcPr>
          <w:p w14:paraId="5468EEAD" w14:textId="6927CED0" w:rsidR="000B34E6" w:rsidRDefault="000B34E6" w:rsidP="008174A7">
            <w:r>
              <w:t>Variable</w:t>
            </w:r>
          </w:p>
        </w:tc>
        <w:tc>
          <w:tcPr>
            <w:tcW w:w="3117" w:type="dxa"/>
          </w:tcPr>
          <w:p w14:paraId="5899351E" w14:textId="0273B83B" w:rsidR="000B34E6" w:rsidRDefault="000B34E6" w:rsidP="008174A7">
            <w:r>
              <w:t>Adj. R2</w:t>
            </w:r>
          </w:p>
        </w:tc>
        <w:tc>
          <w:tcPr>
            <w:tcW w:w="3117" w:type="dxa"/>
          </w:tcPr>
          <w:p w14:paraId="0897AAAD" w14:textId="5DE38EDA" w:rsidR="000B34E6" w:rsidRDefault="000B34E6" w:rsidP="008174A7">
            <w:r>
              <w:t>Interpretation</w:t>
            </w:r>
          </w:p>
        </w:tc>
      </w:tr>
      <w:tr w:rsidR="000B34E6" w14:paraId="0C5925E9" w14:textId="77777777" w:rsidTr="000B34E6">
        <w:tc>
          <w:tcPr>
            <w:tcW w:w="3116" w:type="dxa"/>
          </w:tcPr>
          <w:p w14:paraId="4089468F" w14:textId="3F0686B8" w:rsidR="000B34E6" w:rsidRDefault="000B34E6" w:rsidP="008174A7">
            <w:r>
              <w:t>“</w:t>
            </w:r>
            <w:proofErr w:type="spellStart"/>
            <w:proofErr w:type="gramStart"/>
            <w:r>
              <w:t>desor</w:t>
            </w:r>
            <w:proofErr w:type="gramEnd"/>
            <w:r>
              <w:t>_core</w:t>
            </w:r>
            <w:proofErr w:type="spellEnd"/>
            <w:r>
              <w:t>”</w:t>
            </w:r>
          </w:p>
        </w:tc>
        <w:tc>
          <w:tcPr>
            <w:tcW w:w="3117" w:type="dxa"/>
          </w:tcPr>
          <w:p w14:paraId="6D64B21D" w14:textId="743BD981" w:rsidR="000B34E6" w:rsidRDefault="000B34E6" w:rsidP="008174A7">
            <w:r>
              <w:t>0.30</w:t>
            </w:r>
          </w:p>
        </w:tc>
        <w:tc>
          <w:tcPr>
            <w:tcW w:w="3117" w:type="dxa"/>
          </w:tcPr>
          <w:p w14:paraId="4B11FE64" w14:textId="562CA814" w:rsidR="000B34E6" w:rsidRDefault="000B34E6" w:rsidP="008174A7">
            <w:r>
              <w:t>Explains 30% of outcome variance</w:t>
            </w:r>
          </w:p>
        </w:tc>
      </w:tr>
      <w:tr w:rsidR="000B34E6" w14:paraId="0FF6F8C7" w14:textId="77777777" w:rsidTr="000B34E6">
        <w:tc>
          <w:tcPr>
            <w:tcW w:w="3116" w:type="dxa"/>
          </w:tcPr>
          <w:p w14:paraId="53101E7B" w14:textId="7E32352F" w:rsidR="000B34E6" w:rsidRDefault="000B34E6" w:rsidP="008174A7">
            <w:r>
              <w:t>“</w:t>
            </w:r>
            <w:proofErr w:type="spellStart"/>
            <w:proofErr w:type="gramStart"/>
            <w:r>
              <w:t>social</w:t>
            </w:r>
            <w:proofErr w:type="gramEnd"/>
            <w:r>
              <w:t>_ideology</w:t>
            </w:r>
            <w:proofErr w:type="spellEnd"/>
            <w:r>
              <w:t>”</w:t>
            </w:r>
          </w:p>
        </w:tc>
        <w:tc>
          <w:tcPr>
            <w:tcW w:w="3117" w:type="dxa"/>
          </w:tcPr>
          <w:p w14:paraId="2C6E2F6C" w14:textId="5BF3BC94" w:rsidR="000B34E6" w:rsidRDefault="000B34E6" w:rsidP="008174A7">
            <w:r>
              <w:t>0.08</w:t>
            </w:r>
          </w:p>
        </w:tc>
        <w:tc>
          <w:tcPr>
            <w:tcW w:w="3117" w:type="dxa"/>
          </w:tcPr>
          <w:p w14:paraId="1A1E1ACD" w14:textId="77777777" w:rsidR="000B34E6" w:rsidRDefault="000B34E6" w:rsidP="008174A7"/>
        </w:tc>
      </w:tr>
      <w:tr w:rsidR="000B34E6" w14:paraId="40F9752F" w14:textId="77777777" w:rsidTr="000B34E6">
        <w:tc>
          <w:tcPr>
            <w:tcW w:w="3116" w:type="dxa"/>
          </w:tcPr>
          <w:p w14:paraId="10B296A7" w14:textId="6CBEDEB3" w:rsidR="000B34E6" w:rsidRDefault="000B34E6" w:rsidP="008174A7">
            <w:r>
              <w:t>“</w:t>
            </w:r>
            <w:proofErr w:type="spellStart"/>
            <w:proofErr w:type="gramStart"/>
            <w:r>
              <w:t>fiscal</w:t>
            </w:r>
            <w:proofErr w:type="gramEnd"/>
            <w:r>
              <w:t>_ideology</w:t>
            </w:r>
            <w:proofErr w:type="spellEnd"/>
            <w:r>
              <w:t>”</w:t>
            </w:r>
          </w:p>
        </w:tc>
        <w:tc>
          <w:tcPr>
            <w:tcW w:w="3117" w:type="dxa"/>
          </w:tcPr>
          <w:p w14:paraId="2E4A4C87" w14:textId="232CD130" w:rsidR="000B34E6" w:rsidRDefault="000B34E6" w:rsidP="008174A7">
            <w:r>
              <w:t>0.76</w:t>
            </w:r>
          </w:p>
        </w:tc>
        <w:tc>
          <w:tcPr>
            <w:tcW w:w="3117" w:type="dxa"/>
          </w:tcPr>
          <w:p w14:paraId="736691EF" w14:textId="77777777" w:rsidR="000B34E6" w:rsidRDefault="000B34E6" w:rsidP="008174A7"/>
        </w:tc>
      </w:tr>
      <w:tr w:rsidR="000B34E6" w14:paraId="6F420E12" w14:textId="77777777" w:rsidTr="000B34E6">
        <w:tc>
          <w:tcPr>
            <w:tcW w:w="3116" w:type="dxa"/>
          </w:tcPr>
          <w:p w14:paraId="3D11738D" w14:textId="4AA306D8" w:rsidR="000B34E6" w:rsidRDefault="000B34E6" w:rsidP="008174A7">
            <w:r>
              <w:t>“FIRE”</w:t>
            </w:r>
          </w:p>
        </w:tc>
        <w:tc>
          <w:tcPr>
            <w:tcW w:w="3117" w:type="dxa"/>
          </w:tcPr>
          <w:p w14:paraId="618ABC24" w14:textId="04452115" w:rsidR="000B34E6" w:rsidRDefault="000B34E6" w:rsidP="008174A7">
            <w:r>
              <w:t>0.045-0.057</w:t>
            </w:r>
          </w:p>
        </w:tc>
        <w:tc>
          <w:tcPr>
            <w:tcW w:w="3117" w:type="dxa"/>
          </w:tcPr>
          <w:p w14:paraId="22609BB4" w14:textId="77777777" w:rsidR="000B34E6" w:rsidRDefault="000B34E6" w:rsidP="008174A7"/>
        </w:tc>
      </w:tr>
      <w:tr w:rsidR="000B34E6" w14:paraId="753C197E" w14:textId="77777777" w:rsidTr="000B34E6">
        <w:tc>
          <w:tcPr>
            <w:tcW w:w="3116" w:type="dxa"/>
          </w:tcPr>
          <w:p w14:paraId="5422C5E5" w14:textId="230035C4" w:rsidR="000B34E6" w:rsidRDefault="000B34E6" w:rsidP="008174A7">
            <w:r>
              <w:t>“</w:t>
            </w:r>
            <w:proofErr w:type="spellStart"/>
            <w:r>
              <w:t>penalpoint</w:t>
            </w:r>
            <w:proofErr w:type="spellEnd"/>
            <w:r>
              <w:t>”</w:t>
            </w:r>
          </w:p>
        </w:tc>
        <w:tc>
          <w:tcPr>
            <w:tcW w:w="3117" w:type="dxa"/>
          </w:tcPr>
          <w:p w14:paraId="550EB7AF" w14:textId="1FBE55DA" w:rsidR="000B34E6" w:rsidRDefault="000B34E6" w:rsidP="008174A7">
            <w:r>
              <w:t>0.36</w:t>
            </w:r>
          </w:p>
        </w:tc>
        <w:tc>
          <w:tcPr>
            <w:tcW w:w="3117" w:type="dxa"/>
          </w:tcPr>
          <w:p w14:paraId="30A99815" w14:textId="77777777" w:rsidR="000B34E6" w:rsidRDefault="000B34E6" w:rsidP="008174A7"/>
        </w:tc>
      </w:tr>
      <w:tr w:rsidR="000B34E6" w14:paraId="207E5C12" w14:textId="77777777" w:rsidTr="000B34E6">
        <w:tc>
          <w:tcPr>
            <w:tcW w:w="3116" w:type="dxa"/>
          </w:tcPr>
          <w:p w14:paraId="1DAAFC00" w14:textId="33E91DBB" w:rsidR="000B34E6" w:rsidRDefault="000B34E6" w:rsidP="008174A7">
            <w:r>
              <w:t>“</w:t>
            </w:r>
            <w:proofErr w:type="gramStart"/>
            <w:r>
              <w:t>partisanship</w:t>
            </w:r>
            <w:proofErr w:type="gramEnd"/>
          </w:p>
        </w:tc>
        <w:tc>
          <w:tcPr>
            <w:tcW w:w="3117" w:type="dxa"/>
          </w:tcPr>
          <w:p w14:paraId="43923DD4" w14:textId="68F8BED7" w:rsidR="000B34E6" w:rsidRDefault="000B34E6" w:rsidP="008174A7">
            <w:r>
              <w:t>0.034-0.035</w:t>
            </w:r>
          </w:p>
        </w:tc>
        <w:tc>
          <w:tcPr>
            <w:tcW w:w="3117" w:type="dxa"/>
          </w:tcPr>
          <w:p w14:paraId="5C5ABFD6" w14:textId="77777777" w:rsidR="000B34E6" w:rsidRDefault="000B34E6" w:rsidP="008174A7"/>
        </w:tc>
      </w:tr>
      <w:tr w:rsidR="000B34E6" w14:paraId="3747D7C3" w14:textId="77777777" w:rsidTr="000B34E6">
        <w:tc>
          <w:tcPr>
            <w:tcW w:w="3116" w:type="dxa"/>
          </w:tcPr>
          <w:p w14:paraId="2A9EE486" w14:textId="6E0FFCE6" w:rsidR="000B34E6" w:rsidRDefault="000B34E6" w:rsidP="008174A7">
            <w:r>
              <w:t>Contact Variables</w:t>
            </w:r>
          </w:p>
        </w:tc>
        <w:tc>
          <w:tcPr>
            <w:tcW w:w="3117" w:type="dxa"/>
          </w:tcPr>
          <w:p w14:paraId="2CB1B52F" w14:textId="2100297D" w:rsidR="000B34E6" w:rsidRDefault="000B34E6" w:rsidP="008174A7">
            <w:r>
              <w:t>&lt;0.2</w:t>
            </w:r>
          </w:p>
        </w:tc>
        <w:tc>
          <w:tcPr>
            <w:tcW w:w="3117" w:type="dxa"/>
          </w:tcPr>
          <w:p w14:paraId="38809102" w14:textId="7B7D7788" w:rsidR="000B34E6" w:rsidRDefault="000B34E6" w:rsidP="008174A7">
            <w:r>
              <w:t>Minimal alone</w:t>
            </w:r>
          </w:p>
        </w:tc>
      </w:tr>
    </w:tbl>
    <w:p w14:paraId="1903F877" w14:textId="77777777" w:rsidR="00650A1D" w:rsidRDefault="00650A1D" w:rsidP="008174A7"/>
    <w:p w14:paraId="65E27993" w14:textId="77777777" w:rsidR="00CD75A3" w:rsidRDefault="00CD75A3" w:rsidP="00CD75A3">
      <w:pPr>
        <w:pStyle w:val="NormalWeb"/>
      </w:pPr>
      <w:r>
        <w:rPr>
          <w:rStyle w:val="Strong"/>
          <w:rFonts w:eastAsiaTheme="majorEastAsia"/>
        </w:rPr>
        <w:t>Purpose:</w:t>
      </w:r>
      <w:r>
        <w:t xml:space="preserve"> Measure each predictor’s unique contribution within the full model.</w:t>
      </w:r>
    </w:p>
    <w:p w14:paraId="0227BB2C" w14:textId="30FEF5FC" w:rsidR="00CD75A3" w:rsidRDefault="00CD75A3" w:rsidP="006550DF">
      <w:pPr>
        <w:pStyle w:val="NormalWeb"/>
      </w:pPr>
      <w:r>
        <w:rPr>
          <w:rStyle w:val="Strong"/>
          <w:rFonts w:eastAsiaTheme="majorEastAsia"/>
        </w:rPr>
        <w:t>Unique Variance (Semi-partial R²):</w:t>
      </w:r>
    </w:p>
    <w:tbl>
      <w:tblPr>
        <w:tblStyle w:val="TableGrid"/>
        <w:tblW w:w="0" w:type="auto"/>
        <w:tblLook w:val="04A0" w:firstRow="1" w:lastRow="0" w:firstColumn="1" w:lastColumn="0" w:noHBand="0" w:noVBand="1"/>
      </w:tblPr>
      <w:tblGrid>
        <w:gridCol w:w="2337"/>
        <w:gridCol w:w="2337"/>
        <w:gridCol w:w="2338"/>
        <w:gridCol w:w="2338"/>
      </w:tblGrid>
      <w:tr w:rsidR="00CD75A3" w14:paraId="6B213FE5" w14:textId="77777777" w:rsidTr="001D2592">
        <w:tc>
          <w:tcPr>
            <w:tcW w:w="2337" w:type="dxa"/>
            <w:vAlign w:val="center"/>
          </w:tcPr>
          <w:p w14:paraId="63C43640" w14:textId="0259ADCF" w:rsidR="00CD75A3" w:rsidRDefault="00CD75A3" w:rsidP="00CD75A3">
            <w:r>
              <w:rPr>
                <w:b/>
                <w:bCs/>
              </w:rPr>
              <w:t>Variable</w:t>
            </w:r>
          </w:p>
        </w:tc>
        <w:tc>
          <w:tcPr>
            <w:tcW w:w="2337" w:type="dxa"/>
            <w:vAlign w:val="center"/>
          </w:tcPr>
          <w:p w14:paraId="79621B39" w14:textId="456D9319" w:rsidR="00CD75A3" w:rsidRDefault="00CD75A3" w:rsidP="00CD75A3">
            <w:r>
              <w:rPr>
                <w:b/>
                <w:bCs/>
              </w:rPr>
              <w:t>Incarcerated</w:t>
            </w:r>
          </w:p>
        </w:tc>
        <w:tc>
          <w:tcPr>
            <w:tcW w:w="2338" w:type="dxa"/>
            <w:vAlign w:val="center"/>
          </w:tcPr>
          <w:p w14:paraId="43BB6214" w14:textId="17B10911" w:rsidR="00CD75A3" w:rsidRDefault="00CD75A3" w:rsidP="00CD75A3">
            <w:r>
              <w:rPr>
                <w:b/>
                <w:bCs/>
              </w:rPr>
              <w:t>Victimized</w:t>
            </w:r>
          </w:p>
        </w:tc>
        <w:tc>
          <w:tcPr>
            <w:tcW w:w="2338" w:type="dxa"/>
            <w:vAlign w:val="center"/>
          </w:tcPr>
          <w:p w14:paraId="06AE6339" w14:textId="7DB599A1" w:rsidR="00CD75A3" w:rsidRDefault="00CD75A3" w:rsidP="00CD75A3">
            <w:r>
              <w:rPr>
                <w:b/>
                <w:bCs/>
              </w:rPr>
              <w:t>Proximate</w:t>
            </w:r>
          </w:p>
        </w:tc>
      </w:tr>
      <w:tr w:rsidR="00CD75A3" w14:paraId="65CCCF3B" w14:textId="77777777" w:rsidTr="001D2592">
        <w:tc>
          <w:tcPr>
            <w:tcW w:w="2337" w:type="dxa"/>
            <w:vAlign w:val="center"/>
          </w:tcPr>
          <w:p w14:paraId="759D2B40" w14:textId="3AD3A821" w:rsidR="00CD75A3" w:rsidRDefault="00CD75A3" w:rsidP="00CD75A3">
            <w:proofErr w:type="spellStart"/>
            <w:r>
              <w:rPr>
                <w:rStyle w:val="HTMLCode"/>
                <w:rFonts w:eastAsiaTheme="majorEastAsia"/>
              </w:rPr>
              <w:t>desor_core</w:t>
            </w:r>
            <w:proofErr w:type="spellEnd"/>
          </w:p>
        </w:tc>
        <w:tc>
          <w:tcPr>
            <w:tcW w:w="2337" w:type="dxa"/>
            <w:vAlign w:val="center"/>
          </w:tcPr>
          <w:p w14:paraId="29912838" w14:textId="64E5D061" w:rsidR="00CD75A3" w:rsidRDefault="00CD75A3" w:rsidP="00CD75A3">
            <w:r>
              <w:t>0.2266</w:t>
            </w:r>
          </w:p>
        </w:tc>
        <w:tc>
          <w:tcPr>
            <w:tcW w:w="2338" w:type="dxa"/>
            <w:vAlign w:val="center"/>
          </w:tcPr>
          <w:p w14:paraId="40C0AA76" w14:textId="5F7803A3" w:rsidR="00CD75A3" w:rsidRDefault="00CD75A3" w:rsidP="00CD75A3">
            <w:r>
              <w:t>0.2263</w:t>
            </w:r>
          </w:p>
        </w:tc>
        <w:tc>
          <w:tcPr>
            <w:tcW w:w="2338" w:type="dxa"/>
            <w:vAlign w:val="center"/>
          </w:tcPr>
          <w:p w14:paraId="3A583A99" w14:textId="1A305B5C" w:rsidR="00CD75A3" w:rsidRDefault="00CD75A3" w:rsidP="00CD75A3">
            <w:r>
              <w:t>0.2252</w:t>
            </w:r>
          </w:p>
        </w:tc>
      </w:tr>
      <w:tr w:rsidR="00CD75A3" w14:paraId="37076C9B" w14:textId="77777777" w:rsidTr="001D2592">
        <w:tc>
          <w:tcPr>
            <w:tcW w:w="2337" w:type="dxa"/>
            <w:vAlign w:val="center"/>
          </w:tcPr>
          <w:p w14:paraId="7D36E77E" w14:textId="4C2D956A" w:rsidR="00CD75A3" w:rsidRDefault="00CD75A3" w:rsidP="00CD75A3">
            <w:r>
              <w:t>Contact</w:t>
            </w:r>
          </w:p>
        </w:tc>
        <w:tc>
          <w:tcPr>
            <w:tcW w:w="2337" w:type="dxa"/>
            <w:vAlign w:val="center"/>
          </w:tcPr>
          <w:p w14:paraId="3E5BBD8A" w14:textId="0BC9D7CE" w:rsidR="00CD75A3" w:rsidRDefault="00CD75A3" w:rsidP="00CD75A3">
            <w:r>
              <w:t>0.0090</w:t>
            </w:r>
          </w:p>
        </w:tc>
        <w:tc>
          <w:tcPr>
            <w:tcW w:w="2338" w:type="dxa"/>
            <w:vAlign w:val="center"/>
          </w:tcPr>
          <w:p w14:paraId="60833F35" w14:textId="5968BA93" w:rsidR="00CD75A3" w:rsidRDefault="00CD75A3" w:rsidP="00CD75A3">
            <w:r>
              <w:t>0.0006</w:t>
            </w:r>
          </w:p>
        </w:tc>
        <w:tc>
          <w:tcPr>
            <w:tcW w:w="2338" w:type="dxa"/>
            <w:vAlign w:val="center"/>
          </w:tcPr>
          <w:p w14:paraId="261CB98F" w14:textId="21CA70D9" w:rsidR="00CD75A3" w:rsidRDefault="00CD75A3" w:rsidP="00CD75A3">
            <w:r>
              <w:t>0.0115</w:t>
            </w:r>
          </w:p>
        </w:tc>
      </w:tr>
      <w:tr w:rsidR="00CD75A3" w14:paraId="53F26038" w14:textId="77777777" w:rsidTr="001D2592">
        <w:tc>
          <w:tcPr>
            <w:tcW w:w="2337" w:type="dxa"/>
            <w:vAlign w:val="center"/>
          </w:tcPr>
          <w:p w14:paraId="32DE3EFD" w14:textId="6E57E755" w:rsidR="00CD75A3" w:rsidRDefault="00CD75A3" w:rsidP="00CD75A3">
            <w:proofErr w:type="spellStart"/>
            <w:r>
              <w:rPr>
                <w:rStyle w:val="HTMLCode"/>
                <w:rFonts w:eastAsiaTheme="majorEastAsia"/>
              </w:rPr>
              <w:t>penalpoint</w:t>
            </w:r>
            <w:proofErr w:type="spellEnd"/>
          </w:p>
        </w:tc>
        <w:tc>
          <w:tcPr>
            <w:tcW w:w="2337" w:type="dxa"/>
            <w:vAlign w:val="center"/>
          </w:tcPr>
          <w:p w14:paraId="13235118" w14:textId="3D52920E" w:rsidR="00CD75A3" w:rsidRDefault="00CD75A3" w:rsidP="00CD75A3">
            <w:r>
              <w:t>0.0073</w:t>
            </w:r>
          </w:p>
        </w:tc>
        <w:tc>
          <w:tcPr>
            <w:tcW w:w="2338" w:type="dxa"/>
            <w:vAlign w:val="center"/>
          </w:tcPr>
          <w:p w14:paraId="4CEACFBF" w14:textId="23B9E566" w:rsidR="00CD75A3" w:rsidRDefault="00CD75A3" w:rsidP="00CD75A3">
            <w:r>
              <w:t>0.0066</w:t>
            </w:r>
          </w:p>
        </w:tc>
        <w:tc>
          <w:tcPr>
            <w:tcW w:w="2338" w:type="dxa"/>
            <w:vAlign w:val="center"/>
          </w:tcPr>
          <w:p w14:paraId="6730BDE8" w14:textId="2DA24A61" w:rsidR="00CD75A3" w:rsidRDefault="00CD75A3" w:rsidP="00CD75A3">
            <w:r>
              <w:t>0.0070</w:t>
            </w:r>
          </w:p>
        </w:tc>
      </w:tr>
      <w:tr w:rsidR="00CD75A3" w14:paraId="74C61E5C" w14:textId="77777777" w:rsidTr="001D2592">
        <w:tc>
          <w:tcPr>
            <w:tcW w:w="2337" w:type="dxa"/>
            <w:vAlign w:val="center"/>
          </w:tcPr>
          <w:p w14:paraId="1462369D" w14:textId="460C3A4A" w:rsidR="00CD75A3" w:rsidRDefault="00CD75A3" w:rsidP="00CD75A3">
            <w:proofErr w:type="spellStart"/>
            <w:r>
              <w:rPr>
                <w:rStyle w:val="HTMLCode"/>
                <w:rFonts w:eastAsiaTheme="majorEastAsia"/>
              </w:rPr>
              <w:t>social_ideology</w:t>
            </w:r>
            <w:proofErr w:type="spellEnd"/>
          </w:p>
        </w:tc>
        <w:tc>
          <w:tcPr>
            <w:tcW w:w="2337" w:type="dxa"/>
            <w:vAlign w:val="center"/>
          </w:tcPr>
          <w:p w14:paraId="16D5D897" w14:textId="5E24F48F" w:rsidR="00CD75A3" w:rsidRDefault="00CD75A3" w:rsidP="00CD75A3">
            <w:r>
              <w:t>0.0036</w:t>
            </w:r>
          </w:p>
        </w:tc>
        <w:tc>
          <w:tcPr>
            <w:tcW w:w="2338" w:type="dxa"/>
            <w:vAlign w:val="center"/>
          </w:tcPr>
          <w:p w14:paraId="24E2CB22" w14:textId="4AC6FD52" w:rsidR="00CD75A3" w:rsidRDefault="00CD75A3" w:rsidP="00CD75A3">
            <w:r>
              <w:t>0.0033</w:t>
            </w:r>
          </w:p>
        </w:tc>
        <w:tc>
          <w:tcPr>
            <w:tcW w:w="2338" w:type="dxa"/>
            <w:vAlign w:val="center"/>
          </w:tcPr>
          <w:p w14:paraId="2B97AC9F" w14:textId="4EF117CB" w:rsidR="00CD75A3" w:rsidRDefault="00CD75A3" w:rsidP="00CD75A3">
            <w:r>
              <w:t>0.0036</w:t>
            </w:r>
          </w:p>
        </w:tc>
      </w:tr>
    </w:tbl>
    <w:p w14:paraId="72A9442B" w14:textId="77777777" w:rsidR="000B34E6" w:rsidRDefault="000B34E6" w:rsidP="008174A7"/>
    <w:p w14:paraId="05B6BA94" w14:textId="280D15A4" w:rsidR="008174A7" w:rsidRDefault="008174A7" w:rsidP="008174A7">
      <w:r>
        <w:t>Model A: how do impacted (direct, proximal, victim) and/vs non-impact view criminal justice policy (more/less)</w:t>
      </w:r>
    </w:p>
    <w:p w14:paraId="4E206528" w14:textId="77777777" w:rsidR="008174A7" w:rsidRDefault="008174A7" w:rsidP="008174A7">
      <w:pPr>
        <w:pStyle w:val="ListParagraph"/>
        <w:numPr>
          <w:ilvl w:val="0"/>
          <w:numId w:val="4"/>
        </w:numPr>
      </w:pPr>
      <w:r>
        <w:t>1</w:t>
      </w:r>
      <w:r w:rsidRPr="00D71D5B">
        <w:rPr>
          <w:vertAlign w:val="superscript"/>
        </w:rPr>
        <w:t>st</w:t>
      </w:r>
      <w:r>
        <w:t xml:space="preserve"> IVs: impacted (all 3) vs non impacted</w:t>
      </w:r>
    </w:p>
    <w:p w14:paraId="4BD57B82" w14:textId="77777777" w:rsidR="008174A7" w:rsidRDefault="008174A7" w:rsidP="008174A7">
      <w:pPr>
        <w:pStyle w:val="ListParagraph"/>
        <w:numPr>
          <w:ilvl w:val="0"/>
          <w:numId w:val="4"/>
        </w:numPr>
      </w:pPr>
      <w:r>
        <w:t>DVs: 7 policy preferences loaded together</w:t>
      </w:r>
    </w:p>
    <w:p w14:paraId="57F00B1C" w14:textId="77777777" w:rsidR="008174A7" w:rsidRDefault="008174A7" w:rsidP="008174A7">
      <w:pPr>
        <w:pStyle w:val="ListParagraph"/>
        <w:numPr>
          <w:ilvl w:val="1"/>
          <w:numId w:val="4"/>
        </w:numPr>
      </w:pPr>
      <w:r>
        <w:t>Policy 1</w:t>
      </w:r>
    </w:p>
    <w:p w14:paraId="2EE705B1" w14:textId="77777777" w:rsidR="008174A7" w:rsidRDefault="008174A7" w:rsidP="008174A7">
      <w:pPr>
        <w:pStyle w:val="ListParagraph"/>
        <w:numPr>
          <w:ilvl w:val="1"/>
          <w:numId w:val="4"/>
        </w:numPr>
      </w:pPr>
      <w:r>
        <w:t>Policy 2</w:t>
      </w:r>
    </w:p>
    <w:p w14:paraId="6FD22CF1" w14:textId="77777777" w:rsidR="008174A7" w:rsidRDefault="008174A7" w:rsidP="008174A7">
      <w:pPr>
        <w:pStyle w:val="ListParagraph"/>
        <w:numPr>
          <w:ilvl w:val="1"/>
          <w:numId w:val="4"/>
        </w:numPr>
      </w:pPr>
      <w:r>
        <w:t>Policy 3</w:t>
      </w:r>
    </w:p>
    <w:p w14:paraId="6D130AFD" w14:textId="77777777" w:rsidR="008174A7" w:rsidRDefault="008174A7" w:rsidP="008174A7">
      <w:pPr>
        <w:pStyle w:val="ListParagraph"/>
        <w:numPr>
          <w:ilvl w:val="1"/>
          <w:numId w:val="4"/>
        </w:numPr>
      </w:pPr>
      <w:r>
        <w:t>Policy 4</w:t>
      </w:r>
    </w:p>
    <w:p w14:paraId="0E998C44" w14:textId="77777777" w:rsidR="008174A7" w:rsidRDefault="008174A7" w:rsidP="008174A7">
      <w:pPr>
        <w:pStyle w:val="ListParagraph"/>
        <w:numPr>
          <w:ilvl w:val="1"/>
          <w:numId w:val="4"/>
        </w:numPr>
      </w:pPr>
      <w:r>
        <w:t>Policy 5</w:t>
      </w:r>
    </w:p>
    <w:p w14:paraId="33A6C606" w14:textId="77777777" w:rsidR="008174A7" w:rsidRDefault="008174A7" w:rsidP="008174A7">
      <w:pPr>
        <w:pStyle w:val="ListParagraph"/>
        <w:numPr>
          <w:ilvl w:val="1"/>
          <w:numId w:val="4"/>
        </w:numPr>
      </w:pPr>
      <w:r>
        <w:t>Policy 6</w:t>
      </w:r>
    </w:p>
    <w:p w14:paraId="2007AC4C" w14:textId="77777777" w:rsidR="008174A7" w:rsidRDefault="008174A7" w:rsidP="008174A7">
      <w:pPr>
        <w:pStyle w:val="ListParagraph"/>
        <w:numPr>
          <w:ilvl w:val="1"/>
          <w:numId w:val="4"/>
        </w:numPr>
      </w:pPr>
      <w:r>
        <w:t>Policy 7</w:t>
      </w:r>
    </w:p>
    <w:p w14:paraId="6169AA76" w14:textId="77777777" w:rsidR="008174A7" w:rsidRDefault="008174A7" w:rsidP="008174A7">
      <w:r>
        <w:t xml:space="preserve">Table A: </w:t>
      </w:r>
    </w:p>
    <w:tbl>
      <w:tblPr>
        <w:tblStyle w:val="TableGrid"/>
        <w:tblW w:w="0" w:type="auto"/>
        <w:tblLook w:val="04A0" w:firstRow="1" w:lastRow="0" w:firstColumn="1" w:lastColumn="0" w:noHBand="0" w:noVBand="1"/>
      </w:tblPr>
      <w:tblGrid>
        <w:gridCol w:w="3116"/>
        <w:gridCol w:w="3117"/>
        <w:gridCol w:w="3117"/>
      </w:tblGrid>
      <w:tr w:rsidR="008174A7" w14:paraId="3379B8C9" w14:textId="77777777" w:rsidTr="00BF345A">
        <w:tc>
          <w:tcPr>
            <w:tcW w:w="3116" w:type="dxa"/>
          </w:tcPr>
          <w:p w14:paraId="2DBD5C51" w14:textId="77777777" w:rsidR="008174A7" w:rsidRDefault="008174A7" w:rsidP="00BF345A"/>
        </w:tc>
        <w:tc>
          <w:tcPr>
            <w:tcW w:w="3117" w:type="dxa"/>
          </w:tcPr>
          <w:p w14:paraId="548B5509" w14:textId="77777777" w:rsidR="008174A7" w:rsidRDefault="008174A7" w:rsidP="00BF345A">
            <w:r>
              <w:t>Not Impacted</w:t>
            </w:r>
          </w:p>
        </w:tc>
        <w:tc>
          <w:tcPr>
            <w:tcW w:w="3117" w:type="dxa"/>
          </w:tcPr>
          <w:p w14:paraId="004A0A4C" w14:textId="77777777" w:rsidR="008174A7" w:rsidRDefault="008174A7" w:rsidP="00BF345A">
            <w:r>
              <w:t>Impacted</w:t>
            </w:r>
          </w:p>
        </w:tc>
      </w:tr>
      <w:tr w:rsidR="008174A7" w14:paraId="78385130" w14:textId="77777777" w:rsidTr="00BF345A">
        <w:tc>
          <w:tcPr>
            <w:tcW w:w="3116" w:type="dxa"/>
          </w:tcPr>
          <w:p w14:paraId="5FB2D32E" w14:textId="77777777" w:rsidR="008174A7" w:rsidRDefault="008174A7" w:rsidP="00BF345A">
            <w:r>
              <w:t>Policy 1</w:t>
            </w:r>
          </w:p>
        </w:tc>
        <w:tc>
          <w:tcPr>
            <w:tcW w:w="3117" w:type="dxa"/>
          </w:tcPr>
          <w:p w14:paraId="6A5C83F8" w14:textId="77777777" w:rsidR="008174A7" w:rsidRDefault="008174A7" w:rsidP="00BF345A">
            <w:r>
              <w:t>*</w:t>
            </w:r>
            <w:proofErr w:type="gramStart"/>
            <w:r>
              <w:t>mean</w:t>
            </w:r>
            <w:proofErr w:type="gramEnd"/>
            <w:r>
              <w:t>, or % agree</w:t>
            </w:r>
          </w:p>
        </w:tc>
        <w:tc>
          <w:tcPr>
            <w:tcW w:w="3117" w:type="dxa"/>
          </w:tcPr>
          <w:p w14:paraId="7A3FAF63" w14:textId="77777777" w:rsidR="008174A7" w:rsidRDefault="008174A7" w:rsidP="00BF345A">
            <w:r>
              <w:t>* +/- away from not impacted, with a t-test for statistical significance</w:t>
            </w:r>
          </w:p>
        </w:tc>
      </w:tr>
      <w:tr w:rsidR="008174A7" w14:paraId="6417FBD1" w14:textId="77777777" w:rsidTr="00BF345A">
        <w:tc>
          <w:tcPr>
            <w:tcW w:w="3116" w:type="dxa"/>
          </w:tcPr>
          <w:p w14:paraId="238F91C1" w14:textId="77777777" w:rsidR="008174A7" w:rsidRDefault="008174A7" w:rsidP="00BF345A">
            <w:r>
              <w:t>Policy 2</w:t>
            </w:r>
          </w:p>
        </w:tc>
        <w:tc>
          <w:tcPr>
            <w:tcW w:w="3117" w:type="dxa"/>
          </w:tcPr>
          <w:p w14:paraId="55D76191" w14:textId="77777777" w:rsidR="008174A7" w:rsidRDefault="008174A7" w:rsidP="00BF345A"/>
        </w:tc>
        <w:tc>
          <w:tcPr>
            <w:tcW w:w="3117" w:type="dxa"/>
          </w:tcPr>
          <w:p w14:paraId="42C6EA51" w14:textId="77777777" w:rsidR="008174A7" w:rsidRDefault="008174A7" w:rsidP="00BF345A"/>
        </w:tc>
      </w:tr>
      <w:tr w:rsidR="008174A7" w14:paraId="39395E3E" w14:textId="77777777" w:rsidTr="00BF345A">
        <w:tc>
          <w:tcPr>
            <w:tcW w:w="3116" w:type="dxa"/>
          </w:tcPr>
          <w:p w14:paraId="07246B54" w14:textId="77777777" w:rsidR="008174A7" w:rsidRDefault="008174A7" w:rsidP="00BF345A">
            <w:r>
              <w:t>Policy 3</w:t>
            </w:r>
          </w:p>
        </w:tc>
        <w:tc>
          <w:tcPr>
            <w:tcW w:w="3117" w:type="dxa"/>
          </w:tcPr>
          <w:p w14:paraId="1B36264C" w14:textId="77777777" w:rsidR="008174A7" w:rsidRDefault="008174A7" w:rsidP="00BF345A"/>
        </w:tc>
        <w:tc>
          <w:tcPr>
            <w:tcW w:w="3117" w:type="dxa"/>
          </w:tcPr>
          <w:p w14:paraId="0767EE9B" w14:textId="77777777" w:rsidR="008174A7" w:rsidRDefault="008174A7" w:rsidP="00BF345A"/>
        </w:tc>
      </w:tr>
      <w:tr w:rsidR="008174A7" w14:paraId="3A76637E" w14:textId="77777777" w:rsidTr="00BF345A">
        <w:tc>
          <w:tcPr>
            <w:tcW w:w="3116" w:type="dxa"/>
          </w:tcPr>
          <w:p w14:paraId="68E13142" w14:textId="77777777" w:rsidR="008174A7" w:rsidRDefault="008174A7" w:rsidP="00BF345A">
            <w:r>
              <w:t>Policy 4</w:t>
            </w:r>
          </w:p>
        </w:tc>
        <w:tc>
          <w:tcPr>
            <w:tcW w:w="3117" w:type="dxa"/>
          </w:tcPr>
          <w:p w14:paraId="222BAEC9" w14:textId="77777777" w:rsidR="008174A7" w:rsidRDefault="008174A7" w:rsidP="00BF345A"/>
        </w:tc>
        <w:tc>
          <w:tcPr>
            <w:tcW w:w="3117" w:type="dxa"/>
          </w:tcPr>
          <w:p w14:paraId="00DD0786" w14:textId="77777777" w:rsidR="008174A7" w:rsidRDefault="008174A7" w:rsidP="00BF345A"/>
        </w:tc>
      </w:tr>
      <w:tr w:rsidR="008174A7" w14:paraId="3C6FFA11" w14:textId="77777777" w:rsidTr="00BF345A">
        <w:tc>
          <w:tcPr>
            <w:tcW w:w="3116" w:type="dxa"/>
          </w:tcPr>
          <w:p w14:paraId="6AD39B02" w14:textId="77777777" w:rsidR="008174A7" w:rsidRDefault="008174A7" w:rsidP="00BF345A">
            <w:r>
              <w:t>Policy 5</w:t>
            </w:r>
          </w:p>
        </w:tc>
        <w:tc>
          <w:tcPr>
            <w:tcW w:w="3117" w:type="dxa"/>
          </w:tcPr>
          <w:p w14:paraId="52EE96E8" w14:textId="77777777" w:rsidR="008174A7" w:rsidRDefault="008174A7" w:rsidP="00BF345A"/>
        </w:tc>
        <w:tc>
          <w:tcPr>
            <w:tcW w:w="3117" w:type="dxa"/>
          </w:tcPr>
          <w:p w14:paraId="262033CD" w14:textId="77777777" w:rsidR="008174A7" w:rsidRDefault="008174A7" w:rsidP="00BF345A"/>
        </w:tc>
      </w:tr>
      <w:tr w:rsidR="008174A7" w14:paraId="18095824" w14:textId="77777777" w:rsidTr="00BF345A">
        <w:tc>
          <w:tcPr>
            <w:tcW w:w="3116" w:type="dxa"/>
          </w:tcPr>
          <w:p w14:paraId="2ED939AA" w14:textId="77777777" w:rsidR="008174A7" w:rsidRDefault="008174A7" w:rsidP="00BF345A">
            <w:r>
              <w:t>Policy 6</w:t>
            </w:r>
          </w:p>
        </w:tc>
        <w:tc>
          <w:tcPr>
            <w:tcW w:w="3117" w:type="dxa"/>
          </w:tcPr>
          <w:p w14:paraId="5E860047" w14:textId="77777777" w:rsidR="008174A7" w:rsidRDefault="008174A7" w:rsidP="00BF345A"/>
        </w:tc>
        <w:tc>
          <w:tcPr>
            <w:tcW w:w="3117" w:type="dxa"/>
          </w:tcPr>
          <w:p w14:paraId="55C5959C" w14:textId="77777777" w:rsidR="008174A7" w:rsidRDefault="008174A7" w:rsidP="00BF345A"/>
        </w:tc>
      </w:tr>
      <w:tr w:rsidR="008174A7" w14:paraId="5363DE0B" w14:textId="77777777" w:rsidTr="00BF345A">
        <w:tc>
          <w:tcPr>
            <w:tcW w:w="3116" w:type="dxa"/>
          </w:tcPr>
          <w:p w14:paraId="39872815" w14:textId="77777777" w:rsidR="008174A7" w:rsidRDefault="008174A7" w:rsidP="00BF345A">
            <w:r>
              <w:t>Policy 7</w:t>
            </w:r>
          </w:p>
        </w:tc>
        <w:tc>
          <w:tcPr>
            <w:tcW w:w="3117" w:type="dxa"/>
          </w:tcPr>
          <w:p w14:paraId="111980A7" w14:textId="77777777" w:rsidR="008174A7" w:rsidRDefault="008174A7" w:rsidP="00BF345A"/>
        </w:tc>
        <w:tc>
          <w:tcPr>
            <w:tcW w:w="3117" w:type="dxa"/>
          </w:tcPr>
          <w:p w14:paraId="1A694409" w14:textId="77777777" w:rsidR="008174A7" w:rsidRDefault="008174A7" w:rsidP="00BF345A"/>
        </w:tc>
      </w:tr>
      <w:tr w:rsidR="008174A7" w14:paraId="565A74FC" w14:textId="77777777" w:rsidTr="00BF345A">
        <w:tc>
          <w:tcPr>
            <w:tcW w:w="3116" w:type="dxa"/>
          </w:tcPr>
          <w:p w14:paraId="394A1E7E" w14:textId="77777777" w:rsidR="008174A7" w:rsidRDefault="008174A7" w:rsidP="00BF345A">
            <w:r>
              <w:t>N</w:t>
            </w:r>
          </w:p>
        </w:tc>
        <w:tc>
          <w:tcPr>
            <w:tcW w:w="3117" w:type="dxa"/>
          </w:tcPr>
          <w:p w14:paraId="6B80A116" w14:textId="77777777" w:rsidR="008174A7" w:rsidRDefault="008174A7" w:rsidP="00BF345A"/>
        </w:tc>
        <w:tc>
          <w:tcPr>
            <w:tcW w:w="3117" w:type="dxa"/>
          </w:tcPr>
          <w:p w14:paraId="40B0B69D" w14:textId="77777777" w:rsidR="008174A7" w:rsidRDefault="008174A7" w:rsidP="00BF345A"/>
        </w:tc>
      </w:tr>
    </w:tbl>
    <w:p w14:paraId="6746BA1E" w14:textId="77777777" w:rsidR="008174A7" w:rsidRDefault="008174A7" w:rsidP="008174A7"/>
    <w:p w14:paraId="1F5EF12F" w14:textId="77777777" w:rsidR="008174A7" w:rsidRDefault="008174A7" w:rsidP="008174A7">
      <w:r>
        <w:t>But. . .  groups differ in other meaningful ways (possible note of endogeneity problems)</w:t>
      </w:r>
    </w:p>
    <w:p w14:paraId="18575B36" w14:textId="77777777" w:rsidR="008174A7" w:rsidRDefault="008174A7" w:rsidP="008174A7">
      <w:r>
        <w:t xml:space="preserve">^repeat for </w:t>
      </w:r>
      <w:proofErr w:type="spellStart"/>
      <w:r>
        <w:t>dif</w:t>
      </w:r>
      <w:proofErr w:type="spellEnd"/>
      <w:r>
        <w:t xml:space="preserve"> impact types</w:t>
      </w:r>
    </w:p>
    <w:p w14:paraId="6A52F6DD" w14:textId="77777777" w:rsidR="008174A7" w:rsidRDefault="008174A7" w:rsidP="008174A7">
      <w:r>
        <w:t>Model 2</w:t>
      </w:r>
    </w:p>
    <w:p w14:paraId="0BD56ABC" w14:textId="77777777" w:rsidR="008174A7" w:rsidRDefault="008174A7" w:rsidP="008174A7"/>
    <w:p w14:paraId="156C57BC" w14:textId="77777777" w:rsidR="008174A7" w:rsidRDefault="008174A7" w:rsidP="008174A7">
      <w:r>
        <w:t>Table 2</w:t>
      </w:r>
    </w:p>
    <w:p w14:paraId="786E8BEE" w14:textId="77777777" w:rsidR="008174A7" w:rsidRDefault="008174A7" w:rsidP="008174A7">
      <w:r>
        <w:t>(maybe</w:t>
      </w:r>
      <w:proofErr w:type="gramStart"/>
      <w:r>
        <w:t>: )</w:t>
      </w:r>
      <w:proofErr w:type="gramEnd"/>
    </w:p>
    <w:tbl>
      <w:tblPr>
        <w:tblStyle w:val="TableGrid"/>
        <w:tblW w:w="0" w:type="auto"/>
        <w:tblLook w:val="04A0" w:firstRow="1" w:lastRow="0" w:firstColumn="1" w:lastColumn="0" w:noHBand="0" w:noVBand="1"/>
      </w:tblPr>
      <w:tblGrid>
        <w:gridCol w:w="2337"/>
        <w:gridCol w:w="2337"/>
        <w:gridCol w:w="2338"/>
        <w:gridCol w:w="2338"/>
      </w:tblGrid>
      <w:tr w:rsidR="008174A7" w14:paraId="7D273029" w14:textId="77777777" w:rsidTr="00BF345A">
        <w:tc>
          <w:tcPr>
            <w:tcW w:w="2337" w:type="dxa"/>
          </w:tcPr>
          <w:p w14:paraId="43FB11FC" w14:textId="77777777" w:rsidR="008174A7" w:rsidRDefault="008174A7" w:rsidP="00BF345A"/>
        </w:tc>
        <w:tc>
          <w:tcPr>
            <w:tcW w:w="2337" w:type="dxa"/>
          </w:tcPr>
          <w:p w14:paraId="11EDD960" w14:textId="77777777" w:rsidR="008174A7" w:rsidRDefault="008174A7" w:rsidP="00BF345A">
            <w:r>
              <w:t>Model 1, DV Policy 1</w:t>
            </w:r>
          </w:p>
        </w:tc>
        <w:tc>
          <w:tcPr>
            <w:tcW w:w="2338" w:type="dxa"/>
          </w:tcPr>
          <w:p w14:paraId="6CB8EFC5" w14:textId="77777777" w:rsidR="008174A7" w:rsidRDefault="008174A7" w:rsidP="00BF345A">
            <w:r>
              <w:t>Model 2, DV policy 2</w:t>
            </w:r>
          </w:p>
        </w:tc>
        <w:tc>
          <w:tcPr>
            <w:tcW w:w="2338" w:type="dxa"/>
          </w:tcPr>
          <w:p w14:paraId="0DD345BE" w14:textId="77777777" w:rsidR="008174A7" w:rsidRDefault="008174A7" w:rsidP="00BF345A">
            <w:proofErr w:type="spellStart"/>
            <w:r>
              <w:t>etc</w:t>
            </w:r>
            <w:proofErr w:type="spellEnd"/>
          </w:p>
        </w:tc>
      </w:tr>
      <w:tr w:rsidR="008174A7" w14:paraId="01BF5F2A" w14:textId="77777777" w:rsidTr="00BF345A">
        <w:tc>
          <w:tcPr>
            <w:tcW w:w="2337" w:type="dxa"/>
          </w:tcPr>
          <w:p w14:paraId="636F8031" w14:textId="77777777" w:rsidR="008174A7" w:rsidRDefault="008174A7" w:rsidP="00BF345A">
            <w:r>
              <w:t>IV – justice impacted</w:t>
            </w:r>
          </w:p>
        </w:tc>
        <w:tc>
          <w:tcPr>
            <w:tcW w:w="2337" w:type="dxa"/>
          </w:tcPr>
          <w:p w14:paraId="4795B5D6" w14:textId="77777777" w:rsidR="008174A7" w:rsidRDefault="008174A7" w:rsidP="00BF345A"/>
        </w:tc>
        <w:tc>
          <w:tcPr>
            <w:tcW w:w="2338" w:type="dxa"/>
          </w:tcPr>
          <w:p w14:paraId="556DAB02" w14:textId="77777777" w:rsidR="008174A7" w:rsidRDefault="008174A7" w:rsidP="00BF345A"/>
        </w:tc>
        <w:tc>
          <w:tcPr>
            <w:tcW w:w="2338" w:type="dxa"/>
          </w:tcPr>
          <w:p w14:paraId="6B464484" w14:textId="77777777" w:rsidR="008174A7" w:rsidRDefault="008174A7" w:rsidP="00BF345A"/>
        </w:tc>
      </w:tr>
      <w:tr w:rsidR="008174A7" w14:paraId="71D91DAD" w14:textId="77777777" w:rsidTr="00BF345A">
        <w:tc>
          <w:tcPr>
            <w:tcW w:w="2337" w:type="dxa"/>
          </w:tcPr>
          <w:p w14:paraId="25B26E41" w14:textId="77777777" w:rsidR="008174A7" w:rsidRDefault="008174A7" w:rsidP="00BF345A">
            <w:r>
              <w:t xml:space="preserve">Edu, </w:t>
            </w:r>
            <w:proofErr w:type="spellStart"/>
            <w:r>
              <w:t>inc</w:t>
            </w:r>
            <w:proofErr w:type="spellEnd"/>
            <w:r>
              <w:t xml:space="preserve">, gender, race, </w:t>
            </w:r>
            <w:proofErr w:type="spellStart"/>
            <w:r>
              <w:t>etc</w:t>
            </w:r>
            <w:proofErr w:type="spellEnd"/>
          </w:p>
        </w:tc>
        <w:tc>
          <w:tcPr>
            <w:tcW w:w="2337" w:type="dxa"/>
          </w:tcPr>
          <w:p w14:paraId="493C7C98" w14:textId="77777777" w:rsidR="008174A7" w:rsidRDefault="008174A7" w:rsidP="00BF345A"/>
        </w:tc>
        <w:tc>
          <w:tcPr>
            <w:tcW w:w="2338" w:type="dxa"/>
          </w:tcPr>
          <w:p w14:paraId="3084C0EA" w14:textId="77777777" w:rsidR="008174A7" w:rsidRDefault="008174A7" w:rsidP="00BF345A"/>
        </w:tc>
        <w:tc>
          <w:tcPr>
            <w:tcW w:w="2338" w:type="dxa"/>
          </w:tcPr>
          <w:p w14:paraId="6FE9A7D9" w14:textId="77777777" w:rsidR="008174A7" w:rsidRDefault="008174A7" w:rsidP="00BF345A"/>
        </w:tc>
      </w:tr>
      <w:tr w:rsidR="008174A7" w14:paraId="6B405176" w14:textId="77777777" w:rsidTr="00BF345A">
        <w:tc>
          <w:tcPr>
            <w:tcW w:w="2337" w:type="dxa"/>
          </w:tcPr>
          <w:p w14:paraId="31545AA1" w14:textId="77777777" w:rsidR="008174A7" w:rsidRDefault="008174A7" w:rsidP="00BF345A"/>
        </w:tc>
        <w:tc>
          <w:tcPr>
            <w:tcW w:w="2337" w:type="dxa"/>
          </w:tcPr>
          <w:p w14:paraId="0C2591CE" w14:textId="77777777" w:rsidR="008174A7" w:rsidRDefault="008174A7" w:rsidP="00BF345A"/>
        </w:tc>
        <w:tc>
          <w:tcPr>
            <w:tcW w:w="2338" w:type="dxa"/>
          </w:tcPr>
          <w:p w14:paraId="185751F9" w14:textId="77777777" w:rsidR="008174A7" w:rsidRDefault="008174A7" w:rsidP="00BF345A"/>
        </w:tc>
        <w:tc>
          <w:tcPr>
            <w:tcW w:w="2338" w:type="dxa"/>
          </w:tcPr>
          <w:p w14:paraId="68F07188" w14:textId="77777777" w:rsidR="008174A7" w:rsidRDefault="008174A7" w:rsidP="00BF345A"/>
        </w:tc>
      </w:tr>
    </w:tbl>
    <w:p w14:paraId="1D81FAA7" w14:textId="77777777" w:rsidR="008174A7" w:rsidRDefault="008174A7" w:rsidP="008174A7"/>
    <w:p w14:paraId="1E79A9F8" w14:textId="77777777" w:rsidR="008174A7" w:rsidRDefault="008174A7" w:rsidP="008174A7">
      <w:r>
        <w:t xml:space="preserve">(or: make an index of preferences, and predict that) </w:t>
      </w:r>
    </w:p>
    <w:p w14:paraId="3C7A45A4" w14:textId="77777777" w:rsidR="008174A7" w:rsidRDefault="008174A7" w:rsidP="008174A7">
      <w:r>
        <w:t xml:space="preserve">^repeat for </w:t>
      </w:r>
      <w:proofErr w:type="spellStart"/>
      <w:r>
        <w:t>dif</w:t>
      </w:r>
      <w:proofErr w:type="spellEnd"/>
      <w:r>
        <w:t xml:space="preserve"> impact types</w:t>
      </w:r>
    </w:p>
    <w:p w14:paraId="39CE8769" w14:textId="77777777" w:rsidR="008174A7" w:rsidRDefault="008174A7" w:rsidP="008174A7"/>
    <w:p w14:paraId="432D9106" w14:textId="77777777" w:rsidR="008174A7" w:rsidRDefault="008174A7" w:rsidP="008174A7">
      <w:r>
        <w:t>Model N</w:t>
      </w:r>
    </w:p>
    <w:p w14:paraId="462170C4" w14:textId="77777777" w:rsidR="008174A7" w:rsidRDefault="008174A7" w:rsidP="008174A7">
      <w:r>
        <w:t xml:space="preserve">DV: Deservingness Scores – treating as straight up measure of whether impacted v. non </w:t>
      </w:r>
      <w:proofErr w:type="gramStart"/>
      <w:r>
        <w:t>are</w:t>
      </w:r>
      <w:proofErr w:type="gramEnd"/>
      <w:r>
        <w:t xml:space="preserve"> different</w:t>
      </w:r>
    </w:p>
    <w:p w14:paraId="0BEFE407" w14:textId="77777777" w:rsidR="008174A7" w:rsidRDefault="008174A7" w:rsidP="008174A7"/>
    <w:p w14:paraId="0D0B8556" w14:textId="77777777" w:rsidR="008174A7" w:rsidRDefault="008174A7" w:rsidP="008174A7">
      <w:r>
        <w:t>Table 3</w:t>
      </w:r>
    </w:p>
    <w:p w14:paraId="0E06EED7" w14:textId="77777777" w:rsidR="008174A7" w:rsidRDefault="008174A7" w:rsidP="008174A7"/>
    <w:p w14:paraId="3B05633B" w14:textId="77777777" w:rsidR="008174A7" w:rsidRPr="00EF1A05" w:rsidRDefault="008174A7" w:rsidP="008174A7">
      <w:r>
        <w:t xml:space="preserve">Section: Discussion, outlines of potential/intended uses of Allison &amp; Mackenzie’s data on carceral state contact &amp; views of the state. </w:t>
      </w:r>
    </w:p>
    <w:p w14:paraId="53D87900" w14:textId="77777777" w:rsidR="008174A7" w:rsidRDefault="008174A7" w:rsidP="008174A7"/>
    <w:p w14:paraId="39D7A37A" w14:textId="77777777" w:rsidR="008174A7" w:rsidRDefault="008174A7" w:rsidP="008174A7"/>
    <w:p w14:paraId="30A8143B" w14:textId="279BDF4F" w:rsidR="00791109" w:rsidRPr="00EF1A05" w:rsidRDefault="008174A7" w:rsidP="00791109">
      <w:pPr>
        <w:pStyle w:val="ListParagraph"/>
        <w:numPr>
          <w:ilvl w:val="0"/>
          <w:numId w:val="1"/>
        </w:numPr>
      </w:pPr>
      <w:bookmarkStart w:id="1" w:name="_Toc220591739"/>
      <w:r>
        <w:t xml:space="preserve"> </w:t>
      </w:r>
      <w:r w:rsidR="00791109">
        <w:rPr>
          <w:i/>
          <w:iCs/>
        </w:rPr>
        <w:t>Descriptive representation is conceived of as important in these special cases because ____</w:t>
      </w:r>
    </w:p>
    <w:p w14:paraId="683E1DBC" w14:textId="77777777" w:rsidR="00791109" w:rsidRDefault="00791109" w:rsidP="00791109">
      <w:pPr>
        <w:pStyle w:val="ListParagraph"/>
        <w:numPr>
          <w:ilvl w:val="0"/>
          <w:numId w:val="1"/>
        </w:numPr>
      </w:pPr>
      <w:r>
        <w:t>Moreover, as establish in the theory section, there is reason to believe carceral constituencies constitute not only one of Mansbridge’s special cases, but also a case where descriptive representation takes on import because carceral constituencies experience a systemic epistemic injustice.</w:t>
      </w:r>
    </w:p>
    <w:p w14:paraId="529FDE43" w14:textId="7B402E53" w:rsidR="00E465B8" w:rsidRDefault="00791109" w:rsidP="00791109">
      <w:pPr>
        <w:pStyle w:val="ListParagraph"/>
        <w:numPr>
          <w:ilvl w:val="0"/>
          <w:numId w:val="1"/>
        </w:numPr>
      </w:pPr>
      <w:r>
        <w:t xml:space="preserve">Weaver, Piston, Prowse, for example, find empirical evidence that impacted people </w:t>
      </w:r>
      <w:proofErr w:type="gramStart"/>
      <w:r>
        <w:t>actually understand</w:t>
      </w:r>
      <w:proofErr w:type="gramEnd"/>
      <w:r>
        <w:t xml:space="preserve"> this, and it constitutes part of their distinct epistemology: </w:t>
      </w:r>
      <w:r w:rsidRPr="00EF1A05">
        <w:t>". . . Challenge "official" story lines that tell then "you don't see</w:t>
      </w:r>
    </w:p>
    <w:p w14:paraId="589BA3CA" w14:textId="2E1A981A" w:rsidR="00E465B8" w:rsidRDefault="00E465B8" w:rsidP="00E465B8">
      <w:r>
        <w:t>1</w:t>
      </w:r>
      <w:r w:rsidRPr="00E465B8">
        <w:rPr>
          <w:vertAlign w:val="superscript"/>
        </w:rPr>
        <w:t>st</w:t>
      </w:r>
    </w:p>
    <w:p w14:paraId="2166D2BC" w14:textId="211D670C" w:rsidR="00AF2998" w:rsidRDefault="00E465B8" w:rsidP="00E465B8">
      <w:r>
        <w:t xml:space="preserve">Traditional responsiveness models (Pitkin 1967) </w:t>
      </w:r>
      <w:r w:rsidR="00AF2998">
        <w:t>justify their attention to whether legislators respond to constituent preferences</w:t>
      </w:r>
      <w:r w:rsidR="00846FB6">
        <w:t xml:space="preserve"> for X reasons. One is that, according to Pitkin, discrete preferences don’t aggregate into actionable interests without action on the part of representatives – a point Disch takes up to argue that legislators actively construct constituencies and shape preferences/interests rather than just responding to them (Mansbridge’s anticipatory model requires representing interests that “have not yet taken shape”). These moves, however, (maybe except for </w:t>
      </w:r>
      <w:proofErr w:type="spellStart"/>
      <w:r w:rsidR="00846FB6">
        <w:t>disch</w:t>
      </w:r>
      <w:proofErr w:type="spellEnd"/>
      <w:r w:rsidR="00846FB6">
        <w:t xml:space="preserve">), continue to underestimate the role that interactions with the state and particularly its “second face,” or coercive institutions (Soss and Weaver) generate political knowledge and orientations among populations. </w:t>
      </w:r>
    </w:p>
    <w:p w14:paraId="287996BB" w14:textId="1438E772" w:rsidR="00846FB6" w:rsidRDefault="00846FB6" w:rsidP="00E465B8">
      <w:r>
        <w:t xml:space="preserve">Disch, WPP, Fricker, and policy feedback show that interactions with the carceral state shape preferences beyond constructing constituencies through rhetoric. Rather, it produces knowledge through coercion and lived, involuntary </w:t>
      </w:r>
      <w:proofErr w:type="spellStart"/>
      <w:r>
        <w:t xml:space="preserve">encounters </w:t>
      </w:r>
      <w:proofErr w:type="spellEnd"/>
      <w:r>
        <w:t>with state power – not persuasion, education, or manipulation (Mansbridge’s categories). In this chapter, I begin by XYZ [preferences] [preferences that may be discounted when the same identity prejudices that subject communities to carceral state contact also functions to deflate the credibility of its political knowledge, that contact produces. Ie, understanding to which the epistemic political economy responds to or (ex)(in)</w:t>
      </w:r>
      <w:proofErr w:type="spellStart"/>
      <w:r>
        <w:t>cludes</w:t>
      </w:r>
      <w:proofErr w:type="spellEnd"/>
      <w:r>
        <w:t xml:space="preserve"> knowledge requires examining the degree to which the state produces it (experiential knowledge). </w:t>
      </w:r>
    </w:p>
    <w:p w14:paraId="1D44FF5D" w14:textId="77777777" w:rsidR="00846FB6" w:rsidRDefault="00846FB6" w:rsidP="00E465B8"/>
    <w:p w14:paraId="70357470" w14:textId="3EA946EC" w:rsidR="001B6149" w:rsidRDefault="001B6149" w:rsidP="001B6149">
      <w:pPr>
        <w:pStyle w:val="ListParagraph"/>
        <w:numPr>
          <w:ilvl w:val="0"/>
          <w:numId w:val="3"/>
        </w:numPr>
      </w:pPr>
      <w:r>
        <w:t xml:space="preserve">For some, whether legislators organize around constituent </w:t>
      </w:r>
      <w:r>
        <w:rPr>
          <w:i/>
          <w:iCs/>
        </w:rPr>
        <w:t>interests</w:t>
      </w:r>
      <w:r>
        <w:t xml:space="preserve"> or </w:t>
      </w:r>
      <w:r>
        <w:rPr>
          <w:i/>
          <w:iCs/>
        </w:rPr>
        <w:t>preferences</w:t>
      </w:r>
      <w:r>
        <w:t xml:space="preserve"> constitute distinct approaches to </w:t>
      </w:r>
      <w:proofErr w:type="gramStart"/>
      <w:r>
        <w:t>representation</w:t>
      </w:r>
      <w:r w:rsidR="00166BA4">
        <w:t>, or</w:t>
      </w:r>
      <w:proofErr w:type="gramEnd"/>
      <w:r w:rsidR="00166BA4">
        <w:t xml:space="preserve"> is a distinction that “draws on an important difference in how one conceives of the basis of political representation” (Miler 2018 p 13). </w:t>
      </w:r>
    </w:p>
    <w:p w14:paraId="2B9C7D02" w14:textId="77777777" w:rsidR="00166BA4" w:rsidRDefault="00166BA4" w:rsidP="00166BA4">
      <w:pPr>
        <w:pStyle w:val="ListParagraph"/>
        <w:numPr>
          <w:ilvl w:val="1"/>
          <w:numId w:val="3"/>
        </w:numPr>
      </w:pPr>
      <w:r>
        <w:t>Pitkin (</w:t>
      </w:r>
      <w:proofErr w:type="gramStart"/>
      <w:r>
        <w:t>1967)charts</w:t>
      </w:r>
      <w:proofErr w:type="gramEnd"/>
      <w:r>
        <w:t xml:space="preserve"> and many other takes an avowedly </w:t>
      </w:r>
      <w:proofErr w:type="gramStart"/>
      <w:r>
        <w:t>interest based</w:t>
      </w:r>
      <w:proofErr w:type="gramEnd"/>
      <w:r>
        <w:t xml:space="preserve"> approach, wherein the legislator is conceived to “pursue the interest of his constituency rather than to do its bidding. . . representative </w:t>
      </w:r>
      <w:proofErr w:type="spellStart"/>
      <w:r>
        <w:t>owest</w:t>
      </w:r>
      <w:proofErr w:type="spellEnd"/>
      <w:r>
        <w:t xml:space="preserve"> the people “devotion to their interests” rather than ‘submission to their will” (176). </w:t>
      </w:r>
    </w:p>
    <w:p w14:paraId="38AF26F2" w14:textId="77777777" w:rsidR="00166BA4" w:rsidRDefault="00166BA4" w:rsidP="00166BA4">
      <w:pPr>
        <w:pStyle w:val="ListParagraph"/>
        <w:numPr>
          <w:ilvl w:val="1"/>
          <w:numId w:val="3"/>
        </w:numPr>
      </w:pPr>
      <w:r>
        <w:t>Interests are treated as more stable, which is another justification for interest-based approach</w:t>
      </w:r>
    </w:p>
    <w:p w14:paraId="7FFBD5B6" w14:textId="77777777" w:rsidR="00166BA4" w:rsidRDefault="00166BA4" w:rsidP="00166BA4">
      <w:pPr>
        <w:pStyle w:val="ListParagraph"/>
        <w:numPr>
          <w:ilvl w:val="1"/>
          <w:numId w:val="3"/>
        </w:numPr>
      </w:pPr>
      <w:r>
        <w:t xml:space="preserve">Pitkin (1967): “representing. . . means acting in the interest of the represented, in a manner responsive to them,” and in democratic regimes the represented constituency is “somehow logically prior; the representative must be responsive to him rather than the other way around” </w:t>
      </w:r>
    </w:p>
    <w:p w14:paraId="09EB0421" w14:textId="21A9DEC2" w:rsidR="00166BA4" w:rsidRDefault="00166BA4" w:rsidP="00166BA4">
      <w:pPr>
        <w:pStyle w:val="ListParagraph"/>
        <w:numPr>
          <w:ilvl w:val="2"/>
          <w:numId w:val="3"/>
        </w:numPr>
      </w:pPr>
      <w:r>
        <w:t xml:space="preserve">She saw empirical research as showing legislators have to respond to too much stuff for citizen preferences to be primary determinant in legislative decisions, and that constituents don’t articulate well-formed preferences that are consistently held on issues that Congress takes up, and when they do, discrete preferences do not aggregate into a single interest without actions by the representative to make that happen.  </w:t>
      </w:r>
    </w:p>
    <w:p w14:paraId="4D0791CB" w14:textId="2ABD9AF2" w:rsidR="00AB33D7" w:rsidRDefault="00AB33D7" w:rsidP="00166BA4">
      <w:pPr>
        <w:pStyle w:val="ListParagraph"/>
        <w:numPr>
          <w:ilvl w:val="2"/>
          <w:numId w:val="3"/>
        </w:numPr>
      </w:pPr>
      <w:r>
        <w:t xml:space="preserve">In her argument on how Pitkin’s theory is overlooked/misread, Disch writes: </w:t>
      </w:r>
    </w:p>
    <w:p w14:paraId="31B1E0E5" w14:textId="18FFDDD5" w:rsidR="00AB33D7" w:rsidRDefault="00AB33D7" w:rsidP="00AB33D7">
      <w:pPr>
        <w:pStyle w:val="ListParagraph"/>
        <w:numPr>
          <w:ilvl w:val="3"/>
          <w:numId w:val="3"/>
        </w:numPr>
      </w:pPr>
      <w:r w:rsidRPr="00AB33D7">
        <w:t xml:space="preserve">If representation cannot take its bearings from the imagined bedrock of constituent preferences, then how </w:t>
      </w:r>
      <w:proofErr w:type="gramStart"/>
      <w:r w:rsidRPr="00AB33D7">
        <w:t>is  democratic</w:t>
      </w:r>
      <w:proofErr w:type="gramEnd"/>
      <w:r w:rsidRPr="00AB33D7">
        <w:t xml:space="preserve"> representation possible? Pitkin argued that it isn’t—at least, not on the model of a “one-to-</w:t>
      </w:r>
      <w:proofErr w:type="gramStart"/>
      <w:r w:rsidRPr="00AB33D7">
        <w:t>one,  person</w:t>
      </w:r>
      <w:proofErr w:type="gramEnd"/>
      <w:r w:rsidRPr="00AB33D7">
        <w:t xml:space="preserve">-to-person relationship” to which folkways and much political science scholarship remain captive.  Pitkin proposed that representative democracy should be conceived as systemic, impersonal, </w:t>
      </w:r>
      <w:proofErr w:type="gramStart"/>
      <w:r w:rsidRPr="00AB33D7">
        <w:t>and  anonymous</w:t>
      </w:r>
      <w:proofErr w:type="gramEnd"/>
      <w:r w:rsidRPr="00AB33D7">
        <w:t xml:space="preserve">. For representation to take place, there does not need to be a meeting of the minds </w:t>
      </w:r>
      <w:proofErr w:type="gramStart"/>
      <w:r w:rsidRPr="00AB33D7">
        <w:t>between  representative</w:t>
      </w:r>
      <w:proofErr w:type="gramEnd"/>
      <w:r w:rsidRPr="00AB33D7">
        <w:t xml:space="preserve"> and constituency, nor even so much as a meeting. Provided the system is well designed, acts </w:t>
      </w:r>
      <w:proofErr w:type="gramStart"/>
      <w:r w:rsidRPr="00AB33D7">
        <w:t>of  government</w:t>
      </w:r>
      <w:proofErr w:type="gramEnd"/>
      <w:r w:rsidRPr="00AB33D7">
        <w:t xml:space="preserve"> may be democratically representative even though </w:t>
      </w:r>
      <w:r w:rsidRPr="00AB33D7">
        <w:lastRenderedPageBreak/>
        <w:t xml:space="preserve">“many individuals, both voters and </w:t>
      </w:r>
      <w:proofErr w:type="gramStart"/>
      <w:r w:rsidRPr="00AB33D7">
        <w:t>legislators,  are</w:t>
      </w:r>
      <w:proofErr w:type="gramEnd"/>
      <w:r w:rsidRPr="00AB33D7">
        <w:t xml:space="preserve"> pursuing quite other goals.”  </w:t>
      </w:r>
    </w:p>
    <w:p w14:paraId="04ED0256" w14:textId="007361AD" w:rsidR="00AB33D7" w:rsidRDefault="00AB33D7" w:rsidP="00AB33D7">
      <w:pPr>
        <w:pStyle w:val="ListParagraph"/>
        <w:numPr>
          <w:ilvl w:val="3"/>
          <w:numId w:val="3"/>
        </w:numPr>
      </w:pPr>
      <w:r>
        <w:t>Disch here is making the case for her theory that legislators create/shape constituencies rather than the classic other way around</w:t>
      </w:r>
    </w:p>
    <w:p w14:paraId="1C26CA0D" w14:textId="682631F5" w:rsidR="00AB33D7" w:rsidRDefault="00AB33D7" w:rsidP="00AB33D7">
      <w:pPr>
        <w:pStyle w:val="ListParagraph"/>
        <w:numPr>
          <w:ilvl w:val="3"/>
          <w:numId w:val="3"/>
        </w:numPr>
      </w:pPr>
      <w:r>
        <w:t xml:space="preserve">Notes </w:t>
      </w:r>
      <w:proofErr w:type="spellStart"/>
      <w:r>
        <w:t>pitkin</w:t>
      </w:r>
      <w:proofErr w:type="spellEnd"/>
      <w:r>
        <w:t xml:space="preserve"> struggled still with responsiveness (“casts doubt on “responsiveness” as a normative ideal and operational index of democratic representation. She verges on posing my constituency paradox, that classic representation must posit as a starting point constituencies and interests that often take shape only by its </w:t>
      </w:r>
      <w:proofErr w:type="gramStart"/>
      <w:r>
        <w:t>means. ..</w:t>
      </w:r>
      <w:proofErr w:type="gramEnd"/>
      <w:r>
        <w:t xml:space="preserve"> recognized. . . that representation often involves acting for an “unorganized </w:t>
      </w:r>
      <w:proofErr w:type="gramStart"/>
      <w:r>
        <w:t>group”. . .</w:t>
      </w:r>
      <w:proofErr w:type="gramEnd"/>
      <w:r>
        <w:t>If Frank is right, Pitkin did not intend to send theorists off on a normative quest.”)</w:t>
      </w:r>
    </w:p>
    <w:p w14:paraId="61FF5360" w14:textId="651C5A06" w:rsidR="00AB33D7" w:rsidRDefault="00AB33D7" w:rsidP="00AB33D7">
      <w:pPr>
        <w:pStyle w:val="ListParagraph"/>
        <w:numPr>
          <w:ilvl w:val="2"/>
          <w:numId w:val="3"/>
        </w:numPr>
      </w:pPr>
      <w:r>
        <w:t xml:space="preserve">Then moving to Mansbridge, where anticipatory “requires representatives to represent interests and preferences that have not yet taken </w:t>
      </w:r>
      <w:proofErr w:type="gramStart"/>
      <w:r>
        <w:t>shape”  (</w:t>
      </w:r>
      <w:proofErr w:type="gramEnd"/>
      <w:r>
        <w:t>40)</w:t>
      </w:r>
    </w:p>
    <w:p w14:paraId="739400B7" w14:textId="30668AC5" w:rsidR="00AB33D7" w:rsidRDefault="00AB33D7" w:rsidP="00AB33D7">
      <w:pPr>
        <w:pStyle w:val="ListParagraph"/>
        <w:numPr>
          <w:ilvl w:val="3"/>
          <w:numId w:val="3"/>
        </w:numPr>
      </w:pPr>
      <w:r>
        <w:t xml:space="preserve">Mansbridge thinks retrospective voting (similar or same to anticipatory?) can allow for a reflexive understanding of “interests’ (defined as enlightened preferences)” (Mansbridge) to </w:t>
      </w:r>
      <w:proofErr w:type="gramStart"/>
      <w:r>
        <w:t>enter into</w:t>
      </w:r>
      <w:proofErr w:type="gramEnd"/>
      <w:r>
        <w:t xml:space="preserve"> “what would otherwise be purely preference-oriented model of political behavior” (Mansbridge)” (41)</w:t>
      </w:r>
    </w:p>
    <w:p w14:paraId="6BCBDDCC" w14:textId="6EAB1EC8" w:rsidR="00AB33D7" w:rsidRDefault="00AB33D7" w:rsidP="00AB33D7">
      <w:pPr>
        <w:pStyle w:val="ListParagraph"/>
        <w:numPr>
          <w:ilvl w:val="3"/>
          <w:numId w:val="3"/>
        </w:numPr>
      </w:pPr>
      <w:r>
        <w:t>Takes leave of citizen preference as bedrock, but still encourages thinking of voters as either educable or manipulable</w:t>
      </w:r>
    </w:p>
    <w:p w14:paraId="747F6216" w14:textId="03AC3E8C" w:rsidR="00AB33D7" w:rsidRDefault="00AB33D7" w:rsidP="00AB33D7">
      <w:pPr>
        <w:pStyle w:val="ListParagraph"/>
        <w:numPr>
          <w:ilvl w:val="3"/>
          <w:numId w:val="3"/>
        </w:numPr>
      </w:pPr>
      <w:r>
        <w:t>“Quietly amending Pitkin, [Mansbridge] argues that empirical researchers bear a normative charge to assess whether any changes they may observe in public opinion “are best described as ‘education’ or ‘manipulation.’”</w:t>
      </w:r>
    </w:p>
    <w:p w14:paraId="43D93CAA" w14:textId="02D144A7" w:rsidR="00AB33D7" w:rsidRDefault="00AB33D7" w:rsidP="00AB33D7">
      <w:pPr>
        <w:pStyle w:val="ListParagraph"/>
        <w:numPr>
          <w:ilvl w:val="3"/>
          <w:numId w:val="3"/>
        </w:numPr>
      </w:pPr>
      <w:r>
        <w:t>“She reduces Pitkin’s broad category of leadership to a specific activity – education – that links political representation explicitly to competence-building. Education. . .</w:t>
      </w:r>
      <w:r w:rsidR="002C2FB7">
        <w:t xml:space="preserve">fosters autonomy. It is a “form of influence” that meets two criteria: it “works through arguments on the merits and is by definition in the </w:t>
      </w:r>
      <w:proofErr w:type="spellStart"/>
      <w:r w:rsidR="002C2FB7">
        <w:t>recipents</w:t>
      </w:r>
      <w:proofErr w:type="spellEnd"/>
      <w:r w:rsidR="002C2FB7">
        <w:t xml:space="preserve">’ interests.” Manipulation, by contrast, is a form of coercive power” (41) done to constituents without their knowing, in a circumstance where they might have taken a different action. </w:t>
      </w:r>
    </w:p>
    <w:p w14:paraId="02D6F3C4" w14:textId="5A22AABF" w:rsidR="002C2FB7" w:rsidRDefault="002C2FB7" w:rsidP="00AB33D7">
      <w:pPr>
        <w:pStyle w:val="ListParagraph"/>
        <w:numPr>
          <w:ilvl w:val="3"/>
          <w:numId w:val="3"/>
        </w:numPr>
      </w:pPr>
      <w:r>
        <w:lastRenderedPageBreak/>
        <w:t xml:space="preserve">Mansbridge “concedes that “questions regarding voters’ interest, in contrast to their preferences,” do not have the character of bedrock because they are not “susceptible to certain resolution” </w:t>
      </w:r>
    </w:p>
    <w:p w14:paraId="568212F6" w14:textId="28A2CD44" w:rsidR="002C2FB7" w:rsidRDefault="002C2FB7" w:rsidP="002C2FB7">
      <w:pPr>
        <w:pStyle w:val="ListParagraph"/>
        <w:numPr>
          <w:ilvl w:val="4"/>
          <w:numId w:val="3"/>
        </w:numPr>
      </w:pPr>
      <w:r>
        <w:t>Bedrock norm: predominant empirical model of democratic representation that imagines people form and fix their preferences prior to engaging with political institutions and political campaigns, allows researchers to safely rely on responsiveness as an indicator that political representation is working as it should</w:t>
      </w:r>
    </w:p>
    <w:p w14:paraId="68CC6CD0" w14:textId="77777777" w:rsidR="002C2FB7" w:rsidRDefault="002C2FB7" w:rsidP="00E465B8"/>
    <w:p w14:paraId="268720E3" w14:textId="08A97A7B" w:rsidR="00E465B8" w:rsidRDefault="00E465B8" w:rsidP="00E465B8">
      <w:r>
        <w:t xml:space="preserve">But perceiving interests requires knowing what constituents think, experience, and want (???). </w:t>
      </w:r>
    </w:p>
    <w:p w14:paraId="50E13B4F" w14:textId="45E0BE4B" w:rsidR="00E465B8" w:rsidRDefault="00E465B8" w:rsidP="00E465B8">
      <w:r>
        <w:t xml:space="preserve">I argue that assumptions that particularly race-class marginalized preferences do not also representing informed articulations of their interests can be conceived of as a credibility judgement operating through </w:t>
      </w:r>
      <w:proofErr w:type="gramStart"/>
      <w:r>
        <w:t>these same epistemic machinery</w:t>
      </w:r>
      <w:proofErr w:type="gramEnd"/>
      <w:r>
        <w:t xml:space="preserve">: deflating the credibility of marginalized communities’ political claims before they’re even heard.  </w:t>
      </w:r>
    </w:p>
    <w:p w14:paraId="0FFBBD6E" w14:textId="77777777" w:rsidR="00E465B8" w:rsidRDefault="00E465B8" w:rsidP="00E465B8"/>
    <w:p w14:paraId="3346D958" w14:textId="622AA435" w:rsidR="00E465B8" w:rsidRDefault="00E465B8" w:rsidP="00E465B8">
      <w:r>
        <w:t>2</w:t>
      </w:r>
      <w:r w:rsidRPr="00E465B8">
        <w:rPr>
          <w:vertAlign w:val="superscript"/>
        </w:rPr>
        <w:t>nd</w:t>
      </w:r>
    </w:p>
    <w:p w14:paraId="7600A2D7" w14:textId="07DE024F" w:rsidR="00E465B8" w:rsidRDefault="00E465B8" w:rsidP="00E465B8">
      <w:r>
        <w:t xml:space="preserve">Weaver, Piston, and Prowse (2017) build on empirical and theoretical literature [in </w:t>
      </w:r>
      <w:proofErr w:type="spellStart"/>
      <w:r>
        <w:t>xyz</w:t>
      </w:r>
      <w:proofErr w:type="spellEnd"/>
      <w:r w:rsidR="00791109">
        <w:t>: subjugated knowledge (Foucault, hooks</w:t>
      </w:r>
      <w:proofErr w:type="gramStart"/>
      <w:r w:rsidR="00791109">
        <w:t xml:space="preserve">) </w:t>
      </w:r>
      <w:r>
        <w:t>]</w:t>
      </w:r>
      <w:proofErr w:type="gramEnd"/>
      <w:r>
        <w:t xml:space="preserve"> to show these same mechanisms for carceral communities: rather than lacking political knowledge, highly policed communities have </w:t>
      </w:r>
      <w:r>
        <w:rPr>
          <w:i/>
          <w:iCs/>
        </w:rPr>
        <w:t>dual knowledge</w:t>
      </w:r>
      <w:r>
        <w:t xml:space="preserve">, a sophisticated understand of both the formal and informal </w:t>
      </w:r>
      <w:r w:rsidR="00791109">
        <w:t xml:space="preserve">operations of the state. (subjugated knowledge not absent knowledge). Moreover, clear political knowledge of their own epistemic exclusion, as one Portal participant describes as: </w:t>
      </w:r>
      <w:r w:rsidR="00791109" w:rsidRPr="00EF1A05">
        <w:t xml:space="preserve">". . . Challenge "official" story lines that tell </w:t>
      </w:r>
      <w:proofErr w:type="gramStart"/>
      <w:r w:rsidR="00791109" w:rsidRPr="00EF1A05">
        <w:t>then</w:t>
      </w:r>
      <w:proofErr w:type="gramEnd"/>
      <w:r w:rsidR="00791109" w:rsidRPr="00EF1A05">
        <w:t xml:space="preserve"> "you don't see what you see," default to an understanding that the "official" was not meant for them"</w:t>
      </w:r>
      <w:r w:rsidR="00791109">
        <w:t xml:space="preserve"> (page). </w:t>
      </w:r>
    </w:p>
    <w:p w14:paraId="28C4F539" w14:textId="77777777" w:rsidR="00791109" w:rsidRPr="00E465B8" w:rsidRDefault="00791109" w:rsidP="00E465B8"/>
    <w:p w14:paraId="7DD43DF3" w14:textId="238B4378" w:rsidR="00EF1A05" w:rsidRDefault="00EF1A05" w:rsidP="00EF1A05">
      <w:pPr>
        <w:pStyle w:val="ListParagraph"/>
        <w:numPr>
          <w:ilvl w:val="0"/>
          <w:numId w:val="1"/>
        </w:numPr>
      </w:pPr>
      <w:r w:rsidRPr="00EF1A05">
        <w:t>what you see," default to an understanding that the "official" was not meant for them"</w:t>
      </w:r>
    </w:p>
    <w:p w14:paraId="00BBE19A" w14:textId="77777777" w:rsidR="00EF1A05" w:rsidRDefault="00EF1A05" w:rsidP="00EF1A05"/>
    <w:p w14:paraId="1EEA7637" w14:textId="3B695CC3" w:rsidR="00EF1A05" w:rsidRDefault="00EF1A05" w:rsidP="00EF1A05">
      <w:r>
        <w:t xml:space="preserve">[thus, both to X and Y, in this chapter I turn to survey data to establish Z differences. </w:t>
      </w:r>
    </w:p>
    <w:p w14:paraId="49E91495" w14:textId="77777777" w:rsidR="00EF1A05" w:rsidRDefault="00EF1A05" w:rsidP="00EF1A05"/>
    <w:p w14:paraId="37AE25CB" w14:textId="0FBEC2D8" w:rsidR="00EF1A05" w:rsidRDefault="00250E3B" w:rsidP="00EF1A05">
      <w:r>
        <w:lastRenderedPageBreak/>
        <w:t xml:space="preserve">[Theory to </w:t>
      </w:r>
      <w:r w:rsidR="00EF1A05">
        <w:t>evidence for expectations]</w:t>
      </w:r>
    </w:p>
    <w:p w14:paraId="2A1CBF90" w14:textId="77777777" w:rsidR="00EF1A05" w:rsidRDefault="00EF1A05" w:rsidP="00EF1A05"/>
    <w:p w14:paraId="38D92D55" w14:textId="26948B19" w:rsidR="002F1499" w:rsidRDefault="002F1499" w:rsidP="00EF1A05">
      <w:r>
        <w:t xml:space="preserve">Section: conclusion to theory, or theory begins to get </w:t>
      </w:r>
      <w:proofErr w:type="spellStart"/>
      <w:r>
        <w:t>interleved</w:t>
      </w:r>
      <w:proofErr w:type="spellEnd"/>
      <w:r>
        <w:t xml:space="preserve"> with expectations/hypotheses</w:t>
      </w:r>
    </w:p>
    <w:p w14:paraId="21ADEF29" w14:textId="77777777" w:rsidR="002F1499" w:rsidRDefault="002F1499" w:rsidP="00EF1A05"/>
    <w:p w14:paraId="6D99188C" w14:textId="519DFCB6" w:rsidR="002F1499" w:rsidRDefault="002F1499" w:rsidP="00EF1A05">
      <w:r>
        <w:t>Section: have wrapped up hypotheses</w:t>
      </w:r>
    </w:p>
    <w:p w14:paraId="6E3C70F5" w14:textId="0DB63EB0" w:rsidR="00D8659D" w:rsidRDefault="00D8659D" w:rsidP="00D8659D">
      <w:pPr>
        <w:pStyle w:val="Heading2"/>
      </w:pPr>
      <w:r>
        <w:t>3.1 (Theory) Policy Feedback, Experience, and Political Reasoning</w:t>
      </w:r>
      <w:bookmarkEnd w:id="1"/>
      <w:r>
        <w:t xml:space="preserve"> </w:t>
      </w:r>
    </w:p>
    <w:p w14:paraId="1FC6536D" w14:textId="77777777" w:rsidR="00D8659D" w:rsidRDefault="00D8659D" w:rsidP="00D8659D">
      <w:pPr>
        <w:pStyle w:val="ListParagraph"/>
        <w:numPr>
          <w:ilvl w:val="0"/>
          <w:numId w:val="1"/>
        </w:numPr>
      </w:pPr>
      <w:r>
        <w:rPr>
          <w:i/>
          <w:iCs/>
        </w:rPr>
        <w:t>Repurpose/revise existing theory section from prelim</w:t>
      </w:r>
    </w:p>
    <w:p w14:paraId="167B5025" w14:textId="77777777" w:rsidR="00D8659D" w:rsidRDefault="00D8659D" w:rsidP="00D8659D">
      <w:pPr>
        <w:pStyle w:val="ListParagraph"/>
        <w:numPr>
          <w:ilvl w:val="0"/>
          <w:numId w:val="1"/>
        </w:numPr>
      </w:pPr>
      <w:r>
        <w:t>Weaver, Soss, Michener</w:t>
      </w:r>
    </w:p>
    <w:p w14:paraId="13BE633A" w14:textId="77777777" w:rsidR="00D8659D" w:rsidRDefault="00D8659D" w:rsidP="00D8659D">
      <w:pPr>
        <w:pStyle w:val="ListParagraph"/>
        <w:numPr>
          <w:ilvl w:val="0"/>
          <w:numId w:val="1"/>
        </w:numPr>
      </w:pPr>
      <w:r>
        <w:t>Contact, proximity, experience</w:t>
      </w:r>
    </w:p>
    <w:p w14:paraId="09F15C00" w14:textId="77777777" w:rsidR="00D8659D" w:rsidRPr="00A56C15" w:rsidRDefault="00D8659D" w:rsidP="00D8659D">
      <w:pPr>
        <w:pStyle w:val="ListParagraph"/>
        <w:numPr>
          <w:ilvl w:val="0"/>
          <w:numId w:val="1"/>
        </w:numPr>
      </w:pPr>
      <w:r>
        <w:t>Deservingness/stigma</w:t>
      </w:r>
    </w:p>
    <w:p w14:paraId="0B631AC2" w14:textId="77777777" w:rsidR="00D8659D" w:rsidRDefault="00D8659D" w:rsidP="00D8659D">
      <w:pPr>
        <w:pStyle w:val="Heading2"/>
      </w:pPr>
      <w:bookmarkStart w:id="2" w:name="_Toc220591740"/>
      <w:r>
        <w:t>3.2 (Theory) Experience as Political Knowledge</w:t>
      </w:r>
      <w:bookmarkEnd w:id="2"/>
      <w:r>
        <w:t xml:space="preserve"> </w:t>
      </w:r>
    </w:p>
    <w:p w14:paraId="74064523" w14:textId="77777777" w:rsidR="00D8659D" w:rsidRDefault="00D8659D" w:rsidP="00D8659D">
      <w:pPr>
        <w:pStyle w:val="ListParagraph"/>
        <w:numPr>
          <w:ilvl w:val="0"/>
          <w:numId w:val="2"/>
        </w:numPr>
      </w:pPr>
      <w:r>
        <w:rPr>
          <w:i/>
          <w:iCs/>
        </w:rPr>
        <w:t>Ideally add in:</w:t>
      </w:r>
    </w:p>
    <w:p w14:paraId="2F97468D" w14:textId="77777777" w:rsidR="00D8659D" w:rsidRDefault="00D8659D" w:rsidP="00D8659D">
      <w:pPr>
        <w:pStyle w:val="ListParagraph"/>
        <w:numPr>
          <w:ilvl w:val="0"/>
          <w:numId w:val="2"/>
        </w:numPr>
      </w:pPr>
      <w:r>
        <w:t xml:space="preserve">Weaver – not just distinct policy </w:t>
      </w:r>
      <w:proofErr w:type="spellStart"/>
      <w:r>
        <w:t>prefs</w:t>
      </w:r>
      <w:proofErr w:type="spellEnd"/>
      <w:r>
        <w:t xml:space="preserve"> or reasoning processes, but ways of knowing and knowledge of govt’s real versus hidden rules</w:t>
      </w:r>
    </w:p>
    <w:p w14:paraId="597A6C35" w14:textId="77777777" w:rsidR="00D8659D" w:rsidRPr="00816D52" w:rsidRDefault="00D8659D" w:rsidP="00D8659D">
      <w:pPr>
        <w:pStyle w:val="ListParagraph"/>
        <w:numPr>
          <w:ilvl w:val="0"/>
          <w:numId w:val="2"/>
        </w:numPr>
      </w:pPr>
      <w:r>
        <w:t>Introduce as epistemic</w:t>
      </w:r>
    </w:p>
    <w:p w14:paraId="4896170D" w14:textId="77777777" w:rsidR="00D8659D" w:rsidRDefault="00D8659D" w:rsidP="00D8659D">
      <w:pPr>
        <w:pStyle w:val="Heading2"/>
      </w:pPr>
      <w:bookmarkStart w:id="3" w:name="_Toc220591741"/>
      <w:r>
        <w:t>3.3 (Hypotheses/Expectations)</w:t>
      </w:r>
      <w:bookmarkEnd w:id="3"/>
    </w:p>
    <w:p w14:paraId="40FF39D8" w14:textId="77777777" w:rsidR="00D8659D" w:rsidRPr="00A56C15" w:rsidRDefault="00D8659D" w:rsidP="00D8659D">
      <w:pPr>
        <w:pStyle w:val="Heading2"/>
      </w:pPr>
      <w:bookmarkStart w:id="4" w:name="_Toc220591742"/>
      <w:r>
        <w:t>3..4 (Data/Design)</w:t>
      </w:r>
      <w:bookmarkEnd w:id="4"/>
    </w:p>
    <w:p w14:paraId="1E6484F2" w14:textId="77777777" w:rsidR="001554D9" w:rsidRDefault="001554D9"/>
    <w:sectPr w:rsidR="001554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719C"/>
    <w:multiLevelType w:val="hybridMultilevel"/>
    <w:tmpl w:val="6910E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3D146A"/>
    <w:multiLevelType w:val="hybridMultilevel"/>
    <w:tmpl w:val="26865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5B777A"/>
    <w:multiLevelType w:val="hybridMultilevel"/>
    <w:tmpl w:val="A79692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476624F"/>
    <w:multiLevelType w:val="hybridMultilevel"/>
    <w:tmpl w:val="068C9B6E"/>
    <w:lvl w:ilvl="0" w:tplc="972AC16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7E4532"/>
    <w:multiLevelType w:val="hybridMultilevel"/>
    <w:tmpl w:val="33C8F5B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E10BF9"/>
    <w:multiLevelType w:val="hybridMultilevel"/>
    <w:tmpl w:val="FA4CDB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26225B"/>
    <w:multiLevelType w:val="hybridMultilevel"/>
    <w:tmpl w:val="4E3A831C"/>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45E37"/>
    <w:multiLevelType w:val="hybridMultilevel"/>
    <w:tmpl w:val="49BC1A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7542148">
    <w:abstractNumId w:val="2"/>
  </w:num>
  <w:num w:numId="2" w16cid:durableId="1687562852">
    <w:abstractNumId w:val="0"/>
  </w:num>
  <w:num w:numId="3" w16cid:durableId="605230262">
    <w:abstractNumId w:val="5"/>
  </w:num>
  <w:num w:numId="4" w16cid:durableId="1179612553">
    <w:abstractNumId w:val="7"/>
  </w:num>
  <w:num w:numId="5" w16cid:durableId="669867779">
    <w:abstractNumId w:val="3"/>
  </w:num>
  <w:num w:numId="6" w16cid:durableId="1633249311">
    <w:abstractNumId w:val="6"/>
  </w:num>
  <w:num w:numId="7" w16cid:durableId="2094277094">
    <w:abstractNumId w:val="4"/>
  </w:num>
  <w:num w:numId="8" w16cid:durableId="19126921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9D"/>
    <w:rsid w:val="000B34E6"/>
    <w:rsid w:val="00134C6C"/>
    <w:rsid w:val="001554D9"/>
    <w:rsid w:val="00166BA4"/>
    <w:rsid w:val="001831BE"/>
    <w:rsid w:val="001B6149"/>
    <w:rsid w:val="00250E3B"/>
    <w:rsid w:val="002939F1"/>
    <w:rsid w:val="002C2FB7"/>
    <w:rsid w:val="002F1499"/>
    <w:rsid w:val="0037093F"/>
    <w:rsid w:val="003A5267"/>
    <w:rsid w:val="0055163B"/>
    <w:rsid w:val="00642999"/>
    <w:rsid w:val="00650A1D"/>
    <w:rsid w:val="006550DF"/>
    <w:rsid w:val="007515FE"/>
    <w:rsid w:val="00791109"/>
    <w:rsid w:val="008174A7"/>
    <w:rsid w:val="00846FB6"/>
    <w:rsid w:val="008C2728"/>
    <w:rsid w:val="00AB33D7"/>
    <w:rsid w:val="00AF2998"/>
    <w:rsid w:val="00B4476B"/>
    <w:rsid w:val="00C2659C"/>
    <w:rsid w:val="00CD75A3"/>
    <w:rsid w:val="00D13EBE"/>
    <w:rsid w:val="00D71D5B"/>
    <w:rsid w:val="00D8659D"/>
    <w:rsid w:val="00E465B8"/>
    <w:rsid w:val="00EF1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0C71C3D"/>
  <w15:chartTrackingRefBased/>
  <w15:docId w15:val="{BB247CB4-2AF7-254A-989F-62D7576E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65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65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65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65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9D"/>
    <w:rPr>
      <w:rFonts w:eastAsiaTheme="majorEastAsia" w:cstheme="majorBidi"/>
      <w:color w:val="272727" w:themeColor="text1" w:themeTint="D8"/>
    </w:rPr>
  </w:style>
  <w:style w:type="paragraph" w:styleId="Title">
    <w:name w:val="Title"/>
    <w:basedOn w:val="Normal"/>
    <w:next w:val="Normal"/>
    <w:link w:val="TitleChar"/>
    <w:uiPriority w:val="10"/>
    <w:qFormat/>
    <w:rsid w:val="00D86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9D"/>
    <w:pPr>
      <w:spacing w:before="160"/>
      <w:jc w:val="center"/>
    </w:pPr>
    <w:rPr>
      <w:i/>
      <w:iCs/>
      <w:color w:val="404040" w:themeColor="text1" w:themeTint="BF"/>
    </w:rPr>
  </w:style>
  <w:style w:type="character" w:customStyle="1" w:styleId="QuoteChar">
    <w:name w:val="Quote Char"/>
    <w:basedOn w:val="DefaultParagraphFont"/>
    <w:link w:val="Quote"/>
    <w:uiPriority w:val="29"/>
    <w:rsid w:val="00D8659D"/>
    <w:rPr>
      <w:i/>
      <w:iCs/>
      <w:color w:val="404040" w:themeColor="text1" w:themeTint="BF"/>
    </w:rPr>
  </w:style>
  <w:style w:type="paragraph" w:styleId="ListParagraph">
    <w:name w:val="List Paragraph"/>
    <w:basedOn w:val="Normal"/>
    <w:uiPriority w:val="34"/>
    <w:qFormat/>
    <w:rsid w:val="00D8659D"/>
    <w:pPr>
      <w:ind w:left="720"/>
      <w:contextualSpacing/>
    </w:pPr>
  </w:style>
  <w:style w:type="character" w:styleId="IntenseEmphasis">
    <w:name w:val="Intense Emphasis"/>
    <w:basedOn w:val="DefaultParagraphFont"/>
    <w:uiPriority w:val="21"/>
    <w:qFormat/>
    <w:rsid w:val="00D8659D"/>
    <w:rPr>
      <w:i/>
      <w:iCs/>
      <w:color w:val="0F4761" w:themeColor="accent1" w:themeShade="BF"/>
    </w:rPr>
  </w:style>
  <w:style w:type="paragraph" w:styleId="IntenseQuote">
    <w:name w:val="Intense Quote"/>
    <w:basedOn w:val="Normal"/>
    <w:next w:val="Normal"/>
    <w:link w:val="IntenseQuoteChar"/>
    <w:uiPriority w:val="30"/>
    <w:qFormat/>
    <w:rsid w:val="00D86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9D"/>
    <w:rPr>
      <w:i/>
      <w:iCs/>
      <w:color w:val="0F4761" w:themeColor="accent1" w:themeShade="BF"/>
    </w:rPr>
  </w:style>
  <w:style w:type="character" w:styleId="IntenseReference">
    <w:name w:val="Intense Reference"/>
    <w:basedOn w:val="DefaultParagraphFont"/>
    <w:uiPriority w:val="32"/>
    <w:qFormat/>
    <w:rsid w:val="00D8659D"/>
    <w:rPr>
      <w:b/>
      <w:bCs/>
      <w:smallCaps/>
      <w:color w:val="0F4761" w:themeColor="accent1" w:themeShade="BF"/>
      <w:spacing w:val="5"/>
    </w:rPr>
  </w:style>
  <w:style w:type="table" w:styleId="TableGrid">
    <w:name w:val="Table Grid"/>
    <w:basedOn w:val="TableNormal"/>
    <w:uiPriority w:val="39"/>
    <w:rsid w:val="00D71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CD75A3"/>
    <w:rPr>
      <w:rFonts w:ascii="Courier New" w:eastAsia="Times New Roman" w:hAnsi="Courier New" w:cs="Courier New"/>
      <w:sz w:val="20"/>
      <w:szCs w:val="20"/>
    </w:rPr>
  </w:style>
  <w:style w:type="paragraph" w:styleId="NormalWeb">
    <w:name w:val="Normal (Web)"/>
    <w:basedOn w:val="Normal"/>
    <w:uiPriority w:val="99"/>
    <w:unhideWhenUsed/>
    <w:rsid w:val="00CD75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D75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14</Pages>
  <Words>4144</Words>
  <Characters>21096</Characters>
  <Application>Microsoft Office Word</Application>
  <DocSecurity>0</DocSecurity>
  <Lines>781</Lines>
  <Paragraphs>525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12</cp:revision>
  <cp:lastPrinted>2026-02-25T21:40:00Z</cp:lastPrinted>
  <dcterms:created xsi:type="dcterms:W3CDTF">2026-02-25T18:54:00Z</dcterms:created>
  <dcterms:modified xsi:type="dcterms:W3CDTF">2026-02-25T22:27:00Z</dcterms:modified>
</cp:coreProperties>
</file>