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06A41" w14:textId="27AE0708" w:rsidR="00AA1271" w:rsidRDefault="00E71396" w:rsidP="00E71396">
      <w:pPr>
        <w:jc w:val="center"/>
        <w:rPr>
          <w:rFonts w:ascii="Times New Roman" w:hAnsi="Times New Roman" w:cs="Times New Roman"/>
        </w:rPr>
      </w:pPr>
      <w:r>
        <w:rPr>
          <w:rFonts w:ascii="Times New Roman" w:hAnsi="Times New Roman" w:cs="Times New Roman"/>
        </w:rPr>
        <w:t>Fellowship-Grant Proposal</w:t>
      </w:r>
    </w:p>
    <w:p w14:paraId="761EE4B6" w14:textId="35F5AE98" w:rsidR="006E176E" w:rsidRDefault="00E71396" w:rsidP="0019585A">
      <w:pPr>
        <w:spacing w:line="360" w:lineRule="auto"/>
        <w:ind w:firstLine="720"/>
        <w:rPr>
          <w:rFonts w:ascii="Times New Roman" w:hAnsi="Times New Roman" w:cs="Times New Roman"/>
        </w:rPr>
      </w:pPr>
      <w:r>
        <w:rPr>
          <w:rFonts w:ascii="Times New Roman" w:hAnsi="Times New Roman" w:cs="Times New Roman"/>
        </w:rPr>
        <w:t xml:space="preserve">Massachusetts Congresswoman Ayanna </w:t>
      </w:r>
      <w:r w:rsidR="00D31719">
        <w:rPr>
          <w:rFonts w:ascii="Times New Roman" w:hAnsi="Times New Roman" w:cs="Times New Roman"/>
        </w:rPr>
        <w:t xml:space="preserve">Pressley </w:t>
      </w:r>
      <w:r w:rsidR="00062E86">
        <w:rPr>
          <w:rFonts w:ascii="Times New Roman" w:hAnsi="Times New Roman" w:cs="Times New Roman"/>
        </w:rPr>
        <w:t>often says that “the people closest to the pain,” those doubly burdened by sedimented inequality and the carceral state, “should be closest to the power.” Like Pressley, S</w:t>
      </w:r>
      <w:r w:rsidR="00D31719">
        <w:rPr>
          <w:rFonts w:ascii="Times New Roman" w:hAnsi="Times New Roman" w:cs="Times New Roman"/>
        </w:rPr>
        <w:t xml:space="preserve">tate Senator Liz Miranda </w:t>
      </w:r>
      <w:r w:rsidR="00062E86">
        <w:rPr>
          <w:rFonts w:ascii="Times New Roman" w:hAnsi="Times New Roman" w:cs="Times New Roman"/>
        </w:rPr>
        <w:t>also centers her</w:t>
      </w:r>
      <w:r w:rsidR="00D31719">
        <w:rPr>
          <w:rFonts w:ascii="Times New Roman" w:hAnsi="Times New Roman" w:cs="Times New Roman"/>
        </w:rPr>
        <w:t xml:space="preserve"> “</w:t>
      </w:r>
      <w:proofErr w:type="gramStart"/>
      <w:r w:rsidR="00D31719">
        <w:rPr>
          <w:rFonts w:ascii="Times New Roman" w:hAnsi="Times New Roman" w:cs="Times New Roman"/>
        </w:rPr>
        <w:t>proximally-impacted</w:t>
      </w:r>
      <w:proofErr w:type="gramEnd"/>
      <w:r w:rsidR="00D31719">
        <w:rPr>
          <w:rFonts w:ascii="Times New Roman" w:hAnsi="Times New Roman" w:cs="Times New Roman"/>
        </w:rPr>
        <w:t>” identit</w:t>
      </w:r>
      <w:r w:rsidR="0047387E">
        <w:rPr>
          <w:rFonts w:ascii="Times New Roman" w:hAnsi="Times New Roman" w:cs="Times New Roman"/>
        </w:rPr>
        <w:t>ies</w:t>
      </w:r>
      <w:r w:rsidR="00D31719">
        <w:rPr>
          <w:rFonts w:ascii="Times New Roman" w:hAnsi="Times New Roman" w:cs="Times New Roman"/>
        </w:rPr>
        <w:t xml:space="preserve">, drawing on familial and personal </w:t>
      </w:r>
      <w:r w:rsidR="00187E2B">
        <w:rPr>
          <w:rFonts w:ascii="Times New Roman" w:hAnsi="Times New Roman" w:cs="Times New Roman"/>
        </w:rPr>
        <w:t xml:space="preserve">experiences with the carceral </w:t>
      </w:r>
      <w:r w:rsidR="00062E86">
        <w:rPr>
          <w:rFonts w:ascii="Times New Roman" w:hAnsi="Times New Roman" w:cs="Times New Roman"/>
        </w:rPr>
        <w:t>state</w:t>
      </w:r>
      <w:r w:rsidR="00D31719">
        <w:rPr>
          <w:rFonts w:ascii="Times New Roman" w:hAnsi="Times New Roman" w:cs="Times New Roman"/>
        </w:rPr>
        <w:t xml:space="preserve">. </w:t>
      </w:r>
      <w:r w:rsidR="00E05846">
        <w:rPr>
          <w:rFonts w:ascii="Times New Roman" w:hAnsi="Times New Roman" w:cs="Times New Roman"/>
        </w:rPr>
        <w:t xml:space="preserve">Both </w:t>
      </w:r>
      <w:r w:rsidR="006E176E">
        <w:rPr>
          <w:rFonts w:ascii="Times New Roman" w:hAnsi="Times New Roman" w:cs="Times New Roman"/>
        </w:rPr>
        <w:t xml:space="preserve">routinely </w:t>
      </w:r>
      <w:r w:rsidR="00187E2B">
        <w:rPr>
          <w:rFonts w:ascii="Times New Roman" w:hAnsi="Times New Roman" w:cs="Times New Roman"/>
        </w:rPr>
        <w:t>meet</w:t>
      </w:r>
      <w:r w:rsidR="006E176E">
        <w:rPr>
          <w:rFonts w:ascii="Times New Roman" w:hAnsi="Times New Roman" w:cs="Times New Roman"/>
        </w:rPr>
        <w:t xml:space="preserve"> with constituents in prison and </w:t>
      </w:r>
      <w:r w:rsidR="00187E2B">
        <w:rPr>
          <w:rFonts w:ascii="Times New Roman" w:hAnsi="Times New Roman" w:cs="Times New Roman"/>
        </w:rPr>
        <w:t>quote them in floor speeches and media, maintain</w:t>
      </w:r>
      <w:r w:rsidR="006E176E">
        <w:rPr>
          <w:rFonts w:ascii="Times New Roman" w:hAnsi="Times New Roman" w:cs="Times New Roman"/>
        </w:rPr>
        <w:t xml:space="preserve"> ongoing lines of communication with their loved ones</w:t>
      </w:r>
      <w:r w:rsidR="00187E2B">
        <w:rPr>
          <w:rFonts w:ascii="Times New Roman" w:hAnsi="Times New Roman" w:cs="Times New Roman"/>
        </w:rPr>
        <w:t xml:space="preserve">, and center the knowledge of carceral communities in their policy work. </w:t>
      </w:r>
      <w:r w:rsidR="003A470F">
        <w:rPr>
          <w:rFonts w:ascii="Times New Roman" w:hAnsi="Times New Roman" w:cs="Times New Roman"/>
        </w:rPr>
        <w:t>Their</w:t>
      </w:r>
      <w:r w:rsidR="00187E2B">
        <w:rPr>
          <w:rFonts w:ascii="Times New Roman" w:hAnsi="Times New Roman" w:cs="Times New Roman"/>
        </w:rPr>
        <w:t xml:space="preserve"> representational styles demonstrate how,</w:t>
      </w:r>
      <w:r w:rsidR="00E05846">
        <w:rPr>
          <w:rFonts w:ascii="Times New Roman" w:hAnsi="Times New Roman" w:cs="Times New Roman"/>
        </w:rPr>
        <w:t xml:space="preserve"> in representative democracies, legislators play a foundational role in determining which groups are politically visible, and whose knowledge </w:t>
      </w:r>
      <w:r w:rsidR="00701387" w:rsidRPr="00701387">
        <w:rPr>
          <w:rFonts w:ascii="Times New Roman" w:hAnsi="Times New Roman" w:cs="Times New Roman"/>
        </w:rPr>
        <w:t>is treated as relevant for policymaking (</w:t>
      </w:r>
      <w:proofErr w:type="spellStart"/>
      <w:r w:rsidR="00701387" w:rsidRPr="00701387">
        <w:rPr>
          <w:rFonts w:ascii="Times New Roman" w:hAnsi="Times New Roman" w:cs="Times New Roman"/>
        </w:rPr>
        <w:t>Fenno</w:t>
      </w:r>
      <w:proofErr w:type="spellEnd"/>
      <w:r w:rsidR="00701387" w:rsidRPr="00701387">
        <w:rPr>
          <w:rFonts w:ascii="Times New Roman" w:hAnsi="Times New Roman" w:cs="Times New Roman"/>
        </w:rPr>
        <w:t xml:space="preserve"> 1978; Miler 2018).</w:t>
      </w:r>
      <w:r w:rsidR="00701387">
        <w:rPr>
          <w:rFonts w:ascii="Times New Roman" w:hAnsi="Times New Roman" w:cs="Times New Roman"/>
        </w:rPr>
        <w:t xml:space="preserve"> </w:t>
      </w:r>
    </w:p>
    <w:p w14:paraId="4AD916DF" w14:textId="1B7686D4" w:rsidR="000F38CE" w:rsidRDefault="00187E2B" w:rsidP="0019585A">
      <w:pPr>
        <w:spacing w:line="360" w:lineRule="auto"/>
        <w:rPr>
          <w:rFonts w:ascii="Times New Roman" w:hAnsi="Times New Roman" w:cs="Times New Roman"/>
        </w:rPr>
      </w:pPr>
      <w:r>
        <w:rPr>
          <w:rFonts w:ascii="Times New Roman" w:hAnsi="Times New Roman" w:cs="Times New Roman"/>
        </w:rPr>
        <w:t>Yet a</w:t>
      </w:r>
      <w:r w:rsidR="006E176E">
        <w:rPr>
          <w:rFonts w:ascii="Times New Roman" w:hAnsi="Times New Roman" w:cs="Times New Roman"/>
        </w:rPr>
        <w:t>n</w:t>
      </w:r>
      <w:r w:rsidR="00701387">
        <w:rPr>
          <w:rFonts w:ascii="Times New Roman" w:hAnsi="Times New Roman" w:cs="Times New Roman"/>
        </w:rPr>
        <w:t xml:space="preserve"> ever</w:t>
      </w:r>
      <w:r w:rsidR="006E176E">
        <w:rPr>
          <w:rFonts w:ascii="Times New Roman" w:hAnsi="Times New Roman" w:cs="Times New Roman"/>
        </w:rPr>
        <w:t>-g</w:t>
      </w:r>
      <w:r w:rsidR="00701387">
        <w:rPr>
          <w:rFonts w:ascii="Times New Roman" w:hAnsi="Times New Roman" w:cs="Times New Roman"/>
        </w:rPr>
        <w:t xml:space="preserve">rowing body of scholarship </w:t>
      </w:r>
      <w:r>
        <w:rPr>
          <w:rFonts w:ascii="Times New Roman" w:hAnsi="Times New Roman" w:cs="Times New Roman"/>
        </w:rPr>
        <w:t>suggest these examples are exceptional</w:t>
      </w:r>
      <w:r w:rsidR="00E15018">
        <w:rPr>
          <w:rFonts w:ascii="Times New Roman" w:hAnsi="Times New Roman" w:cs="Times New Roman"/>
        </w:rPr>
        <w:t xml:space="preserve">. </w:t>
      </w:r>
      <w:r>
        <w:rPr>
          <w:rFonts w:ascii="Times New Roman" w:hAnsi="Times New Roman" w:cs="Times New Roman"/>
        </w:rPr>
        <w:t>The</w:t>
      </w:r>
      <w:r w:rsidR="00701387">
        <w:rPr>
          <w:rFonts w:ascii="Times New Roman" w:hAnsi="Times New Roman" w:cs="Times New Roman"/>
        </w:rPr>
        <w:t xml:space="preserve"> </w:t>
      </w:r>
      <w:r w:rsidR="00701387" w:rsidRPr="00701387">
        <w:rPr>
          <w:rFonts w:ascii="Times New Roman" w:hAnsi="Times New Roman" w:cs="Times New Roman"/>
        </w:rPr>
        <w:t>more than 2 million</w:t>
      </w:r>
      <w:r w:rsidR="006E176E">
        <w:rPr>
          <w:rFonts w:ascii="Times New Roman" w:hAnsi="Times New Roman" w:cs="Times New Roman"/>
        </w:rPr>
        <w:t>, disproportionately Black</w:t>
      </w:r>
      <w:r w:rsidR="00055264">
        <w:rPr>
          <w:rFonts w:ascii="Times New Roman" w:hAnsi="Times New Roman" w:cs="Times New Roman"/>
        </w:rPr>
        <w:t xml:space="preserve"> and </w:t>
      </w:r>
      <w:r w:rsidR="006E176E">
        <w:rPr>
          <w:rFonts w:ascii="Times New Roman" w:hAnsi="Times New Roman" w:cs="Times New Roman"/>
        </w:rPr>
        <w:t>Latino/Hispanic</w:t>
      </w:r>
      <w:r w:rsidR="00055264">
        <w:rPr>
          <w:rFonts w:ascii="Times New Roman" w:hAnsi="Times New Roman" w:cs="Times New Roman"/>
        </w:rPr>
        <w:t xml:space="preserve"> </w:t>
      </w:r>
      <w:r>
        <w:rPr>
          <w:rFonts w:ascii="Times New Roman" w:hAnsi="Times New Roman" w:cs="Times New Roman"/>
        </w:rPr>
        <w:t>people</w:t>
      </w:r>
      <w:r w:rsidR="00701387" w:rsidRPr="00701387">
        <w:rPr>
          <w:rFonts w:ascii="Times New Roman" w:hAnsi="Times New Roman" w:cs="Times New Roman"/>
        </w:rPr>
        <w:t xml:space="preserve"> </w:t>
      </w:r>
      <w:r>
        <w:rPr>
          <w:rFonts w:ascii="Times New Roman" w:hAnsi="Times New Roman" w:cs="Times New Roman"/>
        </w:rPr>
        <w:t>behind bars</w:t>
      </w:r>
      <w:r w:rsidR="00701387" w:rsidRPr="00701387">
        <w:rPr>
          <w:rFonts w:ascii="Times New Roman" w:hAnsi="Times New Roman" w:cs="Times New Roman"/>
        </w:rPr>
        <w:t xml:space="preserve"> in the United States</w:t>
      </w:r>
      <w:r w:rsidR="00701387">
        <w:rPr>
          <w:rFonts w:ascii="Times New Roman" w:hAnsi="Times New Roman" w:cs="Times New Roman"/>
        </w:rPr>
        <w:t xml:space="preserve"> are </w:t>
      </w:r>
      <w:r>
        <w:rPr>
          <w:rFonts w:ascii="Times New Roman" w:hAnsi="Times New Roman" w:cs="Times New Roman"/>
        </w:rPr>
        <w:t>systematically</w:t>
      </w:r>
      <w:r w:rsidR="003A470F">
        <w:rPr>
          <w:rFonts w:ascii="Times New Roman" w:hAnsi="Times New Roman" w:cs="Times New Roman"/>
        </w:rPr>
        <w:t xml:space="preserve"> excluded and</w:t>
      </w:r>
      <w:r w:rsidR="00701387">
        <w:rPr>
          <w:rFonts w:ascii="Times New Roman" w:hAnsi="Times New Roman" w:cs="Times New Roman"/>
        </w:rPr>
        <w:t xml:space="preserve"> </w:t>
      </w:r>
      <w:proofErr w:type="spellStart"/>
      <w:r w:rsidR="00701387">
        <w:rPr>
          <w:rFonts w:ascii="Times New Roman" w:hAnsi="Times New Roman" w:cs="Times New Roman"/>
        </w:rPr>
        <w:t>invisibilized</w:t>
      </w:r>
      <w:proofErr w:type="spellEnd"/>
      <w:r w:rsidR="00E15018">
        <w:rPr>
          <w:rFonts w:ascii="Times New Roman" w:hAnsi="Times New Roman" w:cs="Times New Roman"/>
        </w:rPr>
        <w:t xml:space="preserve"> </w:t>
      </w:r>
      <w:r>
        <w:rPr>
          <w:rFonts w:ascii="Times New Roman" w:hAnsi="Times New Roman" w:cs="Times New Roman"/>
        </w:rPr>
        <w:t xml:space="preserve">from electoral and discursive arenas through disenfranchisement, prison gerrymandering, geographic and communicative isolation, and stigma </w:t>
      </w:r>
      <w:r w:rsidR="00701387" w:rsidRPr="00701387">
        <w:rPr>
          <w:rFonts w:ascii="Times New Roman" w:hAnsi="Times New Roman" w:cs="Times New Roman"/>
        </w:rPr>
        <w:t xml:space="preserve">(Nellis </w:t>
      </w:r>
      <w:r>
        <w:rPr>
          <w:rFonts w:ascii="Times New Roman" w:hAnsi="Times New Roman" w:cs="Times New Roman"/>
        </w:rPr>
        <w:t>2014</w:t>
      </w:r>
      <w:r w:rsidR="00701387" w:rsidRPr="00701387">
        <w:rPr>
          <w:rFonts w:ascii="Times New Roman" w:hAnsi="Times New Roman" w:cs="Times New Roman"/>
        </w:rPr>
        <w:t>).</w:t>
      </w:r>
      <w:r w:rsidR="00701387">
        <w:rPr>
          <w:rFonts w:ascii="Times New Roman" w:hAnsi="Times New Roman" w:cs="Times New Roman"/>
        </w:rPr>
        <w:t xml:space="preserve"> </w:t>
      </w:r>
      <w:r>
        <w:rPr>
          <w:rFonts w:ascii="Times New Roman" w:hAnsi="Times New Roman" w:cs="Times New Roman"/>
        </w:rPr>
        <w:t xml:space="preserve">Legislatures dominated by advantaged, elites (Carnes &amp; Lupu 2023) </w:t>
      </w:r>
      <w:r w:rsidR="006E176E">
        <w:rPr>
          <w:rFonts w:ascii="Times New Roman" w:hAnsi="Times New Roman" w:cs="Times New Roman"/>
        </w:rPr>
        <w:t xml:space="preserve">consider </w:t>
      </w:r>
      <w:r>
        <w:rPr>
          <w:rFonts w:ascii="Times New Roman" w:hAnsi="Times New Roman" w:cs="Times New Roman"/>
        </w:rPr>
        <w:t>criminal legal policy through racialized frames and imagination</w:t>
      </w:r>
      <w:r w:rsidR="003A470F">
        <w:rPr>
          <w:rFonts w:ascii="Times New Roman" w:hAnsi="Times New Roman" w:cs="Times New Roman"/>
        </w:rPr>
        <w:t>s</w:t>
      </w:r>
      <w:r>
        <w:rPr>
          <w:rFonts w:ascii="Times New Roman" w:hAnsi="Times New Roman" w:cs="Times New Roman"/>
        </w:rPr>
        <w:t xml:space="preserve"> </w:t>
      </w:r>
      <w:r w:rsidR="006E176E">
        <w:rPr>
          <w:rFonts w:ascii="Times New Roman" w:hAnsi="Times New Roman" w:cs="Times New Roman"/>
        </w:rPr>
        <w:t>(Weaver and Hinton</w:t>
      </w:r>
      <w:r>
        <w:rPr>
          <w:rFonts w:ascii="Times New Roman" w:hAnsi="Times New Roman" w:cs="Times New Roman"/>
        </w:rPr>
        <w:t xml:space="preserve"> 2020</w:t>
      </w:r>
      <w:r w:rsidR="006E176E">
        <w:rPr>
          <w:rFonts w:ascii="Times New Roman" w:hAnsi="Times New Roman" w:cs="Times New Roman"/>
        </w:rPr>
        <w:t xml:space="preserve">), contributing to Democratic </w:t>
      </w:r>
      <w:r>
        <w:rPr>
          <w:rFonts w:ascii="Times New Roman" w:hAnsi="Times New Roman" w:cs="Times New Roman"/>
        </w:rPr>
        <w:t>lawmakers</w:t>
      </w:r>
      <w:r w:rsidR="006E176E">
        <w:rPr>
          <w:rFonts w:ascii="Times New Roman" w:hAnsi="Times New Roman" w:cs="Times New Roman"/>
        </w:rPr>
        <w:t xml:space="preserve"> </w:t>
      </w:r>
      <w:r>
        <w:rPr>
          <w:rFonts w:ascii="Times New Roman" w:hAnsi="Times New Roman" w:cs="Times New Roman"/>
        </w:rPr>
        <w:t>“</w:t>
      </w:r>
      <w:r w:rsidR="006E176E">
        <w:rPr>
          <w:rFonts w:ascii="Times New Roman" w:hAnsi="Times New Roman" w:cs="Times New Roman"/>
        </w:rPr>
        <w:t>selective hear</w:t>
      </w:r>
      <w:r w:rsidR="003A470F">
        <w:rPr>
          <w:rFonts w:ascii="Times New Roman" w:hAnsi="Times New Roman" w:cs="Times New Roman"/>
        </w:rPr>
        <w:t>ing</w:t>
      </w:r>
      <w:r>
        <w:rPr>
          <w:rFonts w:ascii="Times New Roman" w:hAnsi="Times New Roman" w:cs="Times New Roman"/>
        </w:rPr>
        <w:t>”</w:t>
      </w:r>
      <w:r w:rsidR="006E176E">
        <w:rPr>
          <w:rFonts w:ascii="Times New Roman" w:hAnsi="Times New Roman" w:cs="Times New Roman"/>
        </w:rPr>
        <w:t xml:space="preserve"> </w:t>
      </w:r>
      <w:r w:rsidR="003A470F">
        <w:rPr>
          <w:rFonts w:ascii="Times New Roman" w:hAnsi="Times New Roman" w:cs="Times New Roman"/>
        </w:rPr>
        <w:t xml:space="preserve">of </w:t>
      </w:r>
      <w:r>
        <w:rPr>
          <w:rFonts w:ascii="Times New Roman" w:hAnsi="Times New Roman" w:cs="Times New Roman"/>
        </w:rPr>
        <w:t xml:space="preserve">heavily policed </w:t>
      </w:r>
      <w:r w:rsidR="006E176E">
        <w:rPr>
          <w:rFonts w:ascii="Times New Roman" w:hAnsi="Times New Roman" w:cs="Times New Roman"/>
        </w:rPr>
        <w:t xml:space="preserve">communities (Weaver &amp; Prowse 2020; Eckhouse 2018). </w:t>
      </w:r>
      <w:r w:rsidR="003A470F">
        <w:rPr>
          <w:rFonts w:ascii="Times New Roman" w:hAnsi="Times New Roman" w:cs="Times New Roman"/>
        </w:rPr>
        <w:t>These</w:t>
      </w:r>
      <w:r>
        <w:rPr>
          <w:rFonts w:ascii="Times New Roman" w:hAnsi="Times New Roman" w:cs="Times New Roman"/>
        </w:rPr>
        <w:t xml:space="preserve"> representational blind spots </w:t>
      </w:r>
      <w:r w:rsidR="003A470F">
        <w:rPr>
          <w:rFonts w:ascii="Times New Roman" w:hAnsi="Times New Roman" w:cs="Times New Roman"/>
        </w:rPr>
        <w:t xml:space="preserve">persist </w:t>
      </w:r>
      <w:r>
        <w:rPr>
          <w:rFonts w:ascii="Times New Roman" w:hAnsi="Times New Roman" w:cs="Times New Roman"/>
        </w:rPr>
        <w:t>even in liberal states</w:t>
      </w:r>
      <w:r w:rsidR="00055264">
        <w:rPr>
          <w:rFonts w:ascii="Times New Roman" w:hAnsi="Times New Roman" w:cs="Times New Roman"/>
        </w:rPr>
        <w:t xml:space="preserve">. </w:t>
      </w:r>
      <w:r w:rsidR="00065880">
        <w:rPr>
          <w:rFonts w:ascii="Times New Roman" w:hAnsi="Times New Roman" w:cs="Times New Roman"/>
        </w:rPr>
        <w:t>Still</w:t>
      </w:r>
      <w:r w:rsidR="00BC5549">
        <w:rPr>
          <w:rFonts w:ascii="Times New Roman" w:hAnsi="Times New Roman" w:cs="Times New Roman"/>
        </w:rPr>
        <w:t xml:space="preserve">, </w:t>
      </w:r>
      <w:r w:rsidR="00065880">
        <w:rPr>
          <w:rFonts w:ascii="Times New Roman" w:hAnsi="Times New Roman" w:cs="Times New Roman"/>
        </w:rPr>
        <w:t>Pressley and Miranda’s work illustrates that symbolic representation and epistemic inclusion are possible</w:t>
      </w:r>
      <w:r w:rsidR="00055264">
        <w:rPr>
          <w:rFonts w:ascii="Times New Roman" w:hAnsi="Times New Roman" w:cs="Times New Roman"/>
        </w:rPr>
        <w:t xml:space="preserve">, </w:t>
      </w:r>
      <w:r w:rsidR="00065880">
        <w:rPr>
          <w:rFonts w:ascii="Times New Roman" w:hAnsi="Times New Roman" w:cs="Times New Roman"/>
        </w:rPr>
        <w:t>can shift substantive outcomes</w:t>
      </w:r>
      <w:r w:rsidR="00055264">
        <w:rPr>
          <w:rFonts w:ascii="Times New Roman" w:hAnsi="Times New Roman" w:cs="Times New Roman"/>
        </w:rPr>
        <w:t xml:space="preserve"> a</w:t>
      </w:r>
      <w:r w:rsidR="001D689B">
        <w:rPr>
          <w:rFonts w:ascii="Times New Roman" w:hAnsi="Times New Roman" w:cs="Times New Roman"/>
        </w:rPr>
        <w:t>n</w:t>
      </w:r>
      <w:r w:rsidR="00055264">
        <w:rPr>
          <w:rFonts w:ascii="Times New Roman" w:hAnsi="Times New Roman" w:cs="Times New Roman"/>
        </w:rPr>
        <w:t>d</w:t>
      </w:r>
      <w:r w:rsidR="001D689B">
        <w:rPr>
          <w:rFonts w:ascii="Times New Roman" w:hAnsi="Times New Roman" w:cs="Times New Roman"/>
        </w:rPr>
        <w:t xml:space="preserve"> redraw representational boundaries</w:t>
      </w:r>
      <w:r w:rsidR="00BC5549">
        <w:rPr>
          <w:rFonts w:ascii="Times New Roman" w:hAnsi="Times New Roman" w:cs="Times New Roman"/>
        </w:rPr>
        <w:t xml:space="preserve"> </w:t>
      </w:r>
      <w:r w:rsidR="00701387" w:rsidRPr="00701387">
        <w:rPr>
          <w:rFonts w:ascii="Times New Roman" w:hAnsi="Times New Roman" w:cs="Times New Roman"/>
        </w:rPr>
        <w:t>(Brown 2014; Eckhouse 2018)</w:t>
      </w:r>
      <w:r w:rsidR="00BC5549">
        <w:rPr>
          <w:rFonts w:ascii="Times New Roman" w:hAnsi="Times New Roman" w:cs="Times New Roman"/>
        </w:rPr>
        <w:t>.</w:t>
      </w:r>
    </w:p>
    <w:p w14:paraId="35B5AF77" w14:textId="76DF08C1" w:rsidR="00AA1271" w:rsidRDefault="001D689B" w:rsidP="00545D83">
      <w:pPr>
        <w:spacing w:line="360" w:lineRule="auto"/>
        <w:rPr>
          <w:rFonts w:ascii="Times New Roman" w:hAnsi="Times New Roman" w:cs="Times New Roman"/>
        </w:rPr>
      </w:pPr>
      <w:proofErr w:type="gramStart"/>
      <w:r w:rsidRPr="00062E86">
        <w:rPr>
          <w:rFonts w:ascii="Times New Roman" w:hAnsi="Times New Roman" w:cs="Times New Roman"/>
        </w:rPr>
        <w:t>In light of</w:t>
      </w:r>
      <w:proofErr w:type="gramEnd"/>
      <w:r w:rsidRPr="00062E86">
        <w:rPr>
          <w:rFonts w:ascii="Times New Roman" w:hAnsi="Times New Roman" w:cs="Times New Roman"/>
        </w:rPr>
        <w:t xml:space="preserve"> these tensions, I ask: </w:t>
      </w:r>
      <w:r w:rsidR="00C64BAC">
        <w:rPr>
          <w:rFonts w:ascii="Times New Roman" w:hAnsi="Times New Roman" w:cs="Times New Roman"/>
        </w:rPr>
        <w:t>w</w:t>
      </w:r>
      <w:r w:rsidR="00AA1271">
        <w:rPr>
          <w:rFonts w:ascii="Times New Roman" w:hAnsi="Times New Roman" w:cs="Times New Roman"/>
        </w:rPr>
        <w:t xml:space="preserve">hen – and under what structural and </w:t>
      </w:r>
      <w:r w:rsidR="00C64BAC">
        <w:rPr>
          <w:rFonts w:ascii="Times New Roman" w:hAnsi="Times New Roman" w:cs="Times New Roman"/>
        </w:rPr>
        <w:t>identity-based</w:t>
      </w:r>
      <w:r w:rsidR="00AA1271">
        <w:rPr>
          <w:rFonts w:ascii="Times New Roman" w:hAnsi="Times New Roman" w:cs="Times New Roman"/>
        </w:rPr>
        <w:t xml:space="preserve"> conditions –</w:t>
      </w:r>
      <w:r w:rsidR="0072143D">
        <w:rPr>
          <w:rFonts w:ascii="Times New Roman" w:hAnsi="Times New Roman" w:cs="Times New Roman"/>
        </w:rPr>
        <w:t xml:space="preserve"> </w:t>
      </w:r>
      <w:r>
        <w:rPr>
          <w:rFonts w:ascii="Times New Roman" w:hAnsi="Times New Roman" w:cs="Times New Roman"/>
        </w:rPr>
        <w:t xml:space="preserve">are </w:t>
      </w:r>
      <w:r w:rsidR="00AA1271">
        <w:rPr>
          <w:rFonts w:ascii="Times New Roman" w:hAnsi="Times New Roman" w:cs="Times New Roman"/>
        </w:rPr>
        <w:t>incarcerated people</w:t>
      </w:r>
      <w:r w:rsidR="00744D2C">
        <w:rPr>
          <w:rFonts w:ascii="Times New Roman" w:hAnsi="Times New Roman" w:cs="Times New Roman"/>
        </w:rPr>
        <w:t xml:space="preserve"> </w:t>
      </w:r>
      <w:r w:rsidR="0047387E">
        <w:rPr>
          <w:rFonts w:ascii="Times New Roman" w:hAnsi="Times New Roman" w:cs="Times New Roman"/>
        </w:rPr>
        <w:t xml:space="preserve">and ‘carceral constituencies’ </w:t>
      </w:r>
      <w:r w:rsidR="00AA1271">
        <w:rPr>
          <w:rFonts w:ascii="Times New Roman" w:hAnsi="Times New Roman" w:cs="Times New Roman"/>
        </w:rPr>
        <w:t xml:space="preserve">symbolically </w:t>
      </w:r>
      <w:r w:rsidR="00034833">
        <w:rPr>
          <w:rFonts w:ascii="Times New Roman" w:hAnsi="Times New Roman" w:cs="Times New Roman"/>
        </w:rPr>
        <w:t>recognized as constituents</w:t>
      </w:r>
      <w:r w:rsidR="00C64BAC">
        <w:rPr>
          <w:rFonts w:ascii="Times New Roman" w:hAnsi="Times New Roman" w:cs="Times New Roman"/>
        </w:rPr>
        <w:t xml:space="preserve"> and epistemically included</w:t>
      </w:r>
      <w:r>
        <w:rPr>
          <w:rFonts w:ascii="Times New Roman" w:hAnsi="Times New Roman" w:cs="Times New Roman"/>
        </w:rPr>
        <w:t xml:space="preserve"> as knowers? More s</w:t>
      </w:r>
      <w:r w:rsidR="00C64BAC">
        <w:rPr>
          <w:rFonts w:ascii="Times New Roman" w:hAnsi="Times New Roman" w:cs="Times New Roman"/>
        </w:rPr>
        <w:t>pecifically, I ask</w:t>
      </w:r>
      <w:r w:rsidR="00545D83">
        <w:rPr>
          <w:rFonts w:ascii="Times New Roman" w:hAnsi="Times New Roman" w:cs="Times New Roman"/>
        </w:rPr>
        <w:t xml:space="preserve"> when do legislators (a)</w:t>
      </w:r>
      <w:r w:rsidR="00C64BAC" w:rsidRPr="001D689B">
        <w:rPr>
          <w:rFonts w:ascii="Times New Roman" w:hAnsi="Times New Roman" w:cs="Times New Roman"/>
        </w:rPr>
        <w:t xml:space="preserve"> describe incarcerated people or carceral citizens as </w:t>
      </w:r>
      <w:r w:rsidRPr="001D689B">
        <w:rPr>
          <w:rFonts w:ascii="Times New Roman" w:hAnsi="Times New Roman" w:cs="Times New Roman"/>
        </w:rPr>
        <w:t>members of their constituencies</w:t>
      </w:r>
      <w:r w:rsidR="00545D83">
        <w:rPr>
          <w:rFonts w:ascii="Times New Roman" w:hAnsi="Times New Roman" w:cs="Times New Roman"/>
        </w:rPr>
        <w:t>, (b) treat incarcerated people’s experiences or knowledge as relevant to policymaking, and (c) respond to incarcerated people as political actors rather than as policy objects</w:t>
      </w:r>
      <w:r w:rsidR="0047387E">
        <w:rPr>
          <w:rFonts w:ascii="Times New Roman" w:hAnsi="Times New Roman" w:cs="Times New Roman"/>
        </w:rPr>
        <w:t xml:space="preserve">. </w:t>
      </w:r>
      <w:r>
        <w:rPr>
          <w:rFonts w:ascii="Times New Roman" w:hAnsi="Times New Roman" w:cs="Times New Roman"/>
        </w:rPr>
        <w:t xml:space="preserve">While my </w:t>
      </w:r>
      <w:r w:rsidR="003A470F">
        <w:rPr>
          <w:rFonts w:ascii="Times New Roman" w:hAnsi="Times New Roman" w:cs="Times New Roman"/>
        </w:rPr>
        <w:t xml:space="preserve">broader </w:t>
      </w:r>
      <w:r w:rsidR="00CF0B9A">
        <w:rPr>
          <w:rFonts w:ascii="Times New Roman" w:hAnsi="Times New Roman" w:cs="Times New Roman"/>
        </w:rPr>
        <w:t>interest</w:t>
      </w:r>
      <w:r w:rsidR="003A470F">
        <w:rPr>
          <w:rFonts w:ascii="Times New Roman" w:hAnsi="Times New Roman" w:cs="Times New Roman"/>
        </w:rPr>
        <w:t xml:space="preserve"> is </w:t>
      </w:r>
      <w:r w:rsidR="00CF0B9A">
        <w:rPr>
          <w:rFonts w:ascii="Times New Roman" w:hAnsi="Times New Roman" w:cs="Times New Roman"/>
        </w:rPr>
        <w:t>in</w:t>
      </w:r>
      <w:r w:rsidR="003A470F">
        <w:rPr>
          <w:rFonts w:ascii="Times New Roman" w:hAnsi="Times New Roman" w:cs="Times New Roman"/>
        </w:rPr>
        <w:t xml:space="preserve"> </w:t>
      </w:r>
      <w:r>
        <w:rPr>
          <w:rFonts w:ascii="Times New Roman" w:hAnsi="Times New Roman" w:cs="Times New Roman"/>
        </w:rPr>
        <w:t>the relationship between symbolic representation, epistemic inclusion, and responsiveness</w:t>
      </w:r>
      <w:r w:rsidR="00F3528C">
        <w:rPr>
          <w:rFonts w:ascii="Times New Roman" w:hAnsi="Times New Roman" w:cs="Times New Roman"/>
        </w:rPr>
        <w:t xml:space="preserve">, </w:t>
      </w:r>
      <w:r>
        <w:rPr>
          <w:rFonts w:ascii="Times New Roman" w:hAnsi="Times New Roman" w:cs="Times New Roman"/>
        </w:rPr>
        <w:t xml:space="preserve">I am applying for the [fellowship year] to </w:t>
      </w:r>
      <w:r w:rsidR="00F3528C">
        <w:rPr>
          <w:rFonts w:ascii="Times New Roman" w:hAnsi="Times New Roman" w:cs="Times New Roman"/>
        </w:rPr>
        <w:t>establish</w:t>
      </w:r>
      <w:r>
        <w:rPr>
          <w:rFonts w:ascii="Times New Roman" w:hAnsi="Times New Roman" w:cs="Times New Roman"/>
        </w:rPr>
        <w:t xml:space="preserve"> baseline measures of symbolic inclusion, </w:t>
      </w:r>
      <w:r w:rsidR="00F3528C">
        <w:rPr>
          <w:rFonts w:ascii="Times New Roman" w:hAnsi="Times New Roman" w:cs="Times New Roman"/>
        </w:rPr>
        <w:t xml:space="preserve">which </w:t>
      </w:r>
      <w:r w:rsidR="00F3528C">
        <w:rPr>
          <w:rFonts w:ascii="Times New Roman" w:hAnsi="Times New Roman" w:cs="Times New Roman"/>
        </w:rPr>
        <w:lastRenderedPageBreak/>
        <w:t>will allow me to begin identifying representational boundaries within which these other dimensions develop.</w:t>
      </w:r>
    </w:p>
    <w:p w14:paraId="56530963" w14:textId="23869609" w:rsidR="001D36EF" w:rsidRPr="00062E86" w:rsidRDefault="001D36EF" w:rsidP="00FD49A1">
      <w:pPr>
        <w:spacing w:line="360" w:lineRule="auto"/>
        <w:jc w:val="center"/>
        <w:rPr>
          <w:rFonts w:ascii="Times New Roman" w:hAnsi="Times New Roman" w:cs="Times New Roman"/>
          <w:b/>
          <w:bCs/>
        </w:rPr>
      </w:pPr>
      <w:r w:rsidRPr="00062E86">
        <w:rPr>
          <w:rFonts w:ascii="Times New Roman" w:hAnsi="Times New Roman" w:cs="Times New Roman"/>
          <w:b/>
          <w:bCs/>
        </w:rPr>
        <w:t>Literature</w:t>
      </w:r>
    </w:p>
    <w:p w14:paraId="688EE254" w14:textId="6727F420" w:rsidR="009C0066" w:rsidRDefault="00C74642" w:rsidP="000F38CE">
      <w:pPr>
        <w:spacing w:line="360" w:lineRule="auto"/>
        <w:rPr>
          <w:rFonts w:ascii="Times New Roman" w:hAnsi="Times New Roman" w:cs="Times New Roman"/>
        </w:rPr>
      </w:pPr>
      <w:r>
        <w:rPr>
          <w:rFonts w:ascii="Times New Roman" w:hAnsi="Times New Roman" w:cs="Times New Roman"/>
        </w:rPr>
        <w:t xml:space="preserve">Political scientists have long recognized that representation encompasses more than congruence between constituent preference and a legislators’ roll-call votes. </w:t>
      </w:r>
      <w:r w:rsidR="006C6855">
        <w:rPr>
          <w:rFonts w:ascii="Times New Roman" w:hAnsi="Times New Roman" w:cs="Times New Roman"/>
        </w:rPr>
        <w:t>R</w:t>
      </w:r>
      <w:r>
        <w:rPr>
          <w:rFonts w:ascii="Times New Roman" w:hAnsi="Times New Roman" w:cs="Times New Roman"/>
        </w:rPr>
        <w:t xml:space="preserve">epresentatives actively construct meaning about constituency groups (Schneider and Ingram 1993), </w:t>
      </w:r>
      <w:r w:rsidR="00BA0159">
        <w:rPr>
          <w:rFonts w:ascii="Times New Roman" w:hAnsi="Times New Roman" w:cs="Times New Roman"/>
        </w:rPr>
        <w:t>interact with groups in ways that shape whom they perceive as politically relevant and in turn communicate attentiveness and concern to publics through rhetoric, presence, and performance (</w:t>
      </w:r>
      <w:proofErr w:type="spellStart"/>
      <w:r w:rsidR="00BA0159">
        <w:rPr>
          <w:rFonts w:ascii="Times New Roman" w:hAnsi="Times New Roman" w:cs="Times New Roman"/>
        </w:rPr>
        <w:t>Fenno</w:t>
      </w:r>
      <w:proofErr w:type="spellEnd"/>
      <w:r w:rsidR="00BA0159">
        <w:rPr>
          <w:rFonts w:ascii="Times New Roman" w:hAnsi="Times New Roman" w:cs="Times New Roman"/>
        </w:rPr>
        <w:t xml:space="preserve"> 1978). Representation is thus enacted through communicative practices – symbolic representation – that signal who belongs within the representative’s imagined constituency</w:t>
      </w:r>
      <w:r w:rsidR="00F93F73">
        <w:rPr>
          <w:rFonts w:ascii="Times New Roman" w:hAnsi="Times New Roman" w:cs="Times New Roman"/>
        </w:rPr>
        <w:t xml:space="preserve">, “create a sense of trust and support in the relationship between representative and represented” (Eulau &amp; </w:t>
      </w:r>
      <w:proofErr w:type="spellStart"/>
      <w:r w:rsidR="00F93F73">
        <w:rPr>
          <w:rFonts w:ascii="Times New Roman" w:hAnsi="Times New Roman" w:cs="Times New Roman"/>
        </w:rPr>
        <w:t>Karps</w:t>
      </w:r>
      <w:proofErr w:type="spellEnd"/>
      <w:r w:rsidR="00F93F73">
        <w:rPr>
          <w:rFonts w:ascii="Times New Roman" w:hAnsi="Times New Roman" w:cs="Times New Roman"/>
        </w:rPr>
        <w:t xml:space="preserve"> 1997 p</w:t>
      </w:r>
      <w:r w:rsidR="00CF0B9A">
        <w:rPr>
          <w:rFonts w:ascii="Times New Roman" w:hAnsi="Times New Roman" w:cs="Times New Roman"/>
        </w:rPr>
        <w:t xml:space="preserve">. </w:t>
      </w:r>
      <w:r w:rsidR="00F93F73">
        <w:rPr>
          <w:rFonts w:ascii="Times New Roman" w:hAnsi="Times New Roman" w:cs="Times New Roman"/>
        </w:rPr>
        <w:t xml:space="preserve">241) </w:t>
      </w:r>
      <w:r w:rsidR="009C0066">
        <w:rPr>
          <w:rFonts w:ascii="Times New Roman" w:hAnsi="Times New Roman" w:cs="Times New Roman"/>
        </w:rPr>
        <w:t>and may establish boundaries of political membership</w:t>
      </w:r>
      <w:r w:rsidR="00062E86">
        <w:rPr>
          <w:rFonts w:ascii="Times New Roman" w:hAnsi="Times New Roman" w:cs="Times New Roman"/>
        </w:rPr>
        <w:t xml:space="preserve"> (Disch 2011, Saward 2010). </w:t>
      </w:r>
      <w:r w:rsidR="009C0066">
        <w:rPr>
          <w:rFonts w:ascii="Times New Roman" w:hAnsi="Times New Roman" w:cs="Times New Roman"/>
        </w:rPr>
        <w:t>Mansbridge (1999) contends that descriptive and symbolic representation can confer legitimacy and psychological benefits on marginalized groups, particularly under conditions of historical exclusion (see also Taylor 1992, Brown 2014). Symbolic representation may moreover shape informational environments</w:t>
      </w:r>
      <w:r w:rsidR="00CF0B9A">
        <w:rPr>
          <w:rFonts w:ascii="Times New Roman" w:hAnsi="Times New Roman" w:cs="Times New Roman"/>
        </w:rPr>
        <w:t>, and both public opinion and agenda or</w:t>
      </w:r>
      <w:r w:rsidR="0096778A">
        <w:rPr>
          <w:rFonts w:ascii="Times New Roman" w:hAnsi="Times New Roman" w:cs="Times New Roman"/>
        </w:rPr>
        <w:t xml:space="preserve"> policy responsiveness </w:t>
      </w:r>
      <w:r w:rsidR="00CF0B9A">
        <w:rPr>
          <w:rFonts w:ascii="Times New Roman" w:hAnsi="Times New Roman" w:cs="Times New Roman"/>
        </w:rPr>
        <w:t>in turn</w:t>
      </w:r>
      <w:r w:rsidR="0047387E">
        <w:rPr>
          <w:rFonts w:ascii="Times New Roman" w:hAnsi="Times New Roman" w:cs="Times New Roman"/>
        </w:rPr>
        <w:t xml:space="preserve"> </w:t>
      </w:r>
      <w:r w:rsidR="0096778A">
        <w:rPr>
          <w:rFonts w:ascii="Times New Roman" w:hAnsi="Times New Roman" w:cs="Times New Roman"/>
        </w:rPr>
        <w:t xml:space="preserve">(Gillion 2013). Together, these literatures establish that symbolic representation is </w:t>
      </w:r>
      <w:r w:rsidR="0047387E">
        <w:rPr>
          <w:rFonts w:ascii="Times New Roman" w:hAnsi="Times New Roman" w:cs="Times New Roman"/>
        </w:rPr>
        <w:t xml:space="preserve">a </w:t>
      </w:r>
      <w:r w:rsidR="0096778A">
        <w:rPr>
          <w:rFonts w:ascii="Times New Roman" w:hAnsi="Times New Roman" w:cs="Times New Roman"/>
        </w:rPr>
        <w:t>consequential dimension of democratic practice.</w:t>
      </w:r>
    </w:p>
    <w:p w14:paraId="422D4AD3" w14:textId="523FD6D9" w:rsidR="00DA78EB" w:rsidRPr="00CF0B9A" w:rsidRDefault="0096778A" w:rsidP="000F38CE">
      <w:pPr>
        <w:spacing w:line="360" w:lineRule="auto"/>
        <w:rPr>
          <w:rFonts w:ascii="Times New Roman" w:hAnsi="Times New Roman" w:cs="Times New Roman"/>
          <w:b/>
          <w:bCs/>
        </w:rPr>
      </w:pPr>
      <w:r w:rsidRPr="00B12A90">
        <w:rPr>
          <w:rFonts w:ascii="Times New Roman" w:hAnsi="Times New Roman" w:cs="Times New Roman"/>
          <w:i/>
          <w:iCs/>
        </w:rPr>
        <w:t>Symbolic Representation – Speech and Gesture</w:t>
      </w:r>
      <w:r w:rsidR="00CF0B9A" w:rsidRPr="00B12A90">
        <w:rPr>
          <w:rFonts w:ascii="Times New Roman" w:hAnsi="Times New Roman" w:cs="Times New Roman"/>
          <w:i/>
          <w:iCs/>
        </w:rPr>
        <w:t xml:space="preserve"> </w:t>
      </w:r>
      <w:r w:rsidR="00B12A90">
        <w:rPr>
          <w:rFonts w:ascii="Times New Roman" w:hAnsi="Times New Roman" w:cs="Times New Roman"/>
          <w:i/>
          <w:iCs/>
        </w:rPr>
        <w:t xml:space="preserve">– </w:t>
      </w:r>
      <w:r>
        <w:rPr>
          <w:rFonts w:ascii="Times New Roman" w:hAnsi="Times New Roman" w:cs="Times New Roman"/>
        </w:rPr>
        <w:t>Despite its theoretical importance, symbolic representation is difficult to study empirically. These gestures may be diffuse and embedded in everyday political communication beyond floor speeches and mailers. Early empirical work often relied on indicators</w:t>
      </w:r>
      <w:r w:rsidR="00273A8F">
        <w:rPr>
          <w:rFonts w:ascii="Times New Roman" w:hAnsi="Times New Roman" w:cs="Times New Roman"/>
        </w:rPr>
        <w:t xml:space="preserve"> like</w:t>
      </w:r>
      <w:r>
        <w:rPr>
          <w:rFonts w:ascii="Times New Roman" w:hAnsi="Times New Roman" w:cs="Times New Roman"/>
        </w:rPr>
        <w:t xml:space="preserve"> commemorative legislation or reference to specific historic symbols (e.g. Tate 2003, Sinclair-Chapman 2002). Advances in large scale text analysis, however, have made it possible to study symbolic representation systematically through much larger quantities of legislators’ speech. Notably, Vishwanath’s (2025) analysis of congressional newsletters and floor speeches </w:t>
      </w:r>
      <w:r w:rsidR="00273A8F">
        <w:rPr>
          <w:rFonts w:ascii="Times New Roman" w:hAnsi="Times New Roman" w:cs="Times New Roman"/>
        </w:rPr>
        <w:t xml:space="preserve">operationalizes symbolic representation as speech that invokes minority groups either by name or via </w:t>
      </w:r>
      <w:proofErr w:type="gramStart"/>
      <w:r w:rsidR="00273A8F">
        <w:rPr>
          <w:rFonts w:ascii="Times New Roman" w:hAnsi="Times New Roman" w:cs="Times New Roman"/>
        </w:rPr>
        <w:t>symbols, and</w:t>
      </w:r>
      <w:proofErr w:type="gramEnd"/>
      <w:r w:rsidR="00273A8F">
        <w:rPr>
          <w:rFonts w:ascii="Times New Roman" w:hAnsi="Times New Roman" w:cs="Times New Roman"/>
        </w:rPr>
        <w:t xml:space="preserve"> </w:t>
      </w:r>
      <w:r>
        <w:rPr>
          <w:rFonts w:ascii="Times New Roman" w:hAnsi="Times New Roman" w:cs="Times New Roman"/>
        </w:rPr>
        <w:t>provides the most comprehensive empirical examination of symbolic representation to date.</w:t>
      </w:r>
      <w:r w:rsidR="00273A8F">
        <w:rPr>
          <w:rFonts w:ascii="Times New Roman" w:hAnsi="Times New Roman" w:cs="Times New Roman"/>
        </w:rPr>
        <w:t xml:space="preserve"> </w:t>
      </w:r>
      <w:r w:rsidR="00F93F73">
        <w:rPr>
          <w:rFonts w:ascii="Times New Roman" w:hAnsi="Times New Roman" w:cs="Times New Roman"/>
        </w:rPr>
        <w:t>His</w:t>
      </w:r>
      <w:r w:rsidR="00DA78EB">
        <w:rPr>
          <w:rFonts w:ascii="Times New Roman" w:hAnsi="Times New Roman" w:cs="Times New Roman"/>
        </w:rPr>
        <w:t xml:space="preserve"> </w:t>
      </w:r>
      <w:r w:rsidR="00F93F73">
        <w:rPr>
          <w:rFonts w:ascii="Times New Roman" w:hAnsi="Times New Roman" w:cs="Times New Roman"/>
        </w:rPr>
        <w:t>findings --</w:t>
      </w:r>
      <w:r w:rsidR="00DA78EB">
        <w:rPr>
          <w:rFonts w:ascii="Times New Roman" w:hAnsi="Times New Roman" w:cs="Times New Roman"/>
        </w:rPr>
        <w:t xml:space="preserve"> that white legislators are more likely to symbolically reference racial minority groups when those groups comprise a larger share of their constituency</w:t>
      </w:r>
      <w:r w:rsidR="00F93F73">
        <w:rPr>
          <w:rFonts w:ascii="Times New Roman" w:hAnsi="Times New Roman" w:cs="Times New Roman"/>
        </w:rPr>
        <w:t xml:space="preserve"> – adds </w:t>
      </w:r>
      <w:r w:rsidR="00DA78EB">
        <w:rPr>
          <w:rFonts w:ascii="Times New Roman" w:hAnsi="Times New Roman" w:cs="Times New Roman"/>
        </w:rPr>
        <w:t xml:space="preserve">to evidence that symbolic representation is structured by </w:t>
      </w:r>
      <w:r w:rsidR="00DA78EB">
        <w:rPr>
          <w:rFonts w:ascii="Times New Roman" w:hAnsi="Times New Roman" w:cs="Times New Roman"/>
        </w:rPr>
        <w:lastRenderedPageBreak/>
        <w:t>incentives: legislators speak more about groups with whom they associate clear policy interests and are in greater contact (</w:t>
      </w:r>
      <w:proofErr w:type="spellStart"/>
      <w:r w:rsidR="00DA78EB">
        <w:rPr>
          <w:rFonts w:ascii="Times New Roman" w:hAnsi="Times New Roman" w:cs="Times New Roman"/>
        </w:rPr>
        <w:t>Fenno</w:t>
      </w:r>
      <w:proofErr w:type="spellEnd"/>
      <w:r w:rsidR="00DA78EB">
        <w:rPr>
          <w:rFonts w:ascii="Times New Roman" w:hAnsi="Times New Roman" w:cs="Times New Roman"/>
        </w:rPr>
        <w:t xml:space="preserve"> 1978)</w:t>
      </w:r>
      <w:r w:rsidR="00F93F73">
        <w:rPr>
          <w:rFonts w:ascii="Times New Roman" w:hAnsi="Times New Roman" w:cs="Times New Roman"/>
        </w:rPr>
        <w:t>, and who are electorally visible (Miler 2010, Gillion 2013, Enos et al 2019)</w:t>
      </w:r>
      <w:r w:rsidR="00B12A90">
        <w:rPr>
          <w:rFonts w:ascii="Times New Roman" w:hAnsi="Times New Roman" w:cs="Times New Roman"/>
        </w:rPr>
        <w:t>, suggesting that symbolic representation is like other forms of responsiveness that</w:t>
      </w:r>
      <w:r w:rsidR="00273A8F">
        <w:rPr>
          <w:rFonts w:ascii="Times New Roman" w:hAnsi="Times New Roman" w:cs="Times New Roman"/>
        </w:rPr>
        <w:t xml:space="preserve"> are conditioned by the degree to which a group is seen as valuable for re-election, and as deserving (Mayhew 1974, Schneider and Ingram 1992). </w:t>
      </w:r>
    </w:p>
    <w:p w14:paraId="44E75DDB" w14:textId="31F09453" w:rsidR="00DA217A" w:rsidRDefault="00B12A90" w:rsidP="000F38CE">
      <w:pPr>
        <w:spacing w:line="360" w:lineRule="auto"/>
        <w:rPr>
          <w:rFonts w:ascii="Times New Roman" w:hAnsi="Times New Roman" w:cs="Times New Roman"/>
        </w:rPr>
      </w:pPr>
      <w:r>
        <w:rPr>
          <w:rFonts w:ascii="Times New Roman" w:hAnsi="Times New Roman" w:cs="Times New Roman"/>
        </w:rPr>
        <w:t>Symbolic representation literature</w:t>
      </w:r>
      <w:r w:rsidR="0006559C">
        <w:rPr>
          <w:rFonts w:ascii="Times New Roman" w:hAnsi="Times New Roman" w:cs="Times New Roman"/>
        </w:rPr>
        <w:t xml:space="preserve"> builds on Popkin</w:t>
      </w:r>
      <w:r w:rsidR="0047387E">
        <w:rPr>
          <w:rFonts w:ascii="Times New Roman" w:hAnsi="Times New Roman" w:cs="Times New Roman"/>
        </w:rPr>
        <w:t>’s</w:t>
      </w:r>
      <w:r w:rsidR="0006559C">
        <w:rPr>
          <w:rFonts w:ascii="Times New Roman" w:hAnsi="Times New Roman" w:cs="Times New Roman"/>
        </w:rPr>
        <w:t xml:space="preserve"> (1994) </w:t>
      </w:r>
      <w:r w:rsidR="0047387E">
        <w:rPr>
          <w:rFonts w:ascii="Times New Roman" w:hAnsi="Times New Roman" w:cs="Times New Roman"/>
        </w:rPr>
        <w:t xml:space="preserve">interest in how voters </w:t>
      </w:r>
      <w:r>
        <w:rPr>
          <w:rFonts w:ascii="Times New Roman" w:hAnsi="Times New Roman" w:cs="Times New Roman"/>
        </w:rPr>
        <w:t>internalize</w:t>
      </w:r>
      <w:r w:rsidR="0047387E">
        <w:rPr>
          <w:rFonts w:ascii="Times New Roman" w:hAnsi="Times New Roman" w:cs="Times New Roman"/>
        </w:rPr>
        <w:t xml:space="preserve"> symbolic </w:t>
      </w:r>
      <w:r w:rsidR="0006559C">
        <w:rPr>
          <w:rFonts w:ascii="Times New Roman" w:hAnsi="Times New Roman" w:cs="Times New Roman"/>
        </w:rPr>
        <w:t xml:space="preserve">cues like Gerald Ford’s </w:t>
      </w:r>
      <w:proofErr w:type="gramStart"/>
      <w:r w:rsidR="0006559C">
        <w:rPr>
          <w:rFonts w:ascii="Times New Roman" w:hAnsi="Times New Roman" w:cs="Times New Roman"/>
        </w:rPr>
        <w:t>widely</w:t>
      </w:r>
      <w:r>
        <w:rPr>
          <w:rFonts w:ascii="Times New Roman" w:hAnsi="Times New Roman" w:cs="Times New Roman"/>
        </w:rPr>
        <w:t>-</w:t>
      </w:r>
      <w:r w:rsidR="0006559C">
        <w:rPr>
          <w:rFonts w:ascii="Times New Roman" w:hAnsi="Times New Roman" w:cs="Times New Roman"/>
        </w:rPr>
        <w:t>cited</w:t>
      </w:r>
      <w:proofErr w:type="gramEnd"/>
      <w:r w:rsidR="0006559C">
        <w:rPr>
          <w:rFonts w:ascii="Times New Roman" w:hAnsi="Times New Roman" w:cs="Times New Roman"/>
        </w:rPr>
        <w:t xml:space="preserve"> </w:t>
      </w:r>
      <w:r>
        <w:rPr>
          <w:rFonts w:ascii="Times New Roman" w:hAnsi="Times New Roman" w:cs="Times New Roman"/>
        </w:rPr>
        <w:t xml:space="preserve">husk-biting </w:t>
      </w:r>
      <w:r w:rsidR="0006559C">
        <w:rPr>
          <w:rFonts w:ascii="Times New Roman" w:hAnsi="Times New Roman" w:cs="Times New Roman"/>
        </w:rPr>
        <w:t>tamale incident</w:t>
      </w:r>
      <w:r w:rsidR="0047387E">
        <w:rPr>
          <w:rFonts w:ascii="Times New Roman" w:hAnsi="Times New Roman" w:cs="Times New Roman"/>
        </w:rPr>
        <w:t xml:space="preserve"> to form political judgements</w:t>
      </w:r>
      <w:r w:rsidR="0006559C">
        <w:rPr>
          <w:rFonts w:ascii="Times New Roman" w:hAnsi="Times New Roman" w:cs="Times New Roman"/>
        </w:rPr>
        <w:t xml:space="preserve">. </w:t>
      </w:r>
      <w:r>
        <w:rPr>
          <w:rFonts w:ascii="Times New Roman" w:hAnsi="Times New Roman" w:cs="Times New Roman"/>
        </w:rPr>
        <w:t>S</w:t>
      </w:r>
      <w:r w:rsidR="0006559C">
        <w:rPr>
          <w:rFonts w:ascii="Times New Roman" w:hAnsi="Times New Roman" w:cs="Times New Roman"/>
        </w:rPr>
        <w:t>uch moments function as “tests” of recognition and shape voters</w:t>
      </w:r>
      <w:r w:rsidR="00405AEB">
        <w:rPr>
          <w:rFonts w:ascii="Times New Roman" w:hAnsi="Times New Roman" w:cs="Times New Roman"/>
        </w:rPr>
        <w:t>’</w:t>
      </w:r>
      <w:r w:rsidR="0006559C">
        <w:rPr>
          <w:rFonts w:ascii="Times New Roman" w:hAnsi="Times New Roman" w:cs="Times New Roman"/>
        </w:rPr>
        <w:t xml:space="preserve"> perceptions of whether a candidate understands or cares about their community </w:t>
      </w:r>
      <w:r w:rsidR="00405AEB">
        <w:rPr>
          <w:rFonts w:ascii="Times New Roman" w:hAnsi="Times New Roman" w:cs="Times New Roman"/>
        </w:rPr>
        <w:t>(and political outcomes in turn) underscor</w:t>
      </w:r>
      <w:r>
        <w:rPr>
          <w:rFonts w:ascii="Times New Roman" w:hAnsi="Times New Roman" w:cs="Times New Roman"/>
        </w:rPr>
        <w:t xml:space="preserve">ing </w:t>
      </w:r>
      <w:r w:rsidR="00405AEB">
        <w:rPr>
          <w:rFonts w:ascii="Times New Roman" w:hAnsi="Times New Roman" w:cs="Times New Roman"/>
        </w:rPr>
        <w:t xml:space="preserve">an epistemic </w:t>
      </w:r>
      <w:r>
        <w:rPr>
          <w:rFonts w:ascii="Times New Roman" w:hAnsi="Times New Roman" w:cs="Times New Roman"/>
        </w:rPr>
        <w:t>dimension</w:t>
      </w:r>
      <w:r w:rsidR="00405AEB">
        <w:rPr>
          <w:rFonts w:ascii="Times New Roman" w:hAnsi="Times New Roman" w:cs="Times New Roman"/>
        </w:rPr>
        <w:t xml:space="preserve"> of symbolic recognition. These moments can signal whether</w:t>
      </w:r>
      <w:r w:rsidR="00CF0B9A">
        <w:rPr>
          <w:rFonts w:ascii="Times New Roman" w:hAnsi="Times New Roman" w:cs="Times New Roman"/>
        </w:rPr>
        <w:t xml:space="preserve"> – or not –</w:t>
      </w:r>
      <w:r w:rsidR="00405AEB">
        <w:rPr>
          <w:rFonts w:ascii="Times New Roman" w:hAnsi="Times New Roman" w:cs="Times New Roman"/>
        </w:rPr>
        <w:t xml:space="preserve"> a representative possesses the hermeneutic resources necessary to articulate a group’s experiences within political discourse</w:t>
      </w:r>
      <w:r w:rsidR="00CF0B9A">
        <w:rPr>
          <w:rFonts w:ascii="Times New Roman" w:hAnsi="Times New Roman" w:cs="Times New Roman"/>
        </w:rPr>
        <w:t xml:space="preserve"> </w:t>
      </w:r>
      <w:r w:rsidR="00696A9B">
        <w:rPr>
          <w:rFonts w:ascii="Times New Roman" w:hAnsi="Times New Roman" w:cs="Times New Roman"/>
        </w:rPr>
        <w:t>and frame</w:t>
      </w:r>
      <w:r w:rsidR="0047387E">
        <w:rPr>
          <w:rFonts w:ascii="Times New Roman" w:hAnsi="Times New Roman" w:cs="Times New Roman"/>
        </w:rPr>
        <w:t xml:space="preserve"> </w:t>
      </w:r>
      <w:r w:rsidR="00696A9B">
        <w:rPr>
          <w:rFonts w:ascii="Times New Roman" w:hAnsi="Times New Roman" w:cs="Times New Roman"/>
        </w:rPr>
        <w:t xml:space="preserve">political problems and solutions </w:t>
      </w:r>
      <w:r w:rsidR="00CF0B9A">
        <w:rPr>
          <w:rFonts w:ascii="Times New Roman" w:hAnsi="Times New Roman" w:cs="Times New Roman"/>
        </w:rPr>
        <w:t>in</w:t>
      </w:r>
      <w:r w:rsidR="00545D83">
        <w:rPr>
          <w:rFonts w:ascii="Times New Roman" w:hAnsi="Times New Roman" w:cs="Times New Roman"/>
        </w:rPr>
        <w:t xml:space="preserve"> </w:t>
      </w:r>
      <w:r w:rsidR="00CF0B9A">
        <w:rPr>
          <w:rFonts w:ascii="Times New Roman" w:hAnsi="Times New Roman" w:cs="Times New Roman"/>
        </w:rPr>
        <w:t>resonant ways</w:t>
      </w:r>
      <w:r w:rsidR="00696A9B">
        <w:rPr>
          <w:rFonts w:ascii="Times New Roman" w:hAnsi="Times New Roman" w:cs="Times New Roman"/>
        </w:rPr>
        <w:t xml:space="preserve"> (Pottle 2025). Moreover, while symbolic representation as communicative practice can be observed, coded, and analyzed through legislative speech, Popkin’s example </w:t>
      </w:r>
      <w:r w:rsidR="00CF0B9A">
        <w:rPr>
          <w:rFonts w:ascii="Times New Roman" w:hAnsi="Times New Roman" w:cs="Times New Roman"/>
        </w:rPr>
        <w:t>obviates that not all symbolic gestures are alike.</w:t>
      </w:r>
      <w:r w:rsidR="00696A9B">
        <w:rPr>
          <w:rFonts w:ascii="Times New Roman" w:hAnsi="Times New Roman" w:cs="Times New Roman"/>
        </w:rPr>
        <w:t xml:space="preserve"> </w:t>
      </w:r>
    </w:p>
    <w:p w14:paraId="1A2D1BD2" w14:textId="03D0AA0D" w:rsidR="000C1317" w:rsidRPr="00CF0B9A" w:rsidRDefault="007C6BAF" w:rsidP="000F38CE">
      <w:pPr>
        <w:spacing w:line="360" w:lineRule="auto"/>
        <w:rPr>
          <w:rFonts w:ascii="Times New Roman" w:hAnsi="Times New Roman" w:cs="Times New Roman"/>
          <w:b/>
          <w:bCs/>
        </w:rPr>
      </w:pPr>
      <w:r>
        <w:rPr>
          <w:rFonts w:ascii="Times New Roman" w:hAnsi="Times New Roman" w:cs="Times New Roman"/>
          <w:b/>
          <w:bCs/>
        </w:rPr>
        <w:t>Carceral Politics and Epistemic Exclusion</w:t>
      </w:r>
      <w:r w:rsidR="00CF0B9A">
        <w:rPr>
          <w:rFonts w:ascii="Times New Roman" w:hAnsi="Times New Roman" w:cs="Times New Roman"/>
          <w:b/>
          <w:bCs/>
        </w:rPr>
        <w:t xml:space="preserve"> – </w:t>
      </w:r>
      <w:r>
        <w:rPr>
          <w:rFonts w:ascii="Times New Roman" w:hAnsi="Times New Roman" w:cs="Times New Roman"/>
        </w:rPr>
        <w:t xml:space="preserve">While scholarship on symbolic representation has focused primarily on electorally visible groups, a parallel literature on criminal legal politics </w:t>
      </w:r>
      <w:r w:rsidR="001D058D">
        <w:rPr>
          <w:rFonts w:ascii="Times New Roman" w:hAnsi="Times New Roman" w:cs="Times New Roman"/>
        </w:rPr>
        <w:t xml:space="preserve">shows that </w:t>
      </w:r>
      <w:r>
        <w:rPr>
          <w:rFonts w:ascii="Times New Roman" w:hAnsi="Times New Roman" w:cs="Times New Roman"/>
        </w:rPr>
        <w:t>highly police and incarcerated communities</w:t>
      </w:r>
      <w:r w:rsidR="001D058D">
        <w:rPr>
          <w:rFonts w:ascii="Times New Roman" w:hAnsi="Times New Roman" w:cs="Times New Roman"/>
        </w:rPr>
        <w:t xml:space="preserve"> confront distinctive representational distortions</w:t>
      </w:r>
      <w:r>
        <w:rPr>
          <w:rFonts w:ascii="Times New Roman" w:hAnsi="Times New Roman" w:cs="Times New Roman"/>
        </w:rPr>
        <w:t xml:space="preserve">. They are systematically excluded from electoral participation </w:t>
      </w:r>
      <w:r w:rsidR="00800801">
        <w:rPr>
          <w:rFonts w:ascii="Times New Roman" w:hAnsi="Times New Roman" w:cs="Times New Roman"/>
        </w:rPr>
        <w:t xml:space="preserve">through </w:t>
      </w:r>
      <w:r w:rsidR="00800801">
        <w:rPr>
          <w:rFonts w:ascii="Times New Roman" w:hAnsi="Times New Roman" w:cs="Times New Roman"/>
          <w:i/>
          <w:iCs/>
        </w:rPr>
        <w:t>de jure</w:t>
      </w:r>
      <w:r w:rsidR="00800801">
        <w:rPr>
          <w:rFonts w:ascii="Times New Roman" w:hAnsi="Times New Roman" w:cs="Times New Roman"/>
        </w:rPr>
        <w:t xml:space="preserve"> and </w:t>
      </w:r>
      <w:r w:rsidR="00800801">
        <w:rPr>
          <w:rFonts w:ascii="Times New Roman" w:hAnsi="Times New Roman" w:cs="Times New Roman"/>
          <w:i/>
          <w:iCs/>
        </w:rPr>
        <w:t>de facto</w:t>
      </w:r>
      <w:r w:rsidR="00800801">
        <w:rPr>
          <w:rFonts w:ascii="Times New Roman" w:hAnsi="Times New Roman" w:cs="Times New Roman"/>
        </w:rPr>
        <w:t xml:space="preserve"> disenfranchisement</w:t>
      </w:r>
      <w:r w:rsidR="001D058D">
        <w:rPr>
          <w:rFonts w:ascii="Times New Roman" w:hAnsi="Times New Roman" w:cs="Times New Roman"/>
        </w:rPr>
        <w:t>; dislocated from political power through the apportionment of prison populations to the prison district, and geographically</w:t>
      </w:r>
      <w:r w:rsidR="00800801">
        <w:rPr>
          <w:rFonts w:ascii="Times New Roman" w:hAnsi="Times New Roman" w:cs="Times New Roman"/>
        </w:rPr>
        <w:t xml:space="preserve"> and </w:t>
      </w:r>
      <w:r w:rsidR="001D058D">
        <w:rPr>
          <w:rFonts w:ascii="Times New Roman" w:hAnsi="Times New Roman" w:cs="Times New Roman"/>
        </w:rPr>
        <w:t>communicatively</w:t>
      </w:r>
      <w:r w:rsidR="00800801">
        <w:rPr>
          <w:rFonts w:ascii="Times New Roman" w:hAnsi="Times New Roman" w:cs="Times New Roman"/>
        </w:rPr>
        <w:t xml:space="preserve"> </w:t>
      </w:r>
      <w:r w:rsidR="001D058D">
        <w:rPr>
          <w:rFonts w:ascii="Times New Roman" w:hAnsi="Times New Roman" w:cs="Times New Roman"/>
        </w:rPr>
        <w:t xml:space="preserve">isolated </w:t>
      </w:r>
      <w:r>
        <w:rPr>
          <w:rFonts w:ascii="Times New Roman" w:hAnsi="Times New Roman" w:cs="Times New Roman"/>
        </w:rPr>
        <w:t xml:space="preserve">– rendering them politically “invisible” in ways that are distinct from other marginalized groups </w:t>
      </w:r>
      <w:r w:rsidR="00800801">
        <w:rPr>
          <w:rFonts w:ascii="Times New Roman" w:hAnsi="Times New Roman" w:cs="Times New Roman"/>
        </w:rPr>
        <w:t>(Pottle 2025, Nellis 2014</w:t>
      </w:r>
      <w:r w:rsidR="00273A8F">
        <w:rPr>
          <w:rFonts w:ascii="Times New Roman" w:hAnsi="Times New Roman" w:cs="Times New Roman"/>
        </w:rPr>
        <w:t xml:space="preserve">, </w:t>
      </w:r>
      <w:r w:rsidR="00800801">
        <w:rPr>
          <w:rFonts w:ascii="Times New Roman" w:hAnsi="Times New Roman" w:cs="Times New Roman"/>
        </w:rPr>
        <w:t>Thorpe</w:t>
      </w:r>
      <w:r w:rsidR="001D058D">
        <w:rPr>
          <w:rFonts w:ascii="Times New Roman" w:hAnsi="Times New Roman" w:cs="Times New Roman"/>
        </w:rPr>
        <w:t xml:space="preserve"> 2015</w:t>
      </w:r>
      <w:r w:rsidR="00800801">
        <w:rPr>
          <w:rFonts w:ascii="Times New Roman" w:hAnsi="Times New Roman" w:cs="Times New Roman"/>
        </w:rPr>
        <w:t>; Weaver and Lerman</w:t>
      </w:r>
      <w:r w:rsidR="00273A8F">
        <w:rPr>
          <w:rFonts w:ascii="Times New Roman" w:hAnsi="Times New Roman" w:cs="Times New Roman"/>
        </w:rPr>
        <w:t xml:space="preserve"> </w:t>
      </w:r>
      <w:r w:rsidR="00545D83">
        <w:rPr>
          <w:rFonts w:ascii="Times New Roman" w:hAnsi="Times New Roman" w:cs="Times New Roman"/>
        </w:rPr>
        <w:t>2010</w:t>
      </w:r>
      <w:r w:rsidR="00273A8F">
        <w:rPr>
          <w:rFonts w:ascii="Times New Roman" w:hAnsi="Times New Roman" w:cs="Times New Roman"/>
        </w:rPr>
        <w:t>, Schneider and Ingram</w:t>
      </w:r>
      <w:r w:rsidR="00545D83">
        <w:rPr>
          <w:rFonts w:ascii="Times New Roman" w:hAnsi="Times New Roman" w:cs="Times New Roman"/>
        </w:rPr>
        <w:t xml:space="preserve"> 1992</w:t>
      </w:r>
      <w:r w:rsidR="00800801">
        <w:rPr>
          <w:rFonts w:ascii="Times New Roman" w:hAnsi="Times New Roman" w:cs="Times New Roman"/>
        </w:rPr>
        <w:t xml:space="preserve">). </w:t>
      </w:r>
      <w:r w:rsidR="00273A8F">
        <w:rPr>
          <w:rFonts w:ascii="Times New Roman" w:hAnsi="Times New Roman" w:cs="Times New Roman"/>
        </w:rPr>
        <w:t xml:space="preserve">Among other reasons, </w:t>
      </w:r>
      <w:r w:rsidR="00AB27E8">
        <w:rPr>
          <w:rFonts w:ascii="Times New Roman" w:hAnsi="Times New Roman" w:cs="Times New Roman"/>
        </w:rPr>
        <w:t xml:space="preserve">these factors may be judged as “democratically perverse” because carceral state contact generates “dual knowledge,” or understandings of state power as domination and racial authoritarianism (Weaver, Prowse, &amp; Piston 2019; Weaver and Hinton 2020). </w:t>
      </w:r>
      <w:r w:rsidR="00545D83">
        <w:rPr>
          <w:rFonts w:ascii="Times New Roman" w:hAnsi="Times New Roman" w:cs="Times New Roman"/>
        </w:rPr>
        <w:t xml:space="preserve">Moreover, </w:t>
      </w:r>
      <w:r w:rsidR="0094038A">
        <w:rPr>
          <w:rFonts w:ascii="Times New Roman" w:hAnsi="Times New Roman" w:cs="Times New Roman"/>
        </w:rPr>
        <w:t>such knowledges compete with</w:t>
      </w:r>
      <w:r w:rsidR="00545D83">
        <w:rPr>
          <w:rFonts w:ascii="Times New Roman" w:hAnsi="Times New Roman" w:cs="Times New Roman"/>
        </w:rPr>
        <w:t xml:space="preserve"> </w:t>
      </w:r>
      <w:r w:rsidR="0094038A">
        <w:rPr>
          <w:rFonts w:ascii="Times New Roman" w:hAnsi="Times New Roman" w:cs="Times New Roman"/>
        </w:rPr>
        <w:t>the</w:t>
      </w:r>
      <w:r w:rsidR="000C1317">
        <w:rPr>
          <w:rFonts w:ascii="Times New Roman" w:hAnsi="Times New Roman" w:cs="Times New Roman"/>
        </w:rPr>
        <w:t xml:space="preserve"> interests of “counter -constituencies” like carceral economies (Thorpe 2015) </w:t>
      </w:r>
      <w:r w:rsidR="0094038A">
        <w:rPr>
          <w:rFonts w:ascii="Times New Roman" w:hAnsi="Times New Roman" w:cs="Times New Roman"/>
        </w:rPr>
        <w:t>and</w:t>
      </w:r>
      <w:r w:rsidR="000C1317">
        <w:rPr>
          <w:rFonts w:ascii="Times New Roman" w:hAnsi="Times New Roman" w:cs="Times New Roman"/>
        </w:rPr>
        <w:t xml:space="preserve"> the stigmatization and racialization of criminality (Smiley</w:t>
      </w:r>
      <w:r w:rsidR="001D058D">
        <w:rPr>
          <w:rFonts w:ascii="Times New Roman" w:hAnsi="Times New Roman" w:cs="Times New Roman"/>
        </w:rPr>
        <w:t xml:space="preserve"> 2016</w:t>
      </w:r>
      <w:r w:rsidR="000C1317">
        <w:rPr>
          <w:rFonts w:ascii="Times New Roman" w:hAnsi="Times New Roman" w:cs="Times New Roman"/>
        </w:rPr>
        <w:t>)</w:t>
      </w:r>
      <w:r w:rsidR="0094038A">
        <w:rPr>
          <w:rFonts w:ascii="Times New Roman" w:hAnsi="Times New Roman" w:cs="Times New Roman"/>
        </w:rPr>
        <w:t xml:space="preserve">. </w:t>
      </w:r>
    </w:p>
    <w:p w14:paraId="0944339E" w14:textId="0E3B8622" w:rsidR="000C1317" w:rsidRDefault="000C1317" w:rsidP="000F38CE">
      <w:pPr>
        <w:spacing w:line="360" w:lineRule="auto"/>
        <w:rPr>
          <w:rFonts w:ascii="Times New Roman" w:hAnsi="Times New Roman" w:cs="Times New Roman"/>
        </w:rPr>
      </w:pPr>
      <w:r>
        <w:rPr>
          <w:rFonts w:ascii="Times New Roman" w:hAnsi="Times New Roman" w:cs="Times New Roman"/>
        </w:rPr>
        <w:t>Pottle (20</w:t>
      </w:r>
      <w:r w:rsidR="00B56B85">
        <w:rPr>
          <w:rFonts w:ascii="Times New Roman" w:hAnsi="Times New Roman" w:cs="Times New Roman"/>
        </w:rPr>
        <w:t>2</w:t>
      </w:r>
      <w:r>
        <w:rPr>
          <w:rFonts w:ascii="Times New Roman" w:hAnsi="Times New Roman" w:cs="Times New Roman"/>
        </w:rPr>
        <w:t xml:space="preserve">5) provides a theoretical framework for understanding this dynamic as a form of epistemic injustice embedded in electoral institutions. Electoral incentives, he argues, shape not </w:t>
      </w:r>
      <w:r>
        <w:rPr>
          <w:rFonts w:ascii="Times New Roman" w:hAnsi="Times New Roman" w:cs="Times New Roman"/>
        </w:rPr>
        <w:lastRenderedPageBreak/>
        <w:t xml:space="preserve">only policy choices but the production and circulation of political knowledge. Groups with low strategic value – such as incarcerated people – are systematically excluded from the interpretive frameworks legislators rely on to define problems and solutions, </w:t>
      </w:r>
      <w:r w:rsidR="00B56B85">
        <w:rPr>
          <w:rFonts w:ascii="Times New Roman" w:hAnsi="Times New Roman" w:cs="Times New Roman"/>
        </w:rPr>
        <w:t>and this exclusion is path-dependent: as “knowers,” excluded groups may be constructed as uncredible (termed testimonial injustice), and by virtue of being outside the sedimented political “mainstream” knowledge itself is dismissed (hermeneutic injustice</w:t>
      </w:r>
      <w:r w:rsidR="0094038A">
        <w:rPr>
          <w:rFonts w:ascii="Times New Roman" w:hAnsi="Times New Roman" w:cs="Times New Roman"/>
        </w:rPr>
        <w:t>)</w:t>
      </w:r>
      <w:r w:rsidR="00B56B85">
        <w:rPr>
          <w:rFonts w:ascii="Times New Roman" w:hAnsi="Times New Roman" w:cs="Times New Roman"/>
        </w:rPr>
        <w:t xml:space="preserve">. Under these conditions, </w:t>
      </w:r>
      <w:r w:rsidR="001D058D">
        <w:rPr>
          <w:rFonts w:ascii="Times New Roman" w:hAnsi="Times New Roman" w:cs="Times New Roman"/>
        </w:rPr>
        <w:t xml:space="preserve">acts of </w:t>
      </w:r>
      <w:r w:rsidR="00B56B85">
        <w:rPr>
          <w:rFonts w:ascii="Times New Roman" w:hAnsi="Times New Roman" w:cs="Times New Roman"/>
        </w:rPr>
        <w:t xml:space="preserve">symbolic recognition may </w:t>
      </w:r>
      <w:r w:rsidR="001D058D">
        <w:rPr>
          <w:rFonts w:ascii="Times New Roman" w:hAnsi="Times New Roman" w:cs="Times New Roman"/>
        </w:rPr>
        <w:t>be</w:t>
      </w:r>
      <w:r w:rsidR="00B56B85">
        <w:rPr>
          <w:rFonts w:ascii="Times New Roman" w:hAnsi="Times New Roman" w:cs="Times New Roman"/>
        </w:rPr>
        <w:t xml:space="preserve"> epistemically unjust, </w:t>
      </w:r>
      <w:r w:rsidR="001D058D">
        <w:rPr>
          <w:rFonts w:ascii="Times New Roman" w:hAnsi="Times New Roman" w:cs="Times New Roman"/>
        </w:rPr>
        <w:t>as with</w:t>
      </w:r>
      <w:r w:rsidR="00B56B85">
        <w:rPr>
          <w:rFonts w:ascii="Times New Roman" w:hAnsi="Times New Roman" w:cs="Times New Roman"/>
        </w:rPr>
        <w:t xml:space="preserve"> hollow gestures that acknowledge a group’s </w:t>
      </w:r>
      <w:r w:rsidR="0094038A">
        <w:rPr>
          <w:rFonts w:ascii="Times New Roman" w:hAnsi="Times New Roman" w:cs="Times New Roman"/>
        </w:rPr>
        <w:t>existence</w:t>
      </w:r>
      <w:r w:rsidR="00B56B85">
        <w:rPr>
          <w:rFonts w:ascii="Times New Roman" w:hAnsi="Times New Roman" w:cs="Times New Roman"/>
        </w:rPr>
        <w:t xml:space="preserve"> without incorporating its knowledge, claims, or preferences.</w:t>
      </w:r>
    </w:p>
    <w:p w14:paraId="5F2B18AE" w14:textId="7BCA2FA6" w:rsidR="00B56B85" w:rsidRDefault="00B56B85" w:rsidP="000F38CE">
      <w:pPr>
        <w:spacing w:line="360" w:lineRule="auto"/>
        <w:rPr>
          <w:rFonts w:ascii="Times New Roman" w:hAnsi="Times New Roman" w:cs="Times New Roman"/>
        </w:rPr>
      </w:pPr>
      <w:r>
        <w:rPr>
          <w:rFonts w:ascii="Times New Roman" w:hAnsi="Times New Roman" w:cs="Times New Roman"/>
        </w:rPr>
        <w:t>Studies of other forms of responsiveness and descriptive representation suggest that legislators’ identities and lived experiences mediate representational practices. Race, gender, and class backgrounds shapes legislators’ personal policy preferences (Carnes &amp; Lupu, Eckhardt 2018) service and policy responsiveness (</w:t>
      </w:r>
      <w:proofErr w:type="spellStart"/>
      <w:r>
        <w:rPr>
          <w:rFonts w:ascii="Times New Roman" w:hAnsi="Times New Roman" w:cs="Times New Roman"/>
        </w:rPr>
        <w:t>Broockman</w:t>
      </w:r>
      <w:proofErr w:type="spellEnd"/>
      <w:r>
        <w:rPr>
          <w:rFonts w:ascii="Times New Roman" w:hAnsi="Times New Roman" w:cs="Times New Roman"/>
        </w:rPr>
        <w:t xml:space="preserve"> 2016), and attention to marginalized communities (Mansbridge 1999, Brown 2014, Reingold et al 2019). Ban and </w:t>
      </w:r>
      <w:proofErr w:type="spellStart"/>
      <w:r>
        <w:rPr>
          <w:rFonts w:ascii="Times New Roman" w:hAnsi="Times New Roman" w:cs="Times New Roman"/>
        </w:rPr>
        <w:t>Kaslovsky</w:t>
      </w:r>
      <w:proofErr w:type="spellEnd"/>
      <w:r>
        <w:rPr>
          <w:rFonts w:ascii="Times New Roman" w:hAnsi="Times New Roman" w:cs="Times New Roman"/>
        </w:rPr>
        <w:t xml:space="preserve"> (2025) demonstrate that gender identity is the strongest predictor of whether a legislator engages in constituency-oriented discourse, while Miler (2018) found that representation of poor communities emerges through surrogate </w:t>
      </w:r>
      <w:r w:rsidR="00827B48">
        <w:rPr>
          <w:rFonts w:ascii="Times New Roman" w:hAnsi="Times New Roman" w:cs="Times New Roman"/>
        </w:rPr>
        <w:t>rather than those representing the most affected districts</w:t>
      </w:r>
      <w:r>
        <w:rPr>
          <w:rFonts w:ascii="Times New Roman" w:hAnsi="Times New Roman" w:cs="Times New Roman"/>
        </w:rPr>
        <w:t>.</w:t>
      </w:r>
      <w:r w:rsidR="00827B48">
        <w:rPr>
          <w:rFonts w:ascii="Times New Roman" w:hAnsi="Times New Roman" w:cs="Times New Roman"/>
        </w:rPr>
        <w:t xml:space="preserve"> In the context of criminal legal policy, Eckhouse (2018) argues that Black legislators are more likely to articulate impacted-community-based policy orientations, although even these legislators are</w:t>
      </w:r>
      <w:r w:rsidR="00827B48" w:rsidRPr="00827B48">
        <w:rPr>
          <w:rFonts w:ascii="Times New Roman" w:hAnsi="Times New Roman" w:cs="Times New Roman"/>
        </w:rPr>
        <w:t xml:space="preserve"> </w:t>
      </w:r>
      <w:r w:rsidR="00827B48">
        <w:rPr>
          <w:rFonts w:ascii="Times New Roman" w:hAnsi="Times New Roman" w:cs="Times New Roman"/>
        </w:rPr>
        <w:t>incentivized to engage in racial distancing and epistemic erasure (Pottle 2025).</w:t>
      </w:r>
    </w:p>
    <w:p w14:paraId="04ADC47E" w14:textId="52259E13" w:rsidR="00B44518" w:rsidRPr="00062E86" w:rsidRDefault="00B44518" w:rsidP="00B44518">
      <w:pPr>
        <w:spacing w:line="360" w:lineRule="auto"/>
        <w:jc w:val="center"/>
        <w:rPr>
          <w:rFonts w:ascii="Times New Roman" w:hAnsi="Times New Roman" w:cs="Times New Roman"/>
          <w:b/>
          <w:bCs/>
        </w:rPr>
      </w:pPr>
      <w:r w:rsidRPr="00062E86">
        <w:rPr>
          <w:rFonts w:ascii="Times New Roman" w:hAnsi="Times New Roman" w:cs="Times New Roman"/>
          <w:b/>
          <w:bCs/>
        </w:rPr>
        <w:t>Gap &amp; Contribution</w:t>
      </w:r>
    </w:p>
    <w:p w14:paraId="418A82F8" w14:textId="6D9EFDD3" w:rsidR="00D424AE" w:rsidRDefault="00535A28" w:rsidP="000F38CE">
      <w:pPr>
        <w:spacing w:line="360" w:lineRule="auto"/>
        <w:rPr>
          <w:rFonts w:ascii="Times New Roman" w:hAnsi="Times New Roman" w:cs="Times New Roman"/>
        </w:rPr>
      </w:pPr>
      <w:r w:rsidRPr="00535A28">
        <w:rPr>
          <w:rFonts w:ascii="Times New Roman" w:hAnsi="Times New Roman" w:cs="Times New Roman"/>
        </w:rPr>
        <w:t>Taken together, this body of work suggests that carceral populations occupy a uniquely precarious position within representational politics</w:t>
      </w:r>
      <w:r w:rsidR="0094038A">
        <w:rPr>
          <w:rFonts w:ascii="Times New Roman" w:hAnsi="Times New Roman" w:cs="Times New Roman"/>
        </w:rPr>
        <w:t xml:space="preserve">, and </w:t>
      </w:r>
      <w:r w:rsidR="000A3A27" w:rsidRPr="000A3A27">
        <w:rPr>
          <w:rFonts w:ascii="Times New Roman" w:hAnsi="Times New Roman" w:cs="Times New Roman"/>
        </w:rPr>
        <w:t>points to deep tensions between symbolic recognition, epistemic inclusion, and the incentives shaping legislative behavior, particularly for populations subject to criminal legal control.</w:t>
      </w:r>
      <w:r w:rsidR="0094038A">
        <w:rPr>
          <w:rFonts w:ascii="Times New Roman" w:hAnsi="Times New Roman" w:cs="Times New Roman"/>
        </w:rPr>
        <w:t xml:space="preserve"> Yet despite </w:t>
      </w:r>
      <w:r w:rsidR="00D424AE" w:rsidRPr="00D424AE">
        <w:rPr>
          <w:rFonts w:ascii="Times New Roman" w:hAnsi="Times New Roman" w:cs="Times New Roman"/>
        </w:rPr>
        <w:t xml:space="preserve">growing interest in </w:t>
      </w:r>
      <w:r w:rsidR="0094038A">
        <w:rPr>
          <w:rFonts w:ascii="Times New Roman" w:hAnsi="Times New Roman" w:cs="Times New Roman"/>
        </w:rPr>
        <w:t>these matters</w:t>
      </w:r>
      <w:r w:rsidR="00D424AE" w:rsidRPr="00D424AE">
        <w:rPr>
          <w:rFonts w:ascii="Times New Roman" w:hAnsi="Times New Roman" w:cs="Times New Roman"/>
        </w:rPr>
        <w:t xml:space="preserve"> and in the political consequences of criminal legal contact, we know remarkably little about whether incarcerated people are symbolically recognized as constituents at all. </w:t>
      </w:r>
      <w:r w:rsidR="00F93B91">
        <w:rPr>
          <w:rFonts w:ascii="Times New Roman" w:hAnsi="Times New Roman" w:cs="Times New Roman"/>
        </w:rPr>
        <w:t xml:space="preserve">To my knowledge, no studies </w:t>
      </w:r>
      <w:r w:rsidR="0094038A">
        <w:rPr>
          <w:rFonts w:ascii="Times New Roman" w:hAnsi="Times New Roman" w:cs="Times New Roman"/>
        </w:rPr>
        <w:t xml:space="preserve">examine </w:t>
      </w:r>
      <w:r w:rsidR="00F93B91">
        <w:rPr>
          <w:rFonts w:ascii="Times New Roman" w:hAnsi="Times New Roman" w:cs="Times New Roman"/>
        </w:rPr>
        <w:t xml:space="preserve">how representational dynamics for carceral citizens intersect: </w:t>
      </w:r>
      <w:r w:rsidR="00D424AE" w:rsidRPr="00D424AE">
        <w:rPr>
          <w:rFonts w:ascii="Times New Roman" w:hAnsi="Times New Roman" w:cs="Times New Roman"/>
        </w:rPr>
        <w:t xml:space="preserve">whether legislators publicly invoke incarcerated people as members of the political community, whether such invocations treat them as epistemic contributors or merely as policy objects, and how these patterns vary across institutional venues, district carceral context, and legislator </w:t>
      </w:r>
      <w:r w:rsidR="00D424AE" w:rsidRPr="00D424AE">
        <w:rPr>
          <w:rFonts w:ascii="Times New Roman" w:hAnsi="Times New Roman" w:cs="Times New Roman"/>
        </w:rPr>
        <w:lastRenderedPageBreak/>
        <w:t>identity. In the absence of such baseline descriptive evidence</w:t>
      </w:r>
      <w:r w:rsidR="0094038A">
        <w:rPr>
          <w:rFonts w:ascii="Times New Roman" w:hAnsi="Times New Roman" w:cs="Times New Roman"/>
        </w:rPr>
        <w:t xml:space="preserve"> – p</w:t>
      </w:r>
      <w:r w:rsidR="00D424AE" w:rsidRPr="00D424AE">
        <w:rPr>
          <w:rFonts w:ascii="Times New Roman" w:hAnsi="Times New Roman" w:cs="Times New Roman"/>
        </w:rPr>
        <w:t>articularly at the state level</w:t>
      </w:r>
      <w:r w:rsidR="0094038A">
        <w:rPr>
          <w:rFonts w:ascii="Times New Roman" w:hAnsi="Times New Roman" w:cs="Times New Roman"/>
        </w:rPr>
        <w:t xml:space="preserve"> – w</w:t>
      </w:r>
      <w:r w:rsidR="00D424AE" w:rsidRPr="00D424AE">
        <w:rPr>
          <w:rFonts w:ascii="Times New Roman" w:hAnsi="Times New Roman" w:cs="Times New Roman"/>
        </w:rPr>
        <w:t>e lack a clear understanding of the representational boundaries that structure carceral politics.</w:t>
      </w:r>
    </w:p>
    <w:p w14:paraId="141A6281" w14:textId="7773E2CA" w:rsidR="00D424AE" w:rsidRDefault="00D424AE" w:rsidP="00D424AE">
      <w:pPr>
        <w:spacing w:line="360" w:lineRule="auto"/>
        <w:rPr>
          <w:rFonts w:ascii="Times New Roman" w:hAnsi="Times New Roman" w:cs="Times New Roman"/>
        </w:rPr>
      </w:pPr>
      <w:r w:rsidRPr="00D424AE">
        <w:rPr>
          <w:rFonts w:ascii="Times New Roman" w:hAnsi="Times New Roman" w:cs="Times New Roman"/>
        </w:rPr>
        <w:t xml:space="preserve">This project contributes conceptually by disaggregating symbolic representation from epistemic inclusion and responsiveness in the study of criminal legal politics. While existing scholarship treats symbolic representation either as normatively meaningful recognition (Eulau &amp; </w:t>
      </w:r>
      <w:proofErr w:type="spellStart"/>
      <w:r w:rsidRPr="00D424AE">
        <w:rPr>
          <w:rFonts w:ascii="Times New Roman" w:hAnsi="Times New Roman" w:cs="Times New Roman"/>
        </w:rPr>
        <w:t>Karps</w:t>
      </w:r>
      <w:proofErr w:type="spellEnd"/>
      <w:r w:rsidRPr="00D424AE">
        <w:rPr>
          <w:rFonts w:ascii="Times New Roman" w:hAnsi="Times New Roman" w:cs="Times New Roman"/>
        </w:rPr>
        <w:t xml:space="preserve"> 1977; Mansbridge 1999) or as a potential </w:t>
      </w:r>
      <w:r w:rsidR="001D058D">
        <w:rPr>
          <w:rFonts w:ascii="Times New Roman" w:hAnsi="Times New Roman" w:cs="Times New Roman"/>
        </w:rPr>
        <w:t>correlate</w:t>
      </w:r>
      <w:r w:rsidRPr="00D424AE">
        <w:rPr>
          <w:rFonts w:ascii="Times New Roman" w:hAnsi="Times New Roman" w:cs="Times New Roman"/>
        </w:rPr>
        <w:t xml:space="preserve"> for substantive action (Vishwanath 2025), it often assumes that symbolic gestures operate along a single dimension. Drawing on theories of epistemic injustice and selective hearing (Pottle 2025; Weaver, Prowse, and Piston 2019), I argue that symbolic representation can take qualitatively different forms</w:t>
      </w:r>
      <w:r w:rsidR="001D058D">
        <w:rPr>
          <w:rFonts w:ascii="Times New Roman" w:hAnsi="Times New Roman" w:cs="Times New Roman"/>
        </w:rPr>
        <w:t xml:space="preserve"> – </w:t>
      </w:r>
      <w:r w:rsidRPr="00D424AE">
        <w:rPr>
          <w:rFonts w:ascii="Times New Roman" w:hAnsi="Times New Roman" w:cs="Times New Roman"/>
        </w:rPr>
        <w:t>some of which recognize incarcerated people as political actors and knowers, and others that reaffirm their marginalization through hollow or distancing gestures. By introducing a tiered framework that distinguishes symbolic inclusion, epistemic inclusion, and responsiveness, this project clarifies when symbolic recognition is democratically meaningful and when it reproduces epistemic exclusion.</w:t>
      </w:r>
    </w:p>
    <w:p w14:paraId="58368BFD" w14:textId="00438C98" w:rsidR="00D424AE" w:rsidRDefault="00D424AE" w:rsidP="00D424AE">
      <w:pPr>
        <w:spacing w:line="360" w:lineRule="auto"/>
        <w:rPr>
          <w:rFonts w:ascii="Times New Roman" w:hAnsi="Times New Roman" w:cs="Times New Roman"/>
        </w:rPr>
      </w:pPr>
      <w:r w:rsidRPr="00D424AE">
        <w:rPr>
          <w:rFonts w:ascii="Times New Roman" w:hAnsi="Times New Roman" w:cs="Times New Roman"/>
        </w:rPr>
        <w:t xml:space="preserve">Empirically, this project provides </w:t>
      </w:r>
      <w:r w:rsidR="001D058D">
        <w:rPr>
          <w:rFonts w:ascii="Times New Roman" w:hAnsi="Times New Roman" w:cs="Times New Roman"/>
        </w:rPr>
        <w:t>a first</w:t>
      </w:r>
      <w:r w:rsidRPr="00D424AE">
        <w:rPr>
          <w:rFonts w:ascii="Times New Roman" w:hAnsi="Times New Roman" w:cs="Times New Roman"/>
        </w:rPr>
        <w:t xml:space="preserve"> systematic descriptive account of whether and how legislators symbolically recognize incarcerated people as constituents. This study establishes baseline evidence on whether incarcerated people appear in legislators’ representational imaginaries at all, how frequently such recognition occurs, and how it varies by district carceral context and legislator identity. By focusing on state legislatures</w:t>
      </w:r>
      <w:r w:rsidR="00545D83">
        <w:rPr>
          <w:rFonts w:ascii="Times New Roman" w:hAnsi="Times New Roman" w:cs="Times New Roman"/>
        </w:rPr>
        <w:t xml:space="preserve"> – </w:t>
      </w:r>
      <w:r w:rsidRPr="00D424AE">
        <w:rPr>
          <w:rFonts w:ascii="Times New Roman" w:hAnsi="Times New Roman" w:cs="Times New Roman"/>
        </w:rPr>
        <w:t xml:space="preserve">where </w:t>
      </w:r>
      <w:proofErr w:type="gramStart"/>
      <w:r w:rsidRPr="00D424AE">
        <w:rPr>
          <w:rFonts w:ascii="Times New Roman" w:hAnsi="Times New Roman" w:cs="Times New Roman"/>
        </w:rPr>
        <w:t>the vast majority of</w:t>
      </w:r>
      <w:proofErr w:type="gramEnd"/>
      <w:r w:rsidRPr="00D424AE">
        <w:rPr>
          <w:rFonts w:ascii="Times New Roman" w:hAnsi="Times New Roman" w:cs="Times New Roman"/>
        </w:rPr>
        <w:t xml:space="preserve"> incarceration policy is made</w:t>
      </w:r>
      <w:r w:rsidR="00545D83">
        <w:rPr>
          <w:rFonts w:ascii="Times New Roman" w:hAnsi="Times New Roman" w:cs="Times New Roman"/>
        </w:rPr>
        <w:t xml:space="preserve"> and at the level most people are incarcerated – </w:t>
      </w:r>
      <w:r w:rsidRPr="00D424AE">
        <w:rPr>
          <w:rFonts w:ascii="Times New Roman" w:hAnsi="Times New Roman" w:cs="Times New Roman"/>
        </w:rPr>
        <w:t xml:space="preserve">this project extends research on symbolic representation beyond Congress and into the institutions that most directly govern carceral </w:t>
      </w:r>
      <w:proofErr w:type="gramStart"/>
      <w:r w:rsidRPr="00D424AE">
        <w:rPr>
          <w:rFonts w:ascii="Times New Roman" w:hAnsi="Times New Roman" w:cs="Times New Roman"/>
        </w:rPr>
        <w:t>life</w:t>
      </w:r>
      <w:r w:rsidR="001D058D">
        <w:rPr>
          <w:rFonts w:ascii="Times New Roman" w:hAnsi="Times New Roman" w:cs="Times New Roman"/>
        </w:rPr>
        <w:t>, and</w:t>
      </w:r>
      <w:proofErr w:type="gramEnd"/>
      <w:r w:rsidR="001D058D">
        <w:rPr>
          <w:rFonts w:ascii="Times New Roman" w:hAnsi="Times New Roman" w:cs="Times New Roman"/>
        </w:rPr>
        <w:t xml:space="preserve"> may be a useful extension of studies of state democratic environments (Grumbach 202</w:t>
      </w:r>
      <w:r w:rsidR="00A51CD1">
        <w:rPr>
          <w:rFonts w:ascii="Times New Roman" w:hAnsi="Times New Roman" w:cs="Times New Roman"/>
        </w:rPr>
        <w:t>2)</w:t>
      </w:r>
      <w:r w:rsidRPr="00D424AE">
        <w:rPr>
          <w:rFonts w:ascii="Times New Roman" w:hAnsi="Times New Roman" w:cs="Times New Roman"/>
        </w:rPr>
        <w:t>.</w:t>
      </w:r>
      <w:r w:rsidR="00545D83">
        <w:rPr>
          <w:rFonts w:ascii="Times New Roman" w:hAnsi="Times New Roman" w:cs="Times New Roman"/>
        </w:rPr>
        <w:t xml:space="preserve"> Finally, t</w:t>
      </w:r>
      <w:r>
        <w:rPr>
          <w:rFonts w:ascii="Times New Roman" w:hAnsi="Times New Roman" w:cs="Times New Roman"/>
        </w:rPr>
        <w:t>his project’s methodological contribution is to adapt</w:t>
      </w:r>
      <w:r w:rsidRPr="00D424AE">
        <w:rPr>
          <w:rFonts w:ascii="Times New Roman" w:hAnsi="Times New Roman" w:cs="Times New Roman"/>
        </w:rPr>
        <w:t xml:space="preserve"> text-as-data approaches to a population </w:t>
      </w:r>
      <w:r w:rsidR="00545D83">
        <w:rPr>
          <w:rFonts w:ascii="Times New Roman" w:hAnsi="Times New Roman" w:cs="Times New Roman"/>
        </w:rPr>
        <w:t xml:space="preserve">whose exclusion is central to the political process. In doing so it highlights how standard measures of representation may obscure forms of political presence and absence for marginalized </w:t>
      </w:r>
      <w:proofErr w:type="gramStart"/>
      <w:r w:rsidR="00545D83">
        <w:rPr>
          <w:rFonts w:ascii="Times New Roman" w:hAnsi="Times New Roman" w:cs="Times New Roman"/>
        </w:rPr>
        <w:t>communities, and</w:t>
      </w:r>
      <w:proofErr w:type="gramEnd"/>
      <w:r w:rsidR="00545D83">
        <w:rPr>
          <w:rFonts w:ascii="Times New Roman" w:hAnsi="Times New Roman" w:cs="Times New Roman"/>
        </w:rPr>
        <w:t xml:space="preserve"> seeks to demonstrate the value of developing research designs that are attentive to epistemic exclusion as both a substantive outcome and methodological risk. </w:t>
      </w:r>
    </w:p>
    <w:p w14:paraId="60F5C2CB" w14:textId="51BD9C70" w:rsidR="000F38CE" w:rsidRPr="00062E86" w:rsidRDefault="004170E5" w:rsidP="00201EC7">
      <w:pPr>
        <w:spacing w:line="360" w:lineRule="auto"/>
        <w:jc w:val="center"/>
        <w:rPr>
          <w:rFonts w:ascii="Times New Roman" w:hAnsi="Times New Roman" w:cs="Times New Roman"/>
          <w:b/>
          <w:bCs/>
        </w:rPr>
      </w:pPr>
      <w:r w:rsidRPr="00062E86">
        <w:rPr>
          <w:rFonts w:ascii="Times New Roman" w:hAnsi="Times New Roman" w:cs="Times New Roman"/>
          <w:b/>
          <w:bCs/>
        </w:rPr>
        <w:t>Research Design and Approach</w:t>
      </w:r>
    </w:p>
    <w:p w14:paraId="68157FA5" w14:textId="16C07FED" w:rsidR="00C74C3A" w:rsidRDefault="004170E5" w:rsidP="000F38CE">
      <w:pPr>
        <w:spacing w:line="360" w:lineRule="auto"/>
        <w:rPr>
          <w:rFonts w:ascii="Times New Roman" w:hAnsi="Times New Roman" w:cs="Times New Roman"/>
        </w:rPr>
      </w:pPr>
      <w:r>
        <w:rPr>
          <w:rFonts w:ascii="Times New Roman" w:hAnsi="Times New Roman" w:cs="Times New Roman"/>
        </w:rPr>
        <w:t xml:space="preserve">This project </w:t>
      </w:r>
      <w:r w:rsidR="009A2DBB">
        <w:rPr>
          <w:rFonts w:ascii="Times New Roman" w:hAnsi="Times New Roman" w:cs="Times New Roman"/>
        </w:rPr>
        <w:t xml:space="preserve">first </w:t>
      </w:r>
      <w:r>
        <w:rPr>
          <w:rFonts w:ascii="Times New Roman" w:hAnsi="Times New Roman" w:cs="Times New Roman"/>
        </w:rPr>
        <w:t xml:space="preserve">adopts a descriptive, text-centered design to document when and how legislators </w:t>
      </w:r>
      <w:proofErr w:type="gramStart"/>
      <w:r>
        <w:rPr>
          <w:rFonts w:ascii="Times New Roman" w:hAnsi="Times New Roman" w:cs="Times New Roman"/>
        </w:rPr>
        <w:t>symbolically represent</w:t>
      </w:r>
      <w:proofErr w:type="gramEnd"/>
      <w:r>
        <w:rPr>
          <w:rFonts w:ascii="Times New Roman" w:hAnsi="Times New Roman" w:cs="Times New Roman"/>
        </w:rPr>
        <w:t xml:space="preserve"> incarcerated people. Because representation is performed </w:t>
      </w:r>
      <w:r>
        <w:rPr>
          <w:rFonts w:ascii="Times New Roman" w:hAnsi="Times New Roman" w:cs="Times New Roman"/>
        </w:rPr>
        <w:lastRenderedPageBreak/>
        <w:t>through speech and communication (</w:t>
      </w:r>
      <w:proofErr w:type="spellStart"/>
      <w:r>
        <w:rPr>
          <w:rFonts w:ascii="Times New Roman" w:hAnsi="Times New Roman" w:cs="Times New Roman"/>
        </w:rPr>
        <w:t>Fenno</w:t>
      </w:r>
      <w:proofErr w:type="spellEnd"/>
      <w:r>
        <w:rPr>
          <w:rFonts w:ascii="Times New Roman" w:hAnsi="Times New Roman" w:cs="Times New Roman"/>
        </w:rPr>
        <w:t xml:space="preserve"> 1978; Pottle 2025; Gillion 2013), </w:t>
      </w:r>
      <w:r w:rsidR="0019585A">
        <w:rPr>
          <w:rFonts w:ascii="Times New Roman" w:hAnsi="Times New Roman" w:cs="Times New Roman"/>
        </w:rPr>
        <w:t xml:space="preserve">and because symbolic gestures are an important site of relational representation (Popkin 1994; Eulau &amp; </w:t>
      </w:r>
      <w:proofErr w:type="spellStart"/>
      <w:r w:rsidR="0019585A">
        <w:rPr>
          <w:rFonts w:ascii="Times New Roman" w:hAnsi="Times New Roman" w:cs="Times New Roman"/>
        </w:rPr>
        <w:t>Karps</w:t>
      </w:r>
      <w:proofErr w:type="spellEnd"/>
      <w:r w:rsidR="0019585A">
        <w:rPr>
          <w:rFonts w:ascii="Times New Roman" w:hAnsi="Times New Roman" w:cs="Times New Roman"/>
        </w:rPr>
        <w:t xml:space="preserve"> 1977), legislative communication is a primary venue in which the political visibility of marginalized groups is established or denied. My immediate goal is to establish baseline </w:t>
      </w:r>
      <w:r w:rsidR="0019585A" w:rsidRPr="009A2DBB">
        <w:rPr>
          <w:rFonts w:ascii="Times New Roman" w:hAnsi="Times New Roman" w:cs="Times New Roman"/>
        </w:rPr>
        <w:t xml:space="preserve">measures of symbolic </w:t>
      </w:r>
      <w:r w:rsidR="0019585A">
        <w:rPr>
          <w:rFonts w:ascii="Times New Roman" w:hAnsi="Times New Roman" w:cs="Times New Roman"/>
        </w:rPr>
        <w:t>representation, while assessing the feasibility of measuring epistemic inclusion and responsiveness as secondary dimensions. This tiered approach reflects theoretical insights that symbolic representation, epistemic inclusion, and responsiveness need not coincide (Pottle 2025; Weaver, Prowse &amp; Pis</w:t>
      </w:r>
      <w:r w:rsidR="00561245">
        <w:rPr>
          <w:rFonts w:ascii="Times New Roman" w:hAnsi="Times New Roman" w:cs="Times New Roman"/>
        </w:rPr>
        <w:t>t</w:t>
      </w:r>
      <w:r w:rsidR="0019585A">
        <w:rPr>
          <w:rFonts w:ascii="Times New Roman" w:hAnsi="Times New Roman" w:cs="Times New Roman"/>
        </w:rPr>
        <w:t xml:space="preserve">on 2019), and allows the project to remain feasible within a fellowship year. </w:t>
      </w:r>
    </w:p>
    <w:p w14:paraId="33844A1F" w14:textId="66FE6165" w:rsidR="0019585A" w:rsidRDefault="00C74C3A" w:rsidP="000F38CE">
      <w:pPr>
        <w:spacing w:line="360" w:lineRule="auto"/>
        <w:rPr>
          <w:rFonts w:ascii="Times New Roman" w:hAnsi="Times New Roman" w:cs="Times New Roman"/>
        </w:rPr>
      </w:pPr>
      <w:r>
        <w:rPr>
          <w:rFonts w:ascii="Times New Roman" w:hAnsi="Times New Roman" w:cs="Times New Roman"/>
        </w:rPr>
        <w:t xml:space="preserve">Building on Popkin’s (1994) emphasis on symbolic cues, Eulau and Karp’s (1997) framing of symbolic gestures as those that generate trust and recognition, and Vishwanath’s (2025) dual attention to symbols and explicit mentions, I operationalize symbolic representation as a range of public rhetorical moves through which legislators acknowledge, invoke, or otherwise signal the presence and interests of incarcerated people in their representational work. These rhetorical moves may name, acknowledge, humanize, or </w:t>
      </w:r>
      <w:r w:rsidR="00561245">
        <w:rPr>
          <w:rFonts w:ascii="Times New Roman" w:hAnsi="Times New Roman" w:cs="Times New Roman"/>
        </w:rPr>
        <w:t>locate</w:t>
      </w:r>
      <w:r>
        <w:rPr>
          <w:rFonts w:ascii="Times New Roman" w:hAnsi="Times New Roman" w:cs="Times New Roman"/>
        </w:rPr>
        <w:t xml:space="preserve"> carceral citizens as constituents. At the same time, recent work warns against assuming that all symbolic acts are normatively equal: Pottle (2025) and Weaver et al (2019) show that elites may deploy symbolic cues that are hollow, distancing, or epistemically unjust. To capture this variation, I employ a coding scheme summarized in Table 1, which distinguishes between anticipated forms of symbolic representation. Using this framework, I will </w:t>
      </w:r>
      <w:r w:rsidR="00DD5A21">
        <w:rPr>
          <w:rFonts w:ascii="Times New Roman" w:hAnsi="Times New Roman" w:cs="Times New Roman"/>
        </w:rPr>
        <w:t>analyze</w:t>
      </w:r>
      <w:r>
        <w:rPr>
          <w:rFonts w:ascii="Times New Roman" w:hAnsi="Times New Roman" w:cs="Times New Roman"/>
        </w:rPr>
        <w:t xml:space="preserve"> state legislators’ newsletters, floor speeches and committee testimony where available, and social media posts, supplemented with congressional newsletters and floor speeches if needed as benchmarks. Texts will be obtained from legislator websites, legislative archives, and publicly accessible platforms. Table 2 in the appendix suggests further potential measures and sources. </w:t>
      </w:r>
    </w:p>
    <w:p w14:paraId="41E0CBDB" w14:textId="75CA667E" w:rsidR="00C74C3A" w:rsidRDefault="00836340" w:rsidP="000F38CE">
      <w:pPr>
        <w:spacing w:line="360" w:lineRule="auto"/>
        <w:rPr>
          <w:rFonts w:ascii="Times New Roman" w:hAnsi="Times New Roman" w:cs="Times New Roman"/>
        </w:rPr>
      </w:pPr>
      <w:r>
        <w:rPr>
          <w:rFonts w:ascii="Times New Roman" w:hAnsi="Times New Roman" w:cs="Times New Roman"/>
        </w:rPr>
        <w:t xml:space="preserve">This project’s secondary dependent variable, epistemic inclusion, refers to instances where legislators treat incarcerated people as knowers – acknowledging their perspectives, testimony, political claims – which may involve Weaver et al (2019) call the “hidden curriculum” of state domination. In table 1, epistemic inclusion is operationalized through indicators such as references to incarcerated </w:t>
      </w:r>
      <w:proofErr w:type="gramStart"/>
      <w:r>
        <w:rPr>
          <w:rFonts w:ascii="Times New Roman" w:hAnsi="Times New Roman" w:cs="Times New Roman"/>
        </w:rPr>
        <w:t>people’s</w:t>
      </w:r>
      <w:proofErr w:type="gramEnd"/>
      <w:r>
        <w:rPr>
          <w:rFonts w:ascii="Times New Roman" w:hAnsi="Times New Roman" w:cs="Times New Roman"/>
        </w:rPr>
        <w:t xml:space="preserve"> lived experiences, demands, protest activity, or policy expertise. What I term “bridging behavior” – legislators, for example, quoting incarcerated </w:t>
      </w:r>
      <w:r>
        <w:rPr>
          <w:rFonts w:ascii="Times New Roman" w:hAnsi="Times New Roman" w:cs="Times New Roman"/>
        </w:rPr>
        <w:lastRenderedPageBreak/>
        <w:t xml:space="preserve">individuals or noting prison visits – may also constitute a symbolic gesture that is epistemically inclusive. Because access to state committee testimony and records varies substantially, I will assess feasibility in a targeted sample of states with accessible archives, and states where I know </w:t>
      </w:r>
      <w:proofErr w:type="gramStart"/>
      <w:r>
        <w:rPr>
          <w:rFonts w:ascii="Times New Roman" w:hAnsi="Times New Roman" w:cs="Times New Roman"/>
        </w:rPr>
        <w:t>directly-impacted</w:t>
      </w:r>
      <w:proofErr w:type="gramEnd"/>
      <w:r>
        <w:rPr>
          <w:rFonts w:ascii="Times New Roman" w:hAnsi="Times New Roman" w:cs="Times New Roman"/>
        </w:rPr>
        <w:t xml:space="preserve"> advocates to work closely with lawmakers. Congressional committee transcripts may serve as an additional comparative data source.  This exploratory component will determine whether epistemic inclusion can be systematically observed across deliberative venues. </w:t>
      </w:r>
    </w:p>
    <w:p w14:paraId="325CD2E7" w14:textId="12947D69" w:rsidR="00836340" w:rsidRDefault="00836340" w:rsidP="000F38CE">
      <w:pPr>
        <w:spacing w:line="360" w:lineRule="auto"/>
        <w:rPr>
          <w:rFonts w:ascii="Times New Roman" w:hAnsi="Times New Roman" w:cs="Times New Roman"/>
        </w:rPr>
      </w:pPr>
      <w:r>
        <w:rPr>
          <w:rFonts w:ascii="Times New Roman" w:hAnsi="Times New Roman" w:cs="Times New Roman"/>
        </w:rPr>
        <w:t xml:space="preserve">A third dimension, responsiveness, concerns whether legislators act as bridges to incarcerated communities by referencing </w:t>
      </w:r>
      <w:r w:rsidRPr="00836340">
        <w:rPr>
          <w:rFonts w:ascii="Times New Roman" w:hAnsi="Times New Roman" w:cs="Times New Roman"/>
        </w:rPr>
        <w:t>prison visits, direct correspondence, engagement with family members, or by reading letters or testimony from incarcerated people into the public record.</w:t>
      </w:r>
      <w:r>
        <w:rPr>
          <w:rFonts w:ascii="Times New Roman" w:hAnsi="Times New Roman" w:cs="Times New Roman"/>
        </w:rPr>
        <w:t xml:space="preserve"> A more expansive project would consider policy responsiveness by way of bill sponsorship and </w:t>
      </w:r>
      <w:proofErr w:type="spellStart"/>
      <w:r>
        <w:rPr>
          <w:rFonts w:ascii="Times New Roman" w:hAnsi="Times New Roman" w:cs="Times New Roman"/>
        </w:rPr>
        <w:t>cosponsorship</w:t>
      </w:r>
      <w:proofErr w:type="spellEnd"/>
      <w:r>
        <w:rPr>
          <w:rFonts w:ascii="Times New Roman" w:hAnsi="Times New Roman" w:cs="Times New Roman"/>
        </w:rPr>
        <w:t>, with a</w:t>
      </w:r>
      <w:r w:rsidR="00A51CD1">
        <w:rPr>
          <w:rFonts w:ascii="Times New Roman" w:hAnsi="Times New Roman" w:cs="Times New Roman"/>
        </w:rPr>
        <w:t xml:space="preserve">n </w:t>
      </w:r>
      <w:r>
        <w:rPr>
          <w:rFonts w:ascii="Times New Roman" w:hAnsi="Times New Roman" w:cs="Times New Roman"/>
        </w:rPr>
        <w:t xml:space="preserve">analysis of both text and bill histories to delineate between epistemically inclusive policy and explore the degree to which policy activity is predicted by symbolic and epistemic representation. Here, however, I just treat responsiveness as an exploratory indicator. </w:t>
      </w:r>
    </w:p>
    <w:p w14:paraId="7D383465" w14:textId="3467506A" w:rsidR="009A2DBB" w:rsidRDefault="00966621" w:rsidP="000F38CE">
      <w:pPr>
        <w:spacing w:line="360" w:lineRule="auto"/>
        <w:rPr>
          <w:rFonts w:ascii="Times New Roman" w:hAnsi="Times New Roman" w:cs="Times New Roman"/>
        </w:rPr>
      </w:pPr>
      <w:r>
        <w:rPr>
          <w:rFonts w:ascii="Times New Roman" w:hAnsi="Times New Roman" w:cs="Times New Roman"/>
        </w:rPr>
        <w:t xml:space="preserve">To contextualize textual analysis and capture representational practices that may not appear in formal speech or traditional measures, I will </w:t>
      </w:r>
      <w:r>
        <w:rPr>
          <w:rFonts w:ascii="Times New Roman" w:hAnsi="Times New Roman" w:cs="Times New Roman"/>
          <w:i/>
          <w:iCs/>
        </w:rPr>
        <w:t>also</w:t>
      </w:r>
      <w:r>
        <w:rPr>
          <w:rFonts w:ascii="Times New Roman" w:hAnsi="Times New Roman" w:cs="Times New Roman"/>
        </w:rPr>
        <w:t xml:space="preserve"> conduct a small set of exploratory semi-structured interviews with legislators who self-identify as directly or proximally impacted by the criminal legal system. These interviews will be snowball-sampled and modest in scope (~7-10 participants). I will begin with lawmakers with whom I have relationships and </w:t>
      </w:r>
      <w:proofErr w:type="gramStart"/>
      <w:r>
        <w:rPr>
          <w:rFonts w:ascii="Times New Roman" w:hAnsi="Times New Roman" w:cs="Times New Roman"/>
        </w:rPr>
        <w:t>trust, and</w:t>
      </w:r>
      <w:proofErr w:type="gramEnd"/>
      <w:r>
        <w:rPr>
          <w:rFonts w:ascii="Times New Roman" w:hAnsi="Times New Roman" w:cs="Times New Roman"/>
        </w:rPr>
        <w:t xml:space="preserve"> ask for their recommendations of whom else to interview, as well as asking advocacy groups who I also have established trust. These will focus on how lawmakers conceptualize carceral constituencies, interpret their </w:t>
      </w:r>
      <w:r w:rsidR="007F7436">
        <w:rPr>
          <w:rFonts w:ascii="Times New Roman" w:hAnsi="Times New Roman" w:cs="Times New Roman"/>
        </w:rPr>
        <w:t>representational</w:t>
      </w:r>
      <w:r>
        <w:rPr>
          <w:rFonts w:ascii="Times New Roman" w:hAnsi="Times New Roman" w:cs="Times New Roman"/>
        </w:rPr>
        <w:t xml:space="preserve"> obligations, navigate incentives – and whether how they understand their peers’ perspectives and institutional norms. This qualitative component is intended to complement but not replace the textual design by grounding the coding categories in lived experience and clarifying why certain symbolic or epistemic acts occur – or fail to. </w:t>
      </w:r>
    </w:p>
    <w:p w14:paraId="72618ADD" w14:textId="33881D8E" w:rsidR="00966621" w:rsidRDefault="00966621" w:rsidP="000F38CE">
      <w:pPr>
        <w:spacing w:line="360" w:lineRule="auto"/>
        <w:rPr>
          <w:rFonts w:ascii="Times New Roman" w:hAnsi="Times New Roman" w:cs="Times New Roman"/>
        </w:rPr>
      </w:pPr>
      <w:r>
        <w:rPr>
          <w:rFonts w:ascii="Times New Roman" w:hAnsi="Times New Roman" w:cs="Times New Roman"/>
        </w:rPr>
        <w:t xml:space="preserve">Across all dimensions, I will examine variation by district incarceration rate, prison or jail presence, legislator race, gender, party, and professional or experiential background. Previous research shows that legislator identity and lived experience shape attention to marginalized groups </w:t>
      </w:r>
      <w:r w:rsidRPr="00966621">
        <w:rPr>
          <w:rFonts w:ascii="Times New Roman" w:hAnsi="Times New Roman" w:cs="Times New Roman"/>
        </w:rPr>
        <w:t xml:space="preserve">(Mansbridge 1999; Brown 2014; Reingold et al. 2019; Ban &amp; </w:t>
      </w:r>
      <w:proofErr w:type="spellStart"/>
      <w:r w:rsidRPr="00966621">
        <w:rPr>
          <w:rFonts w:ascii="Times New Roman" w:hAnsi="Times New Roman" w:cs="Times New Roman"/>
        </w:rPr>
        <w:t>Kaslovsky</w:t>
      </w:r>
      <w:proofErr w:type="spellEnd"/>
      <w:r w:rsidRPr="00966621">
        <w:rPr>
          <w:rFonts w:ascii="Times New Roman" w:hAnsi="Times New Roman" w:cs="Times New Roman"/>
        </w:rPr>
        <w:t xml:space="preserve"> 2025; Carnes &amp; Lupu 2023), while district-level carceral burden and the presence of carceral economies shape </w:t>
      </w:r>
      <w:r w:rsidRPr="00966621">
        <w:rPr>
          <w:rFonts w:ascii="Times New Roman" w:hAnsi="Times New Roman" w:cs="Times New Roman"/>
        </w:rPr>
        <w:lastRenderedPageBreak/>
        <w:t>the political incentives and counter-constituencies legislators face (Thorpe 2015; Weaver &amp; Lerman 2010; Pottle 2025).</w:t>
      </w:r>
    </w:p>
    <w:p w14:paraId="10C7C362" w14:textId="7EED94B0" w:rsidR="00966621" w:rsidRPr="00966621" w:rsidRDefault="00966621" w:rsidP="000F38CE">
      <w:pPr>
        <w:spacing w:line="360" w:lineRule="auto"/>
        <w:rPr>
          <w:rFonts w:ascii="Times New Roman" w:hAnsi="Times New Roman" w:cs="Times New Roman"/>
        </w:rPr>
      </w:pPr>
      <w:r w:rsidRPr="00966621">
        <w:rPr>
          <w:rFonts w:ascii="Times New Roman" w:hAnsi="Times New Roman" w:cs="Times New Roman"/>
        </w:rPr>
        <w:t>Because representation is enacted through communication, and because incarcerated people have limited access to electoral or everyday constituent channels, public and deliberative speech offer the clearest window into whether lawmakers register them as part of the political community</w:t>
      </w:r>
      <w:r w:rsidR="00E51490">
        <w:rPr>
          <w:rFonts w:ascii="Times New Roman" w:hAnsi="Times New Roman" w:cs="Times New Roman"/>
        </w:rPr>
        <w:t xml:space="preserve"> – and how they draw representational boundaries</w:t>
      </w:r>
      <w:r w:rsidRPr="00966621">
        <w:rPr>
          <w:rFonts w:ascii="Times New Roman" w:hAnsi="Times New Roman" w:cs="Times New Roman"/>
        </w:rPr>
        <w:t xml:space="preserve">. A descriptive text analysis of newsletters, speeches, and committee discussion therefore provides the baseline empirical footing needed to identify patterns of symbolic inclusion. The exploratory qualitative interviews and additional data sources listed in Appendix </w:t>
      </w:r>
      <w:r w:rsidR="004E75E9">
        <w:rPr>
          <w:rFonts w:ascii="Times New Roman" w:hAnsi="Times New Roman" w:cs="Times New Roman"/>
        </w:rPr>
        <w:t>Table 2</w:t>
      </w:r>
      <w:r w:rsidRPr="00966621">
        <w:rPr>
          <w:rFonts w:ascii="Times New Roman" w:hAnsi="Times New Roman" w:cs="Times New Roman"/>
        </w:rPr>
        <w:t xml:space="preserve"> extend this effort, helping to illuminate when symbolic acts carry epistemic weight or signal emerging forms of responsiveness</w:t>
      </w:r>
      <w:r w:rsidR="007F7436">
        <w:rPr>
          <w:rFonts w:ascii="Times New Roman" w:hAnsi="Times New Roman" w:cs="Times New Roman"/>
        </w:rPr>
        <w:t xml:space="preserve">. </w:t>
      </w:r>
      <w:r w:rsidR="00A13602">
        <w:rPr>
          <w:rFonts w:ascii="Times New Roman" w:hAnsi="Times New Roman" w:cs="Times New Roman"/>
        </w:rPr>
        <w:t xml:space="preserve">It is my hope that this combined approach will also help prevent the project from relying on measures or assumptions that reflect epistemic erasure, or blind spots of dominant political science methods, allowing the study itself to better reflect the perspectives and representational practices of </w:t>
      </w:r>
      <w:proofErr w:type="spellStart"/>
      <w:r w:rsidR="00A13602">
        <w:rPr>
          <w:rFonts w:ascii="Times New Roman" w:hAnsi="Times New Roman" w:cs="Times New Roman"/>
        </w:rPr>
        <w:t>carcerally</w:t>
      </w:r>
      <w:proofErr w:type="spellEnd"/>
      <w:r w:rsidR="00A13602">
        <w:rPr>
          <w:rFonts w:ascii="Times New Roman" w:hAnsi="Times New Roman" w:cs="Times New Roman"/>
        </w:rPr>
        <w:t xml:space="preserve">-impacted communities. </w:t>
      </w:r>
    </w:p>
    <w:p w14:paraId="68DD1185" w14:textId="674C929F" w:rsidR="00490AAD" w:rsidRPr="002E5924" w:rsidRDefault="00754574">
      <w:pPr>
        <w:rPr>
          <w:rFonts w:ascii="Times New Roman" w:hAnsi="Times New Roman" w:cs="Times New Roman"/>
        </w:rPr>
      </w:pPr>
      <w:r>
        <w:rPr>
          <w:rFonts w:ascii="Times New Roman" w:hAnsi="Times New Roman" w:cs="Times New Roman"/>
        </w:rPr>
        <w:br w:type="page"/>
      </w:r>
    </w:p>
    <w:p w14:paraId="7907FD46" w14:textId="22A64C7D" w:rsidR="004170E5" w:rsidRPr="004E75E9" w:rsidRDefault="007F7AE1" w:rsidP="000F38CE">
      <w:pPr>
        <w:spacing w:line="360" w:lineRule="auto"/>
        <w:rPr>
          <w:rFonts w:ascii="Times New Roman" w:hAnsi="Times New Roman" w:cs="Times New Roman"/>
          <w:b/>
          <w:bCs/>
        </w:rPr>
      </w:pPr>
      <w:r w:rsidRPr="004E75E9">
        <w:rPr>
          <w:rFonts w:ascii="Times New Roman" w:hAnsi="Times New Roman" w:cs="Times New Roman"/>
          <w:b/>
          <w:bCs/>
        </w:rPr>
        <w:lastRenderedPageBreak/>
        <w:t xml:space="preserve">Appendix -- </w:t>
      </w:r>
    </w:p>
    <w:p w14:paraId="28FA049B" w14:textId="1CEDC094" w:rsidR="00A51CD1" w:rsidRDefault="00A51CD1" w:rsidP="000F38CE">
      <w:pPr>
        <w:spacing w:line="360" w:lineRule="auto"/>
        <w:rPr>
          <w:rFonts w:ascii="Times New Roman" w:hAnsi="Times New Roman" w:cs="Times New Roman"/>
        </w:rPr>
      </w:pPr>
      <w:r>
        <w:rPr>
          <w:rFonts w:ascii="Times New Roman" w:hAnsi="Times New Roman" w:cs="Times New Roman"/>
        </w:rPr>
        <w:t>Table 1:</w:t>
      </w:r>
      <w:r w:rsidR="004E75E9">
        <w:rPr>
          <w:rFonts w:ascii="Times New Roman" w:hAnsi="Times New Roman" w:cs="Times New Roman"/>
        </w:rPr>
        <w:t xml:space="preserve"> Summarizes </w:t>
      </w:r>
      <w:r w:rsidR="00C361DE">
        <w:rPr>
          <w:rFonts w:ascii="Times New Roman" w:hAnsi="Times New Roman" w:cs="Times New Roman"/>
        </w:rPr>
        <w:t>Dimensions of Symbolic Recognition – Potential Coding Scheme</w:t>
      </w:r>
    </w:p>
    <w:tbl>
      <w:tblPr>
        <w:tblStyle w:val="TableGrid"/>
        <w:tblW w:w="0" w:type="auto"/>
        <w:tblLook w:val="04A0" w:firstRow="1" w:lastRow="0" w:firstColumn="1" w:lastColumn="0" w:noHBand="0" w:noVBand="1"/>
      </w:tblPr>
      <w:tblGrid>
        <w:gridCol w:w="3116"/>
        <w:gridCol w:w="3117"/>
        <w:gridCol w:w="3117"/>
      </w:tblGrid>
      <w:tr w:rsidR="00062E86" w14:paraId="1F53D75D" w14:textId="77777777" w:rsidTr="001860D7">
        <w:tc>
          <w:tcPr>
            <w:tcW w:w="9350" w:type="dxa"/>
            <w:gridSpan w:val="3"/>
          </w:tcPr>
          <w:p w14:paraId="15209DD6" w14:textId="77777777" w:rsidR="00062E86" w:rsidRDefault="00062E86" w:rsidP="001860D7">
            <w:pPr>
              <w:rPr>
                <w:rFonts w:ascii="Times New Roman" w:hAnsi="Times New Roman" w:cs="Times New Roman"/>
              </w:rPr>
            </w:pPr>
            <w:r>
              <w:rPr>
                <w:rFonts w:ascii="Times New Roman" w:hAnsi="Times New Roman" w:cs="Times New Roman"/>
              </w:rPr>
              <w:t>Table 1: Dimensions of Recognition</w:t>
            </w:r>
          </w:p>
        </w:tc>
      </w:tr>
      <w:tr w:rsidR="00062E86" w14:paraId="16723B82" w14:textId="77777777" w:rsidTr="001860D7">
        <w:tc>
          <w:tcPr>
            <w:tcW w:w="3116" w:type="dxa"/>
          </w:tcPr>
          <w:p w14:paraId="6E79BC3C" w14:textId="77777777" w:rsidR="00062E86" w:rsidRPr="003C1581" w:rsidRDefault="00062E86" w:rsidP="001860D7">
            <w:pPr>
              <w:rPr>
                <w:rFonts w:ascii="Times New Roman" w:hAnsi="Times New Roman" w:cs="Times New Roman"/>
                <w:b/>
                <w:bCs/>
              </w:rPr>
            </w:pPr>
            <w:r w:rsidRPr="003C1581">
              <w:rPr>
                <w:rFonts w:ascii="Times New Roman" w:hAnsi="Times New Roman" w:cs="Times New Roman"/>
                <w:b/>
                <w:bCs/>
              </w:rPr>
              <w:t>Absent or Negative Recognition</w:t>
            </w:r>
          </w:p>
        </w:tc>
        <w:tc>
          <w:tcPr>
            <w:tcW w:w="6234" w:type="dxa"/>
            <w:gridSpan w:val="2"/>
          </w:tcPr>
          <w:p w14:paraId="4F374581" w14:textId="77777777" w:rsidR="00062E86" w:rsidRDefault="00062E86" w:rsidP="001860D7">
            <w:pPr>
              <w:rPr>
                <w:rFonts w:ascii="Times New Roman" w:hAnsi="Times New Roman" w:cs="Times New Roman"/>
              </w:rPr>
            </w:pPr>
            <w:r>
              <w:rPr>
                <w:rFonts w:ascii="Times New Roman" w:hAnsi="Times New Roman" w:cs="Times New Roman"/>
              </w:rPr>
              <w:t>Absence of mentions in conspicuous contexts</w:t>
            </w:r>
          </w:p>
        </w:tc>
      </w:tr>
      <w:tr w:rsidR="00062E86" w14:paraId="288C9FFD" w14:textId="77777777" w:rsidTr="001860D7">
        <w:tc>
          <w:tcPr>
            <w:tcW w:w="3116" w:type="dxa"/>
          </w:tcPr>
          <w:p w14:paraId="3761B54E" w14:textId="77777777" w:rsidR="00062E86" w:rsidRPr="003C1581" w:rsidRDefault="00062E86" w:rsidP="001860D7">
            <w:pPr>
              <w:rPr>
                <w:rFonts w:ascii="Times New Roman" w:hAnsi="Times New Roman" w:cs="Times New Roman"/>
                <w:i/>
                <w:iCs/>
              </w:rPr>
            </w:pPr>
          </w:p>
        </w:tc>
        <w:tc>
          <w:tcPr>
            <w:tcW w:w="3117" w:type="dxa"/>
          </w:tcPr>
          <w:p w14:paraId="3A754B53" w14:textId="77777777" w:rsidR="00062E86" w:rsidRDefault="00062E86" w:rsidP="001860D7">
            <w:pPr>
              <w:rPr>
                <w:rFonts w:ascii="Times New Roman" w:hAnsi="Times New Roman" w:cs="Times New Roman"/>
              </w:rPr>
            </w:pPr>
            <w:r>
              <w:rPr>
                <w:rFonts w:ascii="Times New Roman" w:hAnsi="Times New Roman" w:cs="Times New Roman"/>
              </w:rPr>
              <w:t>Across speech from high-incarceration (within or from) district representatives (aggregate)</w:t>
            </w:r>
          </w:p>
        </w:tc>
        <w:tc>
          <w:tcPr>
            <w:tcW w:w="3117" w:type="dxa"/>
          </w:tcPr>
          <w:p w14:paraId="40D78EC3" w14:textId="77777777" w:rsidR="00062E86" w:rsidRDefault="00062E86" w:rsidP="001860D7">
            <w:pPr>
              <w:rPr>
                <w:rFonts w:ascii="Times New Roman" w:hAnsi="Times New Roman" w:cs="Times New Roman"/>
              </w:rPr>
            </w:pPr>
            <w:r>
              <w:rPr>
                <w:rFonts w:ascii="Times New Roman" w:hAnsi="Times New Roman" w:cs="Times New Roman"/>
              </w:rPr>
              <w:t>In relevant policy discussion or forums (committees)</w:t>
            </w:r>
          </w:p>
        </w:tc>
      </w:tr>
      <w:tr w:rsidR="00062E86" w14:paraId="358A1F7B" w14:textId="77777777" w:rsidTr="001860D7">
        <w:tc>
          <w:tcPr>
            <w:tcW w:w="3116" w:type="dxa"/>
          </w:tcPr>
          <w:p w14:paraId="35E27BE3" w14:textId="77777777" w:rsidR="00062E86" w:rsidRDefault="00062E86" w:rsidP="001860D7">
            <w:pPr>
              <w:rPr>
                <w:rFonts w:ascii="Times New Roman" w:hAnsi="Times New Roman" w:cs="Times New Roman"/>
              </w:rPr>
            </w:pPr>
            <w:r>
              <w:rPr>
                <w:rFonts w:ascii="Times New Roman" w:hAnsi="Times New Roman" w:cs="Times New Roman"/>
              </w:rPr>
              <w:t xml:space="preserve">*Negative or </w:t>
            </w:r>
            <w:r w:rsidRPr="003C1581">
              <w:rPr>
                <w:rFonts w:ascii="Times New Roman" w:hAnsi="Times New Roman" w:cs="Times New Roman"/>
                <w:b/>
                <w:bCs/>
              </w:rPr>
              <w:t>Distancing</w:t>
            </w:r>
            <w:r>
              <w:rPr>
                <w:rFonts w:ascii="Times New Roman" w:hAnsi="Times New Roman" w:cs="Times New Roman"/>
                <w:b/>
                <w:bCs/>
              </w:rPr>
              <w:t xml:space="preserve"> Recognition</w:t>
            </w:r>
          </w:p>
        </w:tc>
        <w:tc>
          <w:tcPr>
            <w:tcW w:w="6234" w:type="dxa"/>
            <w:gridSpan w:val="2"/>
          </w:tcPr>
          <w:p w14:paraId="4CB7782C" w14:textId="77777777" w:rsidR="00062E86" w:rsidRDefault="00062E86" w:rsidP="001860D7">
            <w:pPr>
              <w:rPr>
                <w:rFonts w:ascii="Times New Roman" w:hAnsi="Times New Roman" w:cs="Times New Roman"/>
              </w:rPr>
            </w:pPr>
            <w:r>
              <w:rPr>
                <w:rFonts w:ascii="Times New Roman" w:hAnsi="Times New Roman" w:cs="Times New Roman"/>
              </w:rPr>
              <w:t xml:space="preserve">Recognition of counter-constituencies; framing of policy as opposed to carceral interests. </w:t>
            </w:r>
          </w:p>
        </w:tc>
      </w:tr>
      <w:tr w:rsidR="00062E86" w14:paraId="6F9BCF51" w14:textId="77777777" w:rsidTr="001860D7">
        <w:tc>
          <w:tcPr>
            <w:tcW w:w="3116" w:type="dxa"/>
          </w:tcPr>
          <w:p w14:paraId="0EE66FF4" w14:textId="77777777" w:rsidR="00062E86" w:rsidRPr="003C1581" w:rsidRDefault="00062E86" w:rsidP="001860D7">
            <w:pPr>
              <w:rPr>
                <w:rFonts w:ascii="Times New Roman" w:hAnsi="Times New Roman" w:cs="Times New Roman"/>
                <w:b/>
                <w:bCs/>
              </w:rPr>
            </w:pPr>
            <w:r w:rsidRPr="003C1581">
              <w:rPr>
                <w:rFonts w:ascii="Times New Roman" w:hAnsi="Times New Roman" w:cs="Times New Roman"/>
                <w:b/>
                <w:bCs/>
              </w:rPr>
              <w:t>Hollow</w:t>
            </w:r>
            <w:r>
              <w:rPr>
                <w:rFonts w:ascii="Times New Roman" w:hAnsi="Times New Roman" w:cs="Times New Roman"/>
                <w:b/>
                <w:bCs/>
              </w:rPr>
              <w:t xml:space="preserve"> Recognition</w:t>
            </w:r>
          </w:p>
        </w:tc>
        <w:tc>
          <w:tcPr>
            <w:tcW w:w="6234" w:type="dxa"/>
            <w:gridSpan w:val="2"/>
          </w:tcPr>
          <w:p w14:paraId="396194F2" w14:textId="77777777" w:rsidR="00062E86" w:rsidRDefault="00062E86" w:rsidP="001860D7">
            <w:pPr>
              <w:rPr>
                <w:rFonts w:ascii="Times New Roman" w:hAnsi="Times New Roman" w:cs="Times New Roman"/>
              </w:rPr>
            </w:pPr>
          </w:p>
        </w:tc>
      </w:tr>
      <w:tr w:rsidR="00062E86" w14:paraId="3F555A7D" w14:textId="77777777" w:rsidTr="001860D7">
        <w:tc>
          <w:tcPr>
            <w:tcW w:w="3116" w:type="dxa"/>
          </w:tcPr>
          <w:p w14:paraId="476D5A99" w14:textId="77777777" w:rsidR="00062E86" w:rsidRDefault="00062E86" w:rsidP="001860D7">
            <w:pPr>
              <w:rPr>
                <w:rFonts w:ascii="Times New Roman" w:hAnsi="Times New Roman" w:cs="Times New Roman"/>
              </w:rPr>
            </w:pPr>
          </w:p>
        </w:tc>
        <w:tc>
          <w:tcPr>
            <w:tcW w:w="6234" w:type="dxa"/>
            <w:gridSpan w:val="2"/>
          </w:tcPr>
          <w:p w14:paraId="4939894E" w14:textId="77777777" w:rsidR="00062E86" w:rsidRDefault="00062E86" w:rsidP="001860D7">
            <w:pPr>
              <w:rPr>
                <w:rFonts w:ascii="Times New Roman" w:hAnsi="Times New Roman" w:cs="Times New Roman"/>
              </w:rPr>
            </w:pPr>
            <w:r>
              <w:rPr>
                <w:rFonts w:ascii="Times New Roman" w:hAnsi="Times New Roman" w:cs="Times New Roman"/>
              </w:rPr>
              <w:t>Rhetorical support for CJ that never ingrates carceral constituency perspective; Support for/action on policies reflecting “selective hearing”</w:t>
            </w:r>
          </w:p>
        </w:tc>
      </w:tr>
      <w:tr w:rsidR="00062E86" w14:paraId="08CD3E1A" w14:textId="77777777" w:rsidTr="001860D7">
        <w:tc>
          <w:tcPr>
            <w:tcW w:w="3116" w:type="dxa"/>
          </w:tcPr>
          <w:p w14:paraId="487D4F7E" w14:textId="77777777" w:rsidR="00062E86" w:rsidRPr="003C1581" w:rsidRDefault="00062E86" w:rsidP="001860D7">
            <w:pPr>
              <w:rPr>
                <w:rFonts w:ascii="Times New Roman" w:hAnsi="Times New Roman" w:cs="Times New Roman"/>
                <w:b/>
                <w:bCs/>
              </w:rPr>
            </w:pPr>
            <w:r>
              <w:rPr>
                <w:rFonts w:ascii="Times New Roman" w:hAnsi="Times New Roman" w:cs="Times New Roman"/>
                <w:b/>
                <w:bCs/>
              </w:rPr>
              <w:t>Centering Recognition</w:t>
            </w:r>
          </w:p>
        </w:tc>
        <w:tc>
          <w:tcPr>
            <w:tcW w:w="6234" w:type="dxa"/>
            <w:gridSpan w:val="2"/>
          </w:tcPr>
          <w:p w14:paraId="0A5F65B3" w14:textId="77777777" w:rsidR="00062E86" w:rsidRDefault="00062E86" w:rsidP="001860D7">
            <w:pPr>
              <w:rPr>
                <w:rFonts w:ascii="Times New Roman" w:hAnsi="Times New Roman" w:cs="Times New Roman"/>
              </w:rPr>
            </w:pPr>
          </w:p>
        </w:tc>
      </w:tr>
      <w:tr w:rsidR="00062E86" w14:paraId="711D8E7C" w14:textId="77777777" w:rsidTr="001860D7">
        <w:tc>
          <w:tcPr>
            <w:tcW w:w="3116" w:type="dxa"/>
          </w:tcPr>
          <w:p w14:paraId="44D41628" w14:textId="77777777" w:rsidR="00062E86" w:rsidRDefault="00062E86" w:rsidP="001860D7">
            <w:pPr>
              <w:rPr>
                <w:rFonts w:ascii="Times New Roman" w:hAnsi="Times New Roman" w:cs="Times New Roman"/>
              </w:rPr>
            </w:pPr>
          </w:p>
        </w:tc>
        <w:tc>
          <w:tcPr>
            <w:tcW w:w="3117" w:type="dxa"/>
          </w:tcPr>
          <w:p w14:paraId="1762C48A" w14:textId="77777777" w:rsidR="00062E86" w:rsidRPr="00227487" w:rsidRDefault="00062E86" w:rsidP="001860D7">
            <w:pPr>
              <w:rPr>
                <w:rFonts w:ascii="Times New Roman" w:hAnsi="Times New Roman" w:cs="Times New Roman"/>
                <w:i/>
                <w:iCs/>
              </w:rPr>
            </w:pPr>
            <w:r>
              <w:rPr>
                <w:rFonts w:ascii="Times New Roman" w:hAnsi="Times New Roman" w:cs="Times New Roman"/>
                <w:i/>
                <w:iCs/>
              </w:rPr>
              <w:t>Explicit</w:t>
            </w:r>
          </w:p>
        </w:tc>
        <w:tc>
          <w:tcPr>
            <w:tcW w:w="3117" w:type="dxa"/>
          </w:tcPr>
          <w:p w14:paraId="431AAAF7" w14:textId="77777777" w:rsidR="00062E86" w:rsidRDefault="00062E86" w:rsidP="001860D7">
            <w:pPr>
              <w:rPr>
                <w:rFonts w:ascii="Times New Roman" w:hAnsi="Times New Roman" w:cs="Times New Roman"/>
              </w:rPr>
            </w:pPr>
            <w:r>
              <w:rPr>
                <w:rFonts w:ascii="Times New Roman" w:hAnsi="Times New Roman" w:cs="Times New Roman"/>
              </w:rPr>
              <w:t>Direct constituency naming (“my constituents behind the wall,” or “my constituent, who is in MCI-Norfolk”)</w:t>
            </w:r>
          </w:p>
        </w:tc>
      </w:tr>
      <w:tr w:rsidR="00062E86" w14:paraId="4544568B" w14:textId="77777777" w:rsidTr="001860D7">
        <w:tc>
          <w:tcPr>
            <w:tcW w:w="3116" w:type="dxa"/>
          </w:tcPr>
          <w:p w14:paraId="15F01333" w14:textId="77777777" w:rsidR="00062E86" w:rsidRDefault="00062E86" w:rsidP="001860D7">
            <w:pPr>
              <w:rPr>
                <w:rFonts w:ascii="Times New Roman" w:hAnsi="Times New Roman" w:cs="Times New Roman"/>
              </w:rPr>
            </w:pPr>
          </w:p>
        </w:tc>
        <w:tc>
          <w:tcPr>
            <w:tcW w:w="3117" w:type="dxa"/>
          </w:tcPr>
          <w:p w14:paraId="361D5196" w14:textId="77777777" w:rsidR="00062E86" w:rsidRDefault="00062E86" w:rsidP="001860D7">
            <w:pPr>
              <w:rPr>
                <w:rFonts w:ascii="Times New Roman" w:hAnsi="Times New Roman" w:cs="Times New Roman"/>
                <w:i/>
                <w:iCs/>
              </w:rPr>
            </w:pPr>
            <w:r>
              <w:rPr>
                <w:rFonts w:ascii="Times New Roman" w:hAnsi="Times New Roman" w:cs="Times New Roman"/>
                <w:i/>
                <w:iCs/>
              </w:rPr>
              <w:t>Adjacent or Implicit</w:t>
            </w:r>
          </w:p>
        </w:tc>
        <w:tc>
          <w:tcPr>
            <w:tcW w:w="3117" w:type="dxa"/>
          </w:tcPr>
          <w:p w14:paraId="1DCFBAF7" w14:textId="77777777" w:rsidR="00062E86" w:rsidRDefault="00062E86" w:rsidP="001860D7">
            <w:pPr>
              <w:rPr>
                <w:rFonts w:ascii="Times New Roman" w:hAnsi="Times New Roman" w:cs="Times New Roman"/>
              </w:rPr>
            </w:pPr>
            <w:r>
              <w:rPr>
                <w:rFonts w:ascii="Times New Roman" w:hAnsi="Times New Roman" w:cs="Times New Roman"/>
              </w:rPr>
              <w:t>(“our brothers behind the wall;” “my constituents who drive 3 hours to see their loved ones in MCI-Norfolk”)</w:t>
            </w:r>
          </w:p>
        </w:tc>
      </w:tr>
      <w:tr w:rsidR="00062E86" w14:paraId="7B7E25CC" w14:textId="77777777" w:rsidTr="001860D7">
        <w:tc>
          <w:tcPr>
            <w:tcW w:w="3116" w:type="dxa"/>
          </w:tcPr>
          <w:p w14:paraId="69B8F0E7" w14:textId="77777777" w:rsidR="00062E86" w:rsidRDefault="00062E86" w:rsidP="001860D7">
            <w:pPr>
              <w:rPr>
                <w:rFonts w:ascii="Times New Roman" w:hAnsi="Times New Roman" w:cs="Times New Roman"/>
              </w:rPr>
            </w:pPr>
          </w:p>
        </w:tc>
        <w:tc>
          <w:tcPr>
            <w:tcW w:w="3117" w:type="dxa"/>
          </w:tcPr>
          <w:p w14:paraId="76FEC906" w14:textId="77777777" w:rsidR="00062E86" w:rsidRDefault="00062E86" w:rsidP="001860D7">
            <w:pPr>
              <w:rPr>
                <w:rFonts w:ascii="Times New Roman" w:hAnsi="Times New Roman" w:cs="Times New Roman"/>
                <w:i/>
                <w:iCs/>
              </w:rPr>
            </w:pPr>
            <w:r>
              <w:rPr>
                <w:rFonts w:ascii="Times New Roman" w:hAnsi="Times New Roman" w:cs="Times New Roman"/>
                <w:i/>
                <w:iCs/>
              </w:rPr>
              <w:t xml:space="preserve">Humanizing </w:t>
            </w:r>
          </w:p>
        </w:tc>
        <w:tc>
          <w:tcPr>
            <w:tcW w:w="3117" w:type="dxa"/>
          </w:tcPr>
          <w:p w14:paraId="2772D5BB" w14:textId="77777777" w:rsidR="00062E86" w:rsidRDefault="00062E86" w:rsidP="001860D7">
            <w:pPr>
              <w:rPr>
                <w:rFonts w:ascii="Times New Roman" w:hAnsi="Times New Roman" w:cs="Times New Roman"/>
              </w:rPr>
            </w:pPr>
            <w:r>
              <w:rPr>
                <w:rFonts w:ascii="Times New Roman" w:hAnsi="Times New Roman" w:cs="Times New Roman"/>
              </w:rPr>
              <w:t>Carceral citizens as moral agents, community members, rights-bearing (dignity, family ties, political voice, deserving of)</w:t>
            </w:r>
          </w:p>
        </w:tc>
      </w:tr>
      <w:tr w:rsidR="00062E86" w14:paraId="5494D14A" w14:textId="77777777" w:rsidTr="001860D7">
        <w:tc>
          <w:tcPr>
            <w:tcW w:w="3116" w:type="dxa"/>
          </w:tcPr>
          <w:p w14:paraId="317CEC29" w14:textId="77777777" w:rsidR="00062E86" w:rsidRPr="00CD42D5" w:rsidRDefault="00062E86" w:rsidP="001860D7">
            <w:pPr>
              <w:rPr>
                <w:rFonts w:ascii="Times New Roman" w:hAnsi="Times New Roman" w:cs="Times New Roman"/>
                <w:i/>
                <w:iCs/>
              </w:rPr>
            </w:pPr>
            <w:r w:rsidRPr="00CD42D5">
              <w:rPr>
                <w:rFonts w:ascii="Times New Roman" w:hAnsi="Times New Roman" w:cs="Times New Roman"/>
                <w:i/>
                <w:iCs/>
              </w:rPr>
              <w:t>Potential cites of epistemic inclusion</w:t>
            </w:r>
          </w:p>
        </w:tc>
        <w:tc>
          <w:tcPr>
            <w:tcW w:w="3117" w:type="dxa"/>
          </w:tcPr>
          <w:p w14:paraId="207CADD9" w14:textId="77777777" w:rsidR="00062E86" w:rsidRDefault="00062E86" w:rsidP="001860D7">
            <w:pPr>
              <w:rPr>
                <w:rFonts w:ascii="Times New Roman" w:hAnsi="Times New Roman" w:cs="Times New Roman"/>
                <w:i/>
                <w:iCs/>
              </w:rPr>
            </w:pPr>
            <w:r>
              <w:rPr>
                <w:rFonts w:ascii="Times New Roman" w:hAnsi="Times New Roman" w:cs="Times New Roman"/>
                <w:i/>
                <w:iCs/>
              </w:rPr>
              <w:t>As Knowers (Episteme?)</w:t>
            </w:r>
          </w:p>
        </w:tc>
        <w:tc>
          <w:tcPr>
            <w:tcW w:w="3117" w:type="dxa"/>
          </w:tcPr>
          <w:p w14:paraId="6A262636" w14:textId="77777777" w:rsidR="00062E86" w:rsidRDefault="00062E86" w:rsidP="001860D7">
            <w:pPr>
              <w:rPr>
                <w:rFonts w:ascii="Times New Roman" w:hAnsi="Times New Roman" w:cs="Times New Roman"/>
              </w:rPr>
            </w:pPr>
            <w:r>
              <w:rPr>
                <w:rFonts w:ascii="Times New Roman" w:hAnsi="Times New Roman" w:cs="Times New Roman"/>
              </w:rPr>
              <w:t>References to perspectives, political voice, direct demands; framing carceral political action (protest, direct participation) as legitimate political action; references to “hidden curriculum” (Weaver)</w:t>
            </w:r>
          </w:p>
        </w:tc>
      </w:tr>
      <w:tr w:rsidR="00062E86" w14:paraId="5177C9E9" w14:textId="77777777" w:rsidTr="001860D7">
        <w:tc>
          <w:tcPr>
            <w:tcW w:w="3116" w:type="dxa"/>
          </w:tcPr>
          <w:p w14:paraId="6C2DDE65" w14:textId="77777777" w:rsidR="00062E86" w:rsidRDefault="00062E86" w:rsidP="001860D7">
            <w:pPr>
              <w:rPr>
                <w:rFonts w:ascii="Times New Roman" w:hAnsi="Times New Roman" w:cs="Times New Roman"/>
              </w:rPr>
            </w:pPr>
          </w:p>
        </w:tc>
        <w:tc>
          <w:tcPr>
            <w:tcW w:w="3117" w:type="dxa"/>
          </w:tcPr>
          <w:p w14:paraId="36B9B2B7" w14:textId="77777777" w:rsidR="00062E86" w:rsidRDefault="00062E86" w:rsidP="001860D7">
            <w:pPr>
              <w:rPr>
                <w:rFonts w:ascii="Times New Roman" w:hAnsi="Times New Roman" w:cs="Times New Roman"/>
                <w:i/>
                <w:iCs/>
              </w:rPr>
            </w:pPr>
          </w:p>
        </w:tc>
        <w:tc>
          <w:tcPr>
            <w:tcW w:w="3117" w:type="dxa"/>
          </w:tcPr>
          <w:p w14:paraId="0D09F139" w14:textId="77777777" w:rsidR="00062E86" w:rsidRDefault="00062E86" w:rsidP="001860D7">
            <w:pPr>
              <w:rPr>
                <w:rFonts w:ascii="Times New Roman" w:hAnsi="Times New Roman" w:cs="Times New Roman"/>
              </w:rPr>
            </w:pPr>
            <w:r>
              <w:rPr>
                <w:rFonts w:ascii="Times New Roman" w:hAnsi="Times New Roman" w:cs="Times New Roman"/>
              </w:rPr>
              <w:t>References to legislator-initiated direct contact (prison visits)</w:t>
            </w:r>
          </w:p>
        </w:tc>
      </w:tr>
      <w:tr w:rsidR="00062E86" w14:paraId="4A92CBDF" w14:textId="77777777" w:rsidTr="001860D7">
        <w:tc>
          <w:tcPr>
            <w:tcW w:w="3116" w:type="dxa"/>
          </w:tcPr>
          <w:p w14:paraId="7B89BDF1" w14:textId="77777777" w:rsidR="00062E86" w:rsidRPr="00C91B6B" w:rsidRDefault="00062E86" w:rsidP="001860D7">
            <w:pPr>
              <w:rPr>
                <w:rFonts w:ascii="Times New Roman" w:hAnsi="Times New Roman" w:cs="Times New Roman"/>
                <w:i/>
                <w:iCs/>
              </w:rPr>
            </w:pPr>
            <w:r>
              <w:rPr>
                <w:rFonts w:ascii="Times New Roman" w:hAnsi="Times New Roman" w:cs="Times New Roman"/>
                <w:i/>
                <w:iCs/>
              </w:rPr>
              <w:t>Potential responsiveness</w:t>
            </w:r>
          </w:p>
        </w:tc>
        <w:tc>
          <w:tcPr>
            <w:tcW w:w="3117" w:type="dxa"/>
          </w:tcPr>
          <w:p w14:paraId="6E48BFA2" w14:textId="77777777" w:rsidR="00062E86" w:rsidRDefault="00062E86" w:rsidP="001860D7">
            <w:pPr>
              <w:rPr>
                <w:rFonts w:ascii="Times New Roman" w:hAnsi="Times New Roman" w:cs="Times New Roman"/>
                <w:i/>
                <w:iCs/>
              </w:rPr>
            </w:pPr>
            <w:r>
              <w:rPr>
                <w:rFonts w:ascii="Times New Roman" w:hAnsi="Times New Roman" w:cs="Times New Roman"/>
                <w:i/>
                <w:iCs/>
              </w:rPr>
              <w:t xml:space="preserve">“Bridging” or Injecting </w:t>
            </w:r>
            <w:proofErr w:type="gramStart"/>
            <w:r>
              <w:rPr>
                <w:rFonts w:ascii="Times New Roman" w:hAnsi="Times New Roman" w:cs="Times New Roman"/>
                <w:i/>
                <w:iCs/>
              </w:rPr>
              <w:t>CC’s</w:t>
            </w:r>
            <w:proofErr w:type="gramEnd"/>
            <w:r>
              <w:rPr>
                <w:rFonts w:ascii="Times New Roman" w:hAnsi="Times New Roman" w:cs="Times New Roman"/>
                <w:i/>
                <w:iCs/>
              </w:rPr>
              <w:t xml:space="preserve"> as Knowers </w:t>
            </w:r>
          </w:p>
        </w:tc>
        <w:tc>
          <w:tcPr>
            <w:tcW w:w="3117" w:type="dxa"/>
          </w:tcPr>
          <w:p w14:paraId="77EC9811" w14:textId="77777777" w:rsidR="00062E86" w:rsidRDefault="00062E86" w:rsidP="001860D7">
            <w:pPr>
              <w:rPr>
                <w:rFonts w:ascii="Times New Roman" w:hAnsi="Times New Roman" w:cs="Times New Roman"/>
              </w:rPr>
            </w:pPr>
            <w:r>
              <w:rPr>
                <w:rFonts w:ascii="Times New Roman" w:hAnsi="Times New Roman" w:cs="Times New Roman"/>
              </w:rPr>
              <w:t>Direct engagement with carceral constituent recorded or live testimony, reading/direct quoting</w:t>
            </w:r>
          </w:p>
        </w:tc>
      </w:tr>
    </w:tbl>
    <w:p w14:paraId="2145FC40" w14:textId="77777777" w:rsidR="00A51CD1" w:rsidRDefault="00A51CD1" w:rsidP="000F38CE">
      <w:pPr>
        <w:spacing w:line="360" w:lineRule="auto"/>
        <w:rPr>
          <w:rFonts w:ascii="Times New Roman" w:hAnsi="Times New Roman" w:cs="Times New Roman"/>
        </w:rPr>
      </w:pPr>
    </w:p>
    <w:p w14:paraId="4CC07B90" w14:textId="61EF07C5" w:rsidR="004E75E9" w:rsidRDefault="004E75E9" w:rsidP="000F38CE">
      <w:pPr>
        <w:spacing w:line="360" w:lineRule="auto"/>
        <w:rPr>
          <w:rFonts w:ascii="Times New Roman" w:hAnsi="Times New Roman" w:cs="Times New Roman"/>
        </w:rPr>
      </w:pPr>
      <w:r>
        <w:rPr>
          <w:rFonts w:ascii="Times New Roman" w:hAnsi="Times New Roman" w:cs="Times New Roman"/>
        </w:rPr>
        <w:t xml:space="preserve">Table 2: Possible Sources Considered </w:t>
      </w:r>
    </w:p>
    <w:p w14:paraId="509BECCC"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Table 2: Potential Measures, Data Sources, and Feasibility Assessment</w:t>
      </w:r>
    </w:p>
    <w:p w14:paraId="08D82E79"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i/>
          <w:iCs/>
        </w:rPr>
        <w:t>This table summarizes potential dependent variables, data sources, and platforms for measuring symbolic representation, epistemic inclusion, and responsiveness to carceral constituencies. Feasibility ratings reflect data accessibility and methodological complexity.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2527"/>
        <w:gridCol w:w="1142"/>
        <w:gridCol w:w="1148"/>
        <w:gridCol w:w="2752"/>
      </w:tblGrid>
      <w:tr w:rsidR="004E75E9" w:rsidRPr="004E75E9" w14:paraId="62B0AC69" w14:textId="77777777" w:rsidTr="001860D7">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9E2F3"/>
          </w:tcPr>
          <w:p w14:paraId="687B7BB2"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Measure</w:t>
            </w:r>
          </w:p>
        </w:tc>
        <w:tc>
          <w:tcPr>
            <w:tcW w:w="2800" w:type="dxa"/>
            <w:tcBorders>
              <w:top w:val="single" w:sz="1" w:space="0" w:color="999999"/>
              <w:left w:val="single" w:sz="1" w:space="0" w:color="999999"/>
              <w:bottom w:val="single" w:sz="1" w:space="0" w:color="999999"/>
              <w:right w:val="single" w:sz="1" w:space="0" w:color="999999"/>
            </w:tcBorders>
            <w:shd w:val="clear" w:color="auto" w:fill="D9E2F3"/>
          </w:tcPr>
          <w:p w14:paraId="64454E27"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Data Sources / Platforms</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Pr>
          <w:p w14:paraId="51D41CFC"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Level</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Pr>
          <w:p w14:paraId="5168E230"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Feasibility</w:t>
            </w:r>
          </w:p>
        </w:tc>
        <w:tc>
          <w:tcPr>
            <w:tcW w:w="3600" w:type="dxa"/>
            <w:tcBorders>
              <w:top w:val="single" w:sz="1" w:space="0" w:color="999999"/>
              <w:left w:val="single" w:sz="1" w:space="0" w:color="999999"/>
              <w:bottom w:val="single" w:sz="1" w:space="0" w:color="999999"/>
              <w:right w:val="single" w:sz="1" w:space="0" w:color="999999"/>
            </w:tcBorders>
            <w:shd w:val="clear" w:color="auto" w:fill="D9E2F3"/>
          </w:tcPr>
          <w:p w14:paraId="3FBA21D5"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Theoretical Relevance</w:t>
            </w:r>
          </w:p>
        </w:tc>
      </w:tr>
      <w:tr w:rsidR="004E75E9" w:rsidRPr="004E75E9" w14:paraId="77BE04A8" w14:textId="77777777" w:rsidTr="001860D7">
        <w:tc>
          <w:tcPr>
            <w:tcW w:w="10800" w:type="dxa"/>
            <w:gridSpan w:val="5"/>
            <w:tcBorders>
              <w:top w:val="single" w:sz="1" w:space="0" w:color="999999"/>
              <w:left w:val="single" w:sz="1" w:space="0" w:color="999999"/>
              <w:bottom w:val="single" w:sz="1" w:space="0" w:color="999999"/>
              <w:right w:val="single" w:sz="1" w:space="0" w:color="999999"/>
            </w:tcBorders>
            <w:shd w:val="clear" w:color="auto" w:fill="F2F2F2"/>
          </w:tcPr>
          <w:p w14:paraId="2ED335A7"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i/>
                <w:iCs/>
              </w:rPr>
              <w:t>A. Committee &amp; Deliberative Speech</w:t>
            </w:r>
          </w:p>
        </w:tc>
      </w:tr>
      <w:tr w:rsidR="004E75E9" w:rsidRPr="004E75E9" w14:paraId="4596A9CA"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4FC59BB0"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Legislator speech in committee hearings</w:t>
            </w:r>
          </w:p>
        </w:tc>
        <w:tc>
          <w:tcPr>
            <w:tcW w:w="2800" w:type="dxa"/>
            <w:tcBorders>
              <w:top w:val="single" w:sz="1" w:space="0" w:color="999999"/>
              <w:left w:val="single" w:sz="1" w:space="0" w:color="999999"/>
              <w:bottom w:val="single" w:sz="1" w:space="0" w:color="999999"/>
              <w:right w:val="single" w:sz="1" w:space="0" w:color="999999"/>
            </w:tcBorders>
          </w:tcPr>
          <w:p w14:paraId="6AF2961D"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legislature archives; YouTube channels; hearing transcripts (PDFs); ProQuest Congressional (federal)</w:t>
            </w:r>
          </w:p>
        </w:tc>
        <w:tc>
          <w:tcPr>
            <w:tcW w:w="1200" w:type="dxa"/>
            <w:tcBorders>
              <w:top w:val="single" w:sz="1" w:space="0" w:color="999999"/>
              <w:left w:val="single" w:sz="1" w:space="0" w:color="999999"/>
              <w:bottom w:val="single" w:sz="1" w:space="0" w:color="999999"/>
              <w:right w:val="single" w:sz="1" w:space="0" w:color="999999"/>
            </w:tcBorders>
          </w:tcPr>
          <w:p w14:paraId="7775B4F1"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79AB7CA8"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Medium-High</w:t>
            </w:r>
          </w:p>
        </w:tc>
        <w:tc>
          <w:tcPr>
            <w:tcW w:w="3600" w:type="dxa"/>
            <w:tcBorders>
              <w:top w:val="single" w:sz="1" w:space="0" w:color="999999"/>
              <w:left w:val="single" w:sz="1" w:space="0" w:color="999999"/>
              <w:bottom w:val="single" w:sz="1" w:space="0" w:color="999999"/>
              <w:right w:val="single" w:sz="1" w:space="0" w:color="999999"/>
            </w:tcBorders>
          </w:tcPr>
          <w:p w14:paraId="42DA23A8"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 xml:space="preserve">Epistemic inclusion in Pottle's sense: whose knowledge is treated as relevant inside decision-making. Aligns with Ban &amp; </w:t>
            </w:r>
            <w:proofErr w:type="spellStart"/>
            <w:r w:rsidRPr="004E75E9">
              <w:rPr>
                <w:rFonts w:ascii="Times New Roman" w:hAnsi="Times New Roman" w:cs="Times New Roman"/>
              </w:rPr>
              <w:t>Kaslovsky</w:t>
            </w:r>
            <w:proofErr w:type="spellEnd"/>
            <w:r w:rsidRPr="004E75E9">
              <w:rPr>
                <w:rFonts w:ascii="Times New Roman" w:hAnsi="Times New Roman" w:cs="Times New Roman"/>
              </w:rPr>
              <w:t xml:space="preserve"> (2025) on internal vs. external rhetoric.</w:t>
            </w:r>
          </w:p>
        </w:tc>
      </w:tr>
      <w:tr w:rsidR="004E75E9" w:rsidRPr="004E75E9" w14:paraId="70F5797F"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3FFC8858"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Treatment of incarcerated testimony</w:t>
            </w:r>
          </w:p>
        </w:tc>
        <w:tc>
          <w:tcPr>
            <w:tcW w:w="2800" w:type="dxa"/>
            <w:tcBorders>
              <w:top w:val="single" w:sz="1" w:space="0" w:color="999999"/>
              <w:left w:val="single" w:sz="1" w:space="0" w:color="999999"/>
              <w:bottom w:val="single" w:sz="1" w:space="0" w:color="999999"/>
              <w:right w:val="single" w:sz="1" w:space="0" w:color="999999"/>
            </w:tcBorders>
          </w:tcPr>
          <w:p w14:paraId="56076944"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Hearing records; advocacy group websites; FOIA/public records requests</w:t>
            </w:r>
          </w:p>
        </w:tc>
        <w:tc>
          <w:tcPr>
            <w:tcW w:w="1200" w:type="dxa"/>
            <w:tcBorders>
              <w:top w:val="single" w:sz="1" w:space="0" w:color="999999"/>
              <w:left w:val="single" w:sz="1" w:space="0" w:color="999999"/>
              <w:bottom w:val="single" w:sz="1" w:space="0" w:color="999999"/>
              <w:right w:val="single" w:sz="1" w:space="0" w:color="999999"/>
            </w:tcBorders>
          </w:tcPr>
          <w:p w14:paraId="755E329C"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39C893DE"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High</w:t>
            </w:r>
          </w:p>
        </w:tc>
        <w:tc>
          <w:tcPr>
            <w:tcW w:w="3600" w:type="dxa"/>
            <w:tcBorders>
              <w:top w:val="single" w:sz="1" w:space="0" w:color="999999"/>
              <w:left w:val="single" w:sz="1" w:space="0" w:color="999999"/>
              <w:bottom w:val="single" w:sz="1" w:space="0" w:color="999999"/>
              <w:right w:val="single" w:sz="1" w:space="0" w:color="999999"/>
            </w:tcBorders>
          </w:tcPr>
          <w:p w14:paraId="5EDD759A"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Direct operationalization of testimonial justice vs. injustice (Pottle 2025). Whether legislators reference, credit, or dismiss testimony from incarcerated or formerly incarcerated people.</w:t>
            </w:r>
          </w:p>
        </w:tc>
      </w:tr>
      <w:tr w:rsidR="004E75E9" w:rsidRPr="004E75E9" w14:paraId="1F735755"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1442F433"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lastRenderedPageBreak/>
              <w:t>Committee questions on bills</w:t>
            </w:r>
          </w:p>
        </w:tc>
        <w:tc>
          <w:tcPr>
            <w:tcW w:w="2800" w:type="dxa"/>
            <w:tcBorders>
              <w:top w:val="single" w:sz="1" w:space="0" w:color="999999"/>
              <w:left w:val="single" w:sz="1" w:space="0" w:color="999999"/>
              <w:bottom w:val="single" w:sz="1" w:space="0" w:color="999999"/>
              <w:right w:val="single" w:sz="1" w:space="0" w:color="999999"/>
            </w:tcBorders>
          </w:tcPr>
          <w:p w14:paraId="679F1421"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committee archives; Congress.gov; ProQuest Congressional</w:t>
            </w:r>
          </w:p>
        </w:tc>
        <w:tc>
          <w:tcPr>
            <w:tcW w:w="1200" w:type="dxa"/>
            <w:tcBorders>
              <w:top w:val="single" w:sz="1" w:space="0" w:color="999999"/>
              <w:left w:val="single" w:sz="1" w:space="0" w:color="999999"/>
              <w:bottom w:val="single" w:sz="1" w:space="0" w:color="999999"/>
              <w:right w:val="single" w:sz="1" w:space="0" w:color="999999"/>
            </w:tcBorders>
          </w:tcPr>
          <w:p w14:paraId="5CD41A64"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50055774"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Medium</w:t>
            </w:r>
          </w:p>
        </w:tc>
        <w:tc>
          <w:tcPr>
            <w:tcW w:w="3600" w:type="dxa"/>
            <w:tcBorders>
              <w:top w:val="single" w:sz="1" w:space="0" w:color="999999"/>
              <w:left w:val="single" w:sz="1" w:space="0" w:color="999999"/>
              <w:bottom w:val="single" w:sz="1" w:space="0" w:color="999999"/>
              <w:right w:val="single" w:sz="1" w:space="0" w:color="999999"/>
            </w:tcBorders>
          </w:tcPr>
          <w:p w14:paraId="77F8D0E8"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Whether questions center incarcerated people's experiences vs. victims, police, or budgets. Captures how legislators think, not just what they vote on (</w:t>
            </w:r>
            <w:proofErr w:type="spellStart"/>
            <w:r w:rsidRPr="004E75E9">
              <w:rPr>
                <w:rFonts w:ascii="Times New Roman" w:hAnsi="Times New Roman" w:cs="Times New Roman"/>
              </w:rPr>
              <w:t>Fenno</w:t>
            </w:r>
            <w:proofErr w:type="spellEnd"/>
            <w:r w:rsidRPr="004E75E9">
              <w:rPr>
                <w:rFonts w:ascii="Times New Roman" w:hAnsi="Times New Roman" w:cs="Times New Roman"/>
              </w:rPr>
              <w:t xml:space="preserve"> 1978).</w:t>
            </w:r>
          </w:p>
        </w:tc>
      </w:tr>
      <w:tr w:rsidR="004E75E9" w:rsidRPr="004E75E9" w14:paraId="22EB1AE5"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26EA25E2"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Floor speeches</w:t>
            </w:r>
          </w:p>
        </w:tc>
        <w:tc>
          <w:tcPr>
            <w:tcW w:w="2800" w:type="dxa"/>
            <w:tcBorders>
              <w:top w:val="single" w:sz="1" w:space="0" w:color="999999"/>
              <w:left w:val="single" w:sz="1" w:space="0" w:color="999999"/>
              <w:bottom w:val="single" w:sz="1" w:space="0" w:color="999999"/>
              <w:right w:val="single" w:sz="1" w:space="0" w:color="999999"/>
            </w:tcBorders>
          </w:tcPr>
          <w:p w14:paraId="7FBC05F2"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 xml:space="preserve">Congressional Record; </w:t>
            </w:r>
            <w:proofErr w:type="spellStart"/>
            <w:r w:rsidRPr="004E75E9">
              <w:rPr>
                <w:rFonts w:ascii="Times New Roman" w:hAnsi="Times New Roman" w:cs="Times New Roman"/>
              </w:rPr>
              <w:t>GovInfo</w:t>
            </w:r>
            <w:proofErr w:type="spellEnd"/>
            <w:r w:rsidRPr="004E75E9">
              <w:rPr>
                <w:rFonts w:ascii="Times New Roman" w:hAnsi="Times New Roman" w:cs="Times New Roman"/>
              </w:rPr>
              <w:t xml:space="preserve"> API; state legislative journals</w:t>
            </w:r>
          </w:p>
        </w:tc>
        <w:tc>
          <w:tcPr>
            <w:tcW w:w="1200" w:type="dxa"/>
            <w:tcBorders>
              <w:top w:val="single" w:sz="1" w:space="0" w:color="999999"/>
              <w:left w:val="single" w:sz="1" w:space="0" w:color="999999"/>
              <w:bottom w:val="single" w:sz="1" w:space="0" w:color="999999"/>
              <w:right w:val="single" w:sz="1" w:space="0" w:color="999999"/>
            </w:tcBorders>
          </w:tcPr>
          <w:p w14:paraId="6B3D139E"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2126743C"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Low-Medium</w:t>
            </w:r>
          </w:p>
        </w:tc>
        <w:tc>
          <w:tcPr>
            <w:tcW w:w="3600" w:type="dxa"/>
            <w:tcBorders>
              <w:top w:val="single" w:sz="1" w:space="0" w:color="999999"/>
              <w:left w:val="single" w:sz="1" w:space="0" w:color="999999"/>
              <w:bottom w:val="single" w:sz="1" w:space="0" w:color="999999"/>
              <w:right w:val="single" w:sz="1" w:space="0" w:color="999999"/>
            </w:tcBorders>
          </w:tcPr>
          <w:p w14:paraId="5B45E18F"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Explicit constituent naming and framing differences by identity. Used by Vishwanath (2025) and Gillion (2016).</w:t>
            </w:r>
          </w:p>
        </w:tc>
      </w:tr>
      <w:tr w:rsidR="004E75E9" w:rsidRPr="004E75E9" w14:paraId="52860D89"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307384E8"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Letters entered into legislative record</w:t>
            </w:r>
          </w:p>
        </w:tc>
        <w:tc>
          <w:tcPr>
            <w:tcW w:w="2800" w:type="dxa"/>
            <w:tcBorders>
              <w:top w:val="single" w:sz="1" w:space="0" w:color="999999"/>
              <w:left w:val="single" w:sz="1" w:space="0" w:color="999999"/>
              <w:bottom w:val="single" w:sz="1" w:space="0" w:color="999999"/>
              <w:right w:val="single" w:sz="1" w:space="0" w:color="999999"/>
            </w:tcBorders>
          </w:tcPr>
          <w:p w14:paraId="5ABE7738"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Hearing transcripts; legislative journals</w:t>
            </w:r>
          </w:p>
        </w:tc>
        <w:tc>
          <w:tcPr>
            <w:tcW w:w="1200" w:type="dxa"/>
            <w:tcBorders>
              <w:top w:val="single" w:sz="1" w:space="0" w:color="999999"/>
              <w:left w:val="single" w:sz="1" w:space="0" w:color="999999"/>
              <w:bottom w:val="single" w:sz="1" w:space="0" w:color="999999"/>
              <w:right w:val="single" w:sz="1" w:space="0" w:color="999999"/>
            </w:tcBorders>
          </w:tcPr>
          <w:p w14:paraId="57F08F5C"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42B8AB77"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Medium-High</w:t>
            </w:r>
          </w:p>
        </w:tc>
        <w:tc>
          <w:tcPr>
            <w:tcW w:w="3600" w:type="dxa"/>
            <w:tcBorders>
              <w:top w:val="single" w:sz="1" w:space="0" w:color="999999"/>
              <w:left w:val="single" w:sz="1" w:space="0" w:color="999999"/>
              <w:bottom w:val="single" w:sz="1" w:space="0" w:color="999999"/>
              <w:right w:val="single" w:sz="1" w:space="0" w:color="999999"/>
            </w:tcBorders>
          </w:tcPr>
          <w:p w14:paraId="4196D56A"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When legislators read letters from incarcerated people into hearings—direct evidence of testimonial inclusion.</w:t>
            </w:r>
          </w:p>
        </w:tc>
      </w:tr>
      <w:tr w:rsidR="004E75E9" w:rsidRPr="004E75E9" w14:paraId="632A05D2" w14:textId="77777777" w:rsidTr="001860D7">
        <w:tc>
          <w:tcPr>
            <w:tcW w:w="10800" w:type="dxa"/>
            <w:gridSpan w:val="5"/>
            <w:tcBorders>
              <w:top w:val="single" w:sz="1" w:space="0" w:color="999999"/>
              <w:left w:val="single" w:sz="1" w:space="0" w:color="999999"/>
              <w:bottom w:val="single" w:sz="1" w:space="0" w:color="999999"/>
              <w:right w:val="single" w:sz="1" w:space="0" w:color="999999"/>
            </w:tcBorders>
            <w:shd w:val="clear" w:color="auto" w:fill="F2F2F2"/>
          </w:tcPr>
          <w:p w14:paraId="7BC22C4A"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i/>
                <w:iCs/>
              </w:rPr>
              <w:t>B. Constituent-Facing Communication</w:t>
            </w:r>
          </w:p>
        </w:tc>
      </w:tr>
      <w:tr w:rsidR="004E75E9" w:rsidRPr="004E75E9" w14:paraId="74526FF1"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5E2E3BB4"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Legislator newsletters</w:t>
            </w:r>
          </w:p>
        </w:tc>
        <w:tc>
          <w:tcPr>
            <w:tcW w:w="2800" w:type="dxa"/>
            <w:tcBorders>
              <w:top w:val="single" w:sz="1" w:space="0" w:color="999999"/>
              <w:left w:val="single" w:sz="1" w:space="0" w:color="999999"/>
              <w:bottom w:val="single" w:sz="1" w:space="0" w:color="999999"/>
              <w:right w:val="single" w:sz="1" w:space="0" w:color="999999"/>
            </w:tcBorders>
          </w:tcPr>
          <w:p w14:paraId="2EB5503E"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 xml:space="preserve">Individual legislator websites; state listserv archives; Internet Archive (Wayback Machine); </w:t>
            </w:r>
            <w:proofErr w:type="spellStart"/>
            <w:r w:rsidRPr="004E75E9">
              <w:rPr>
                <w:rFonts w:ascii="Times New Roman" w:hAnsi="Times New Roman" w:cs="Times New Roman"/>
              </w:rPr>
              <w:t>DCinbox</w:t>
            </w:r>
            <w:proofErr w:type="spellEnd"/>
            <w:r w:rsidRPr="004E75E9">
              <w:rPr>
                <w:rFonts w:ascii="Times New Roman" w:hAnsi="Times New Roman" w:cs="Times New Roman"/>
              </w:rPr>
              <w:t xml:space="preserve"> (congressional)</w:t>
            </w:r>
          </w:p>
        </w:tc>
        <w:tc>
          <w:tcPr>
            <w:tcW w:w="1200" w:type="dxa"/>
            <w:tcBorders>
              <w:top w:val="single" w:sz="1" w:space="0" w:color="999999"/>
              <w:left w:val="single" w:sz="1" w:space="0" w:color="999999"/>
              <w:bottom w:val="single" w:sz="1" w:space="0" w:color="999999"/>
              <w:right w:val="single" w:sz="1" w:space="0" w:color="999999"/>
            </w:tcBorders>
          </w:tcPr>
          <w:p w14:paraId="7CD42AEB"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727F75C0"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Medium</w:t>
            </w:r>
          </w:p>
        </w:tc>
        <w:tc>
          <w:tcPr>
            <w:tcW w:w="3600" w:type="dxa"/>
            <w:tcBorders>
              <w:top w:val="single" w:sz="1" w:space="0" w:color="999999"/>
              <w:left w:val="single" w:sz="1" w:space="0" w:color="999999"/>
              <w:bottom w:val="single" w:sz="1" w:space="0" w:color="999999"/>
              <w:right w:val="single" w:sz="1" w:space="0" w:color="999999"/>
            </w:tcBorders>
          </w:tcPr>
          <w:p w14:paraId="1ED534AC"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Closest state analogue to Vishwanath's (2025) DV. Clean symbolic representation measure: whether incarcerated people are named as part of "the district."</w:t>
            </w:r>
          </w:p>
        </w:tc>
      </w:tr>
      <w:tr w:rsidR="004E75E9" w:rsidRPr="004E75E9" w14:paraId="3DB9E914"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199D5901"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lastRenderedPageBreak/>
              <w:t>Social media (Twitter/X, Facebook, Instagram)</w:t>
            </w:r>
          </w:p>
        </w:tc>
        <w:tc>
          <w:tcPr>
            <w:tcW w:w="2800" w:type="dxa"/>
            <w:tcBorders>
              <w:top w:val="single" w:sz="1" w:space="0" w:color="999999"/>
              <w:left w:val="single" w:sz="1" w:space="0" w:color="999999"/>
              <w:bottom w:val="single" w:sz="1" w:space="0" w:color="999999"/>
              <w:right w:val="single" w:sz="1" w:space="0" w:color="999999"/>
            </w:tcBorders>
          </w:tcPr>
          <w:p w14:paraId="446C36EE"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 xml:space="preserve">Twitter/X API; </w:t>
            </w:r>
            <w:proofErr w:type="spellStart"/>
            <w:r w:rsidRPr="004E75E9">
              <w:rPr>
                <w:rFonts w:ascii="Times New Roman" w:hAnsi="Times New Roman" w:cs="Times New Roman"/>
              </w:rPr>
              <w:t>CrowdTangle</w:t>
            </w:r>
            <w:proofErr w:type="spellEnd"/>
            <w:r w:rsidRPr="004E75E9">
              <w:rPr>
                <w:rFonts w:ascii="Times New Roman" w:hAnsi="Times New Roman" w:cs="Times New Roman"/>
              </w:rPr>
              <w:t xml:space="preserve"> (Facebook/Instagram); manual scraping</w:t>
            </w:r>
          </w:p>
        </w:tc>
        <w:tc>
          <w:tcPr>
            <w:tcW w:w="1200" w:type="dxa"/>
            <w:tcBorders>
              <w:top w:val="single" w:sz="1" w:space="0" w:color="999999"/>
              <w:left w:val="single" w:sz="1" w:space="0" w:color="999999"/>
              <w:bottom w:val="single" w:sz="1" w:space="0" w:color="999999"/>
              <w:right w:val="single" w:sz="1" w:space="0" w:color="999999"/>
            </w:tcBorders>
          </w:tcPr>
          <w:p w14:paraId="068431D0"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1877BAE0"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Medium</w:t>
            </w:r>
          </w:p>
        </w:tc>
        <w:tc>
          <w:tcPr>
            <w:tcW w:w="3600" w:type="dxa"/>
            <w:tcBorders>
              <w:top w:val="single" w:sz="1" w:space="0" w:color="999999"/>
              <w:left w:val="single" w:sz="1" w:space="0" w:color="999999"/>
              <w:bottom w:val="single" w:sz="1" w:space="0" w:color="999999"/>
              <w:right w:val="single" w:sz="1" w:space="0" w:color="999999"/>
            </w:tcBorders>
          </w:tcPr>
          <w:p w14:paraId="4448F3B3"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Real-time, lower-filter discourse. Mentions of incarceration, hashtags tied to advocacy campaigns, responses to events (uprisings, lawsuits, deaths). Less sanitized than newsletters.</w:t>
            </w:r>
          </w:p>
        </w:tc>
      </w:tr>
      <w:tr w:rsidR="004E75E9" w:rsidRPr="004E75E9" w14:paraId="27CA22AF"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202F6FF2"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Member websites &amp; press releases</w:t>
            </w:r>
          </w:p>
        </w:tc>
        <w:tc>
          <w:tcPr>
            <w:tcW w:w="2800" w:type="dxa"/>
            <w:tcBorders>
              <w:top w:val="single" w:sz="1" w:space="0" w:color="999999"/>
              <w:left w:val="single" w:sz="1" w:space="0" w:color="999999"/>
              <w:bottom w:val="single" w:sz="1" w:space="0" w:color="999999"/>
              <w:right w:val="single" w:sz="1" w:space="0" w:color="999999"/>
            </w:tcBorders>
          </w:tcPr>
          <w:p w14:paraId="56E65BEC"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Archived websites; Internet Archive; current legislator sites</w:t>
            </w:r>
          </w:p>
        </w:tc>
        <w:tc>
          <w:tcPr>
            <w:tcW w:w="1200" w:type="dxa"/>
            <w:tcBorders>
              <w:top w:val="single" w:sz="1" w:space="0" w:color="999999"/>
              <w:left w:val="single" w:sz="1" w:space="0" w:color="999999"/>
              <w:bottom w:val="single" w:sz="1" w:space="0" w:color="999999"/>
              <w:right w:val="single" w:sz="1" w:space="0" w:color="999999"/>
            </w:tcBorders>
          </w:tcPr>
          <w:p w14:paraId="5E6151BC"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568993CE"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Low-Medium</w:t>
            </w:r>
          </w:p>
        </w:tc>
        <w:tc>
          <w:tcPr>
            <w:tcW w:w="3600" w:type="dxa"/>
            <w:tcBorders>
              <w:top w:val="single" w:sz="1" w:space="0" w:color="999999"/>
              <w:left w:val="single" w:sz="1" w:space="0" w:color="999999"/>
              <w:bottom w:val="single" w:sz="1" w:space="0" w:color="999999"/>
              <w:right w:val="single" w:sz="1" w:space="0" w:color="999999"/>
            </w:tcBorders>
          </w:tcPr>
          <w:p w14:paraId="76F81EFF"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Fenno-style home style analysis. Prison visit announcements as behavioral indicator of epistemic exposure.</w:t>
            </w:r>
          </w:p>
        </w:tc>
      </w:tr>
      <w:tr w:rsidR="004E75E9" w:rsidRPr="004E75E9" w14:paraId="5E6A5832"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10A16BC5"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Op-eds &amp; media quotes</w:t>
            </w:r>
          </w:p>
        </w:tc>
        <w:tc>
          <w:tcPr>
            <w:tcW w:w="2800" w:type="dxa"/>
            <w:tcBorders>
              <w:top w:val="single" w:sz="1" w:space="0" w:color="999999"/>
              <w:left w:val="single" w:sz="1" w:space="0" w:color="999999"/>
              <w:bottom w:val="single" w:sz="1" w:space="0" w:color="999999"/>
              <w:right w:val="single" w:sz="1" w:space="0" w:color="999999"/>
            </w:tcBorders>
          </w:tcPr>
          <w:p w14:paraId="1BB01007"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LexisNexis; local newspapers; Google News archives</w:t>
            </w:r>
          </w:p>
        </w:tc>
        <w:tc>
          <w:tcPr>
            <w:tcW w:w="1200" w:type="dxa"/>
            <w:tcBorders>
              <w:top w:val="single" w:sz="1" w:space="0" w:color="999999"/>
              <w:left w:val="single" w:sz="1" w:space="0" w:color="999999"/>
              <w:bottom w:val="single" w:sz="1" w:space="0" w:color="999999"/>
              <w:right w:val="single" w:sz="1" w:space="0" w:color="999999"/>
            </w:tcBorders>
          </w:tcPr>
          <w:p w14:paraId="4C639D81"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249E4A36"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Low-Medium</w:t>
            </w:r>
          </w:p>
        </w:tc>
        <w:tc>
          <w:tcPr>
            <w:tcW w:w="3600" w:type="dxa"/>
            <w:tcBorders>
              <w:top w:val="single" w:sz="1" w:space="0" w:color="999999"/>
              <w:left w:val="single" w:sz="1" w:space="0" w:color="999999"/>
              <w:bottom w:val="single" w:sz="1" w:space="0" w:color="999999"/>
              <w:right w:val="single" w:sz="1" w:space="0" w:color="999999"/>
            </w:tcBorders>
          </w:tcPr>
          <w:p w14:paraId="6791C61E"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Highly curated elite discourse. Signals willingness to take public risk on carceral issues (Gillion 2016; Pottle 2025).</w:t>
            </w:r>
          </w:p>
        </w:tc>
      </w:tr>
      <w:tr w:rsidR="004E75E9" w:rsidRPr="004E75E9" w14:paraId="439900CB" w14:textId="77777777" w:rsidTr="001860D7">
        <w:tc>
          <w:tcPr>
            <w:tcW w:w="10800" w:type="dxa"/>
            <w:gridSpan w:val="5"/>
            <w:tcBorders>
              <w:top w:val="single" w:sz="1" w:space="0" w:color="999999"/>
              <w:left w:val="single" w:sz="1" w:space="0" w:color="999999"/>
              <w:bottom w:val="single" w:sz="1" w:space="0" w:color="999999"/>
              <w:right w:val="single" w:sz="1" w:space="0" w:color="999999"/>
            </w:tcBorders>
            <w:shd w:val="clear" w:color="auto" w:fill="F2F2F2"/>
          </w:tcPr>
          <w:p w14:paraId="30C65433"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i/>
                <w:iCs/>
              </w:rPr>
              <w:t>C. Bills, Amendments, and Sponsorship</w:t>
            </w:r>
          </w:p>
        </w:tc>
      </w:tr>
      <w:tr w:rsidR="004E75E9" w:rsidRPr="004E75E9" w14:paraId="10194A13"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5FC04489"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Bill introductions &amp; sponsorship language</w:t>
            </w:r>
          </w:p>
        </w:tc>
        <w:tc>
          <w:tcPr>
            <w:tcW w:w="2800" w:type="dxa"/>
            <w:tcBorders>
              <w:top w:val="single" w:sz="1" w:space="0" w:color="999999"/>
              <w:left w:val="single" w:sz="1" w:space="0" w:color="999999"/>
              <w:bottom w:val="single" w:sz="1" w:space="0" w:color="999999"/>
              <w:right w:val="single" w:sz="1" w:space="0" w:color="999999"/>
            </w:tcBorders>
          </w:tcPr>
          <w:p w14:paraId="6E121EF9" w14:textId="77777777" w:rsidR="004E75E9" w:rsidRPr="004E75E9" w:rsidRDefault="004E75E9" w:rsidP="004E75E9">
            <w:pPr>
              <w:spacing w:line="360" w:lineRule="auto"/>
              <w:rPr>
                <w:rFonts w:ascii="Times New Roman" w:hAnsi="Times New Roman" w:cs="Times New Roman"/>
              </w:rPr>
            </w:pPr>
            <w:proofErr w:type="spellStart"/>
            <w:r w:rsidRPr="004E75E9">
              <w:rPr>
                <w:rFonts w:ascii="Times New Roman" w:hAnsi="Times New Roman" w:cs="Times New Roman"/>
              </w:rPr>
              <w:t>Legiscan</w:t>
            </w:r>
            <w:proofErr w:type="spellEnd"/>
            <w:r w:rsidRPr="004E75E9">
              <w:rPr>
                <w:rFonts w:ascii="Times New Roman" w:hAnsi="Times New Roman" w:cs="Times New Roman"/>
              </w:rPr>
              <w:t>; OpenStates.org; state bill tracking systems</w:t>
            </w:r>
          </w:p>
        </w:tc>
        <w:tc>
          <w:tcPr>
            <w:tcW w:w="1200" w:type="dxa"/>
            <w:tcBorders>
              <w:top w:val="single" w:sz="1" w:space="0" w:color="999999"/>
              <w:left w:val="single" w:sz="1" w:space="0" w:color="999999"/>
              <w:bottom w:val="single" w:sz="1" w:space="0" w:color="999999"/>
              <w:right w:val="single" w:sz="1" w:space="0" w:color="999999"/>
            </w:tcBorders>
          </w:tcPr>
          <w:p w14:paraId="483B232E"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1FC164C5"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Low-Medium</w:t>
            </w:r>
          </w:p>
        </w:tc>
        <w:tc>
          <w:tcPr>
            <w:tcW w:w="3600" w:type="dxa"/>
            <w:tcBorders>
              <w:top w:val="single" w:sz="1" w:space="0" w:color="999999"/>
              <w:left w:val="single" w:sz="1" w:space="0" w:color="999999"/>
              <w:bottom w:val="single" w:sz="1" w:space="0" w:color="999999"/>
              <w:right w:val="single" w:sz="1" w:space="0" w:color="999999"/>
            </w:tcBorders>
          </w:tcPr>
          <w:p w14:paraId="594390DD"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How incarcerated people are described in bill text—as rights-bearing, risks, or costs. Substantive + symbolic intersection (Miler 2018; Schneider &amp; Ingram 1993).</w:t>
            </w:r>
          </w:p>
        </w:tc>
      </w:tr>
      <w:tr w:rsidR="004E75E9" w:rsidRPr="004E75E9" w14:paraId="41A09763"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353B81EF" w14:textId="77777777" w:rsidR="004E75E9" w:rsidRPr="004E75E9" w:rsidRDefault="004E75E9" w:rsidP="004E75E9">
            <w:pPr>
              <w:spacing w:line="360" w:lineRule="auto"/>
              <w:rPr>
                <w:rFonts w:ascii="Times New Roman" w:hAnsi="Times New Roman" w:cs="Times New Roman"/>
              </w:rPr>
            </w:pPr>
            <w:proofErr w:type="spellStart"/>
            <w:r w:rsidRPr="004E75E9">
              <w:rPr>
                <w:rFonts w:ascii="Times New Roman" w:hAnsi="Times New Roman" w:cs="Times New Roman"/>
                <w:b/>
                <w:bCs/>
              </w:rPr>
              <w:lastRenderedPageBreak/>
              <w:t>Cosponsorship</w:t>
            </w:r>
            <w:proofErr w:type="spellEnd"/>
            <w:r w:rsidRPr="004E75E9">
              <w:rPr>
                <w:rFonts w:ascii="Times New Roman" w:hAnsi="Times New Roman" w:cs="Times New Roman"/>
                <w:b/>
                <w:bCs/>
              </w:rPr>
              <w:t xml:space="preserve"> patterns</w:t>
            </w:r>
          </w:p>
        </w:tc>
        <w:tc>
          <w:tcPr>
            <w:tcW w:w="2800" w:type="dxa"/>
            <w:tcBorders>
              <w:top w:val="single" w:sz="1" w:space="0" w:color="999999"/>
              <w:left w:val="single" w:sz="1" w:space="0" w:color="999999"/>
              <w:bottom w:val="single" w:sz="1" w:space="0" w:color="999999"/>
              <w:right w:val="single" w:sz="1" w:space="0" w:color="999999"/>
            </w:tcBorders>
          </w:tcPr>
          <w:p w14:paraId="46F48F28" w14:textId="77777777" w:rsidR="004E75E9" w:rsidRPr="004E75E9" w:rsidRDefault="004E75E9" w:rsidP="004E75E9">
            <w:pPr>
              <w:spacing w:line="360" w:lineRule="auto"/>
              <w:rPr>
                <w:rFonts w:ascii="Times New Roman" w:hAnsi="Times New Roman" w:cs="Times New Roman"/>
              </w:rPr>
            </w:pPr>
            <w:proofErr w:type="spellStart"/>
            <w:r w:rsidRPr="004E75E9">
              <w:rPr>
                <w:rFonts w:ascii="Times New Roman" w:hAnsi="Times New Roman" w:cs="Times New Roman"/>
              </w:rPr>
              <w:t>Legiscan</w:t>
            </w:r>
            <w:proofErr w:type="spellEnd"/>
            <w:r w:rsidRPr="004E75E9">
              <w:rPr>
                <w:rFonts w:ascii="Times New Roman" w:hAnsi="Times New Roman" w:cs="Times New Roman"/>
              </w:rPr>
              <w:t>; OpenStates.org; Congress.gov</w:t>
            </w:r>
          </w:p>
        </w:tc>
        <w:tc>
          <w:tcPr>
            <w:tcW w:w="1200" w:type="dxa"/>
            <w:tcBorders>
              <w:top w:val="single" w:sz="1" w:space="0" w:color="999999"/>
              <w:left w:val="single" w:sz="1" w:space="0" w:color="999999"/>
              <w:bottom w:val="single" w:sz="1" w:space="0" w:color="999999"/>
              <w:right w:val="single" w:sz="1" w:space="0" w:color="999999"/>
            </w:tcBorders>
          </w:tcPr>
          <w:p w14:paraId="2F24C980"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3152F06B"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Low</w:t>
            </w:r>
          </w:p>
        </w:tc>
        <w:tc>
          <w:tcPr>
            <w:tcW w:w="3600" w:type="dxa"/>
            <w:tcBorders>
              <w:top w:val="single" w:sz="1" w:space="0" w:color="999999"/>
              <w:left w:val="single" w:sz="1" w:space="0" w:color="999999"/>
              <w:bottom w:val="single" w:sz="1" w:space="0" w:color="999999"/>
              <w:right w:val="single" w:sz="1" w:space="0" w:color="999999"/>
            </w:tcBorders>
          </w:tcPr>
          <w:p w14:paraId="55DE0632"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 xml:space="preserve">Coalition signals around carceral policy. May indicate which legislators are willing to publicly associate with </w:t>
            </w:r>
            <w:proofErr w:type="spellStart"/>
            <w:r w:rsidRPr="004E75E9">
              <w:rPr>
                <w:rFonts w:ascii="Times New Roman" w:hAnsi="Times New Roman" w:cs="Times New Roman"/>
              </w:rPr>
              <w:t>decarceral</w:t>
            </w:r>
            <w:proofErr w:type="spellEnd"/>
            <w:r w:rsidRPr="004E75E9">
              <w:rPr>
                <w:rFonts w:ascii="Times New Roman" w:hAnsi="Times New Roman" w:cs="Times New Roman"/>
              </w:rPr>
              <w:t xml:space="preserve"> positions.</w:t>
            </w:r>
          </w:p>
        </w:tc>
      </w:tr>
      <w:tr w:rsidR="004E75E9" w:rsidRPr="004E75E9" w14:paraId="4F5B774B" w14:textId="77777777" w:rsidTr="001860D7">
        <w:tc>
          <w:tcPr>
            <w:tcW w:w="10800" w:type="dxa"/>
            <w:gridSpan w:val="5"/>
            <w:tcBorders>
              <w:top w:val="single" w:sz="1" w:space="0" w:color="999999"/>
              <w:left w:val="single" w:sz="1" w:space="0" w:color="999999"/>
              <w:bottom w:val="single" w:sz="1" w:space="0" w:color="999999"/>
              <w:right w:val="single" w:sz="1" w:space="0" w:color="999999"/>
            </w:tcBorders>
            <w:shd w:val="clear" w:color="auto" w:fill="F2F2F2"/>
          </w:tcPr>
          <w:p w14:paraId="48DC8808"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i/>
                <w:iCs/>
              </w:rPr>
              <w:t>D. Advocacy &amp; Civil Society Interface</w:t>
            </w:r>
          </w:p>
        </w:tc>
      </w:tr>
      <w:tr w:rsidR="004E75E9" w:rsidRPr="004E75E9" w14:paraId="2D0A20A9"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02FC50AA"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Advocacy group testimonials &amp; endorsements</w:t>
            </w:r>
          </w:p>
        </w:tc>
        <w:tc>
          <w:tcPr>
            <w:tcW w:w="2800" w:type="dxa"/>
            <w:tcBorders>
              <w:top w:val="single" w:sz="1" w:space="0" w:color="999999"/>
              <w:left w:val="single" w:sz="1" w:space="0" w:color="999999"/>
              <w:bottom w:val="single" w:sz="1" w:space="0" w:color="999999"/>
              <w:right w:val="single" w:sz="1" w:space="0" w:color="999999"/>
            </w:tcBorders>
          </w:tcPr>
          <w:p w14:paraId="24AF4A20"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ACLU state affiliates; prison policy organizations; campaign websites</w:t>
            </w:r>
          </w:p>
        </w:tc>
        <w:tc>
          <w:tcPr>
            <w:tcW w:w="1200" w:type="dxa"/>
            <w:tcBorders>
              <w:top w:val="single" w:sz="1" w:space="0" w:color="999999"/>
              <w:left w:val="single" w:sz="1" w:space="0" w:color="999999"/>
              <w:bottom w:val="single" w:sz="1" w:space="0" w:color="999999"/>
              <w:right w:val="single" w:sz="1" w:space="0" w:color="999999"/>
            </w:tcBorders>
          </w:tcPr>
          <w:p w14:paraId="73BB6239"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76B4292D"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Medium</w:t>
            </w:r>
          </w:p>
        </w:tc>
        <w:tc>
          <w:tcPr>
            <w:tcW w:w="3600" w:type="dxa"/>
            <w:tcBorders>
              <w:top w:val="single" w:sz="1" w:space="0" w:color="999999"/>
              <w:left w:val="single" w:sz="1" w:space="0" w:color="999999"/>
              <w:bottom w:val="single" w:sz="1" w:space="0" w:color="999999"/>
              <w:right w:val="single" w:sz="1" w:space="0" w:color="999999"/>
            </w:tcBorders>
          </w:tcPr>
          <w:p w14:paraId="789CA8F1"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 xml:space="preserve">External validation of symbolic and substantive representation. Which legislators are praised as "champions" by </w:t>
            </w:r>
            <w:proofErr w:type="spellStart"/>
            <w:r w:rsidRPr="004E75E9">
              <w:rPr>
                <w:rFonts w:ascii="Times New Roman" w:hAnsi="Times New Roman" w:cs="Times New Roman"/>
              </w:rPr>
              <w:t>decarceral</w:t>
            </w:r>
            <w:proofErr w:type="spellEnd"/>
            <w:r w:rsidRPr="004E75E9">
              <w:rPr>
                <w:rFonts w:ascii="Times New Roman" w:hAnsi="Times New Roman" w:cs="Times New Roman"/>
              </w:rPr>
              <w:t xml:space="preserve"> orgs (Minta 2011; Gillion 2016).</w:t>
            </w:r>
          </w:p>
        </w:tc>
      </w:tr>
      <w:tr w:rsidR="004E75E9" w:rsidRPr="004E75E9" w14:paraId="573E60FA"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7893B7A7"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Amicus briefs / letters to DOJ</w:t>
            </w:r>
          </w:p>
        </w:tc>
        <w:tc>
          <w:tcPr>
            <w:tcW w:w="2800" w:type="dxa"/>
            <w:tcBorders>
              <w:top w:val="single" w:sz="1" w:space="0" w:color="999999"/>
              <w:left w:val="single" w:sz="1" w:space="0" w:color="999999"/>
              <w:bottom w:val="single" w:sz="1" w:space="0" w:color="999999"/>
              <w:right w:val="single" w:sz="1" w:space="0" w:color="999999"/>
            </w:tcBorders>
          </w:tcPr>
          <w:p w14:paraId="55F96DB7"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Court records; DOJ archives; advocacy group compilations</w:t>
            </w:r>
          </w:p>
        </w:tc>
        <w:tc>
          <w:tcPr>
            <w:tcW w:w="1200" w:type="dxa"/>
            <w:tcBorders>
              <w:top w:val="single" w:sz="1" w:space="0" w:color="999999"/>
              <w:left w:val="single" w:sz="1" w:space="0" w:color="999999"/>
              <w:bottom w:val="single" w:sz="1" w:space="0" w:color="999999"/>
              <w:right w:val="single" w:sz="1" w:space="0" w:color="999999"/>
            </w:tcBorders>
          </w:tcPr>
          <w:p w14:paraId="5CF2DC9F"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6C06A31D"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Medium-High</w:t>
            </w:r>
          </w:p>
        </w:tc>
        <w:tc>
          <w:tcPr>
            <w:tcW w:w="3600" w:type="dxa"/>
            <w:tcBorders>
              <w:top w:val="single" w:sz="1" w:space="0" w:color="999999"/>
              <w:left w:val="single" w:sz="1" w:space="0" w:color="999999"/>
              <w:bottom w:val="single" w:sz="1" w:space="0" w:color="999999"/>
              <w:right w:val="single" w:sz="1" w:space="0" w:color="999999"/>
            </w:tcBorders>
          </w:tcPr>
          <w:p w14:paraId="55AC8A31"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Legislators taking public positions in litigation moments. Behavioral indicator of responsiveness beyond speech.</w:t>
            </w:r>
          </w:p>
        </w:tc>
      </w:tr>
      <w:tr w:rsidR="004E75E9" w:rsidRPr="004E75E9" w14:paraId="21D5ED2E" w14:textId="77777777" w:rsidTr="001860D7">
        <w:tc>
          <w:tcPr>
            <w:tcW w:w="10800" w:type="dxa"/>
            <w:gridSpan w:val="5"/>
            <w:tcBorders>
              <w:top w:val="single" w:sz="1" w:space="0" w:color="999999"/>
              <w:left w:val="single" w:sz="1" w:space="0" w:color="999999"/>
              <w:bottom w:val="single" w:sz="1" w:space="0" w:color="999999"/>
              <w:right w:val="single" w:sz="1" w:space="0" w:color="999999"/>
            </w:tcBorders>
            <w:shd w:val="clear" w:color="auto" w:fill="F2F2F2"/>
          </w:tcPr>
          <w:p w14:paraId="0F1B353C"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i/>
                <w:iCs/>
              </w:rPr>
              <w:t>E. Contextual &amp; Agenda Measures</w:t>
            </w:r>
          </w:p>
        </w:tc>
      </w:tr>
      <w:tr w:rsidR="004E75E9" w:rsidRPr="004E75E9" w14:paraId="436B8694"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26F8C1E6"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Party platforms</w:t>
            </w:r>
          </w:p>
        </w:tc>
        <w:tc>
          <w:tcPr>
            <w:tcW w:w="2800" w:type="dxa"/>
            <w:tcBorders>
              <w:top w:val="single" w:sz="1" w:space="0" w:color="999999"/>
              <w:left w:val="single" w:sz="1" w:space="0" w:color="999999"/>
              <w:bottom w:val="single" w:sz="1" w:space="0" w:color="999999"/>
              <w:right w:val="single" w:sz="1" w:space="0" w:color="999999"/>
            </w:tcBorders>
          </w:tcPr>
          <w:p w14:paraId="30335345"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American Presidency Project (UCSB); state party websites</w:t>
            </w:r>
          </w:p>
        </w:tc>
        <w:tc>
          <w:tcPr>
            <w:tcW w:w="1200" w:type="dxa"/>
            <w:tcBorders>
              <w:top w:val="single" w:sz="1" w:space="0" w:color="999999"/>
              <w:left w:val="single" w:sz="1" w:space="0" w:color="999999"/>
              <w:bottom w:val="single" w:sz="1" w:space="0" w:color="999999"/>
              <w:right w:val="single" w:sz="1" w:space="0" w:color="999999"/>
            </w:tcBorders>
          </w:tcPr>
          <w:p w14:paraId="3C0E592E"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0D800EC2"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Low</w:t>
            </w:r>
          </w:p>
        </w:tc>
        <w:tc>
          <w:tcPr>
            <w:tcW w:w="3600" w:type="dxa"/>
            <w:tcBorders>
              <w:top w:val="single" w:sz="1" w:space="0" w:color="999999"/>
              <w:left w:val="single" w:sz="1" w:space="0" w:color="999999"/>
              <w:bottom w:val="single" w:sz="1" w:space="0" w:color="999999"/>
              <w:right w:val="single" w:sz="1" w:space="0" w:color="999999"/>
            </w:tcBorders>
          </w:tcPr>
          <w:p w14:paraId="04C2E22D"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Whether incarcerated people are framed as publics or problems. Agenda visibility at party level.</w:t>
            </w:r>
          </w:p>
        </w:tc>
      </w:tr>
      <w:tr w:rsidR="004E75E9" w:rsidRPr="004E75E9" w14:paraId="206E68D3"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0F16B861"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lastRenderedPageBreak/>
              <w:t>Policy Agendas Project coding</w:t>
            </w:r>
          </w:p>
        </w:tc>
        <w:tc>
          <w:tcPr>
            <w:tcW w:w="2800" w:type="dxa"/>
            <w:tcBorders>
              <w:top w:val="single" w:sz="1" w:space="0" w:color="999999"/>
              <w:left w:val="single" w:sz="1" w:space="0" w:color="999999"/>
              <w:bottom w:val="single" w:sz="1" w:space="0" w:color="999999"/>
              <w:right w:val="single" w:sz="1" w:space="0" w:color="999999"/>
            </w:tcBorders>
          </w:tcPr>
          <w:p w14:paraId="75AC2831"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Policy Agendas Project database</w:t>
            </w:r>
          </w:p>
        </w:tc>
        <w:tc>
          <w:tcPr>
            <w:tcW w:w="1200" w:type="dxa"/>
            <w:tcBorders>
              <w:top w:val="single" w:sz="1" w:space="0" w:color="999999"/>
              <w:left w:val="single" w:sz="1" w:space="0" w:color="999999"/>
              <w:bottom w:val="single" w:sz="1" w:space="0" w:color="999999"/>
              <w:right w:val="single" w:sz="1" w:space="0" w:color="999999"/>
            </w:tcBorders>
          </w:tcPr>
          <w:p w14:paraId="688EE087"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Federal (primarily)</w:t>
            </w:r>
          </w:p>
        </w:tc>
        <w:tc>
          <w:tcPr>
            <w:tcW w:w="1200" w:type="dxa"/>
            <w:tcBorders>
              <w:top w:val="single" w:sz="1" w:space="0" w:color="999999"/>
              <w:left w:val="single" w:sz="1" w:space="0" w:color="999999"/>
              <w:bottom w:val="single" w:sz="1" w:space="0" w:color="999999"/>
              <w:right w:val="single" w:sz="1" w:space="0" w:color="999999"/>
            </w:tcBorders>
          </w:tcPr>
          <w:p w14:paraId="4C487747"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Low</w:t>
            </w:r>
          </w:p>
        </w:tc>
        <w:tc>
          <w:tcPr>
            <w:tcW w:w="3600" w:type="dxa"/>
            <w:tcBorders>
              <w:top w:val="single" w:sz="1" w:space="0" w:color="999999"/>
              <w:left w:val="single" w:sz="1" w:space="0" w:color="999999"/>
              <w:bottom w:val="single" w:sz="1" w:space="0" w:color="999999"/>
              <w:right w:val="single" w:sz="1" w:space="0" w:color="999999"/>
            </w:tcBorders>
          </w:tcPr>
          <w:p w14:paraId="1314CFA3"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How much party/legislative content centers on carceral communities across 21 major topic codes and 220+ subtopics.</w:t>
            </w:r>
          </w:p>
        </w:tc>
      </w:tr>
      <w:tr w:rsidR="004E75E9" w:rsidRPr="004E75E9" w14:paraId="1669B017"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46B81A81"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Protest-triggered speech</w:t>
            </w:r>
          </w:p>
        </w:tc>
        <w:tc>
          <w:tcPr>
            <w:tcW w:w="2800" w:type="dxa"/>
            <w:tcBorders>
              <w:top w:val="single" w:sz="1" w:space="0" w:color="999999"/>
              <w:left w:val="single" w:sz="1" w:space="0" w:color="999999"/>
              <w:bottom w:val="single" w:sz="1" w:space="0" w:color="999999"/>
              <w:right w:val="single" w:sz="1" w:space="0" w:color="999999"/>
            </w:tcBorders>
          </w:tcPr>
          <w:p w14:paraId="1FDD9504"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News archives; legislative speech databases; social media</w:t>
            </w:r>
          </w:p>
        </w:tc>
        <w:tc>
          <w:tcPr>
            <w:tcW w:w="1200" w:type="dxa"/>
            <w:tcBorders>
              <w:top w:val="single" w:sz="1" w:space="0" w:color="999999"/>
              <w:left w:val="single" w:sz="1" w:space="0" w:color="999999"/>
              <w:bottom w:val="single" w:sz="1" w:space="0" w:color="999999"/>
              <w:right w:val="single" w:sz="1" w:space="0" w:color="999999"/>
            </w:tcBorders>
          </w:tcPr>
          <w:p w14:paraId="12AA7F3E"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31E01742"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Medium</w:t>
            </w:r>
          </w:p>
        </w:tc>
        <w:tc>
          <w:tcPr>
            <w:tcW w:w="3600" w:type="dxa"/>
            <w:tcBorders>
              <w:top w:val="single" w:sz="1" w:space="0" w:color="999999"/>
              <w:left w:val="single" w:sz="1" w:space="0" w:color="999999"/>
              <w:bottom w:val="single" w:sz="1" w:space="0" w:color="999999"/>
              <w:right w:val="single" w:sz="1" w:space="0" w:color="999999"/>
            </w:tcBorders>
          </w:tcPr>
          <w:p w14:paraId="7CE91F7B"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Whether legislators speak differently after prison uprisings, deaths, or lawsuits. Event-driven responsiveness (Gillion 2016).</w:t>
            </w:r>
          </w:p>
        </w:tc>
      </w:tr>
      <w:tr w:rsidR="004E75E9" w:rsidRPr="004E75E9" w14:paraId="47EBC199" w14:textId="77777777" w:rsidTr="001860D7">
        <w:tc>
          <w:tcPr>
            <w:tcW w:w="10800" w:type="dxa"/>
            <w:gridSpan w:val="5"/>
            <w:tcBorders>
              <w:top w:val="single" w:sz="1" w:space="0" w:color="999999"/>
              <w:left w:val="single" w:sz="1" w:space="0" w:color="999999"/>
              <w:bottom w:val="single" w:sz="1" w:space="0" w:color="999999"/>
              <w:right w:val="single" w:sz="1" w:space="0" w:color="999999"/>
            </w:tcBorders>
            <w:shd w:val="clear" w:color="auto" w:fill="F2F2F2"/>
          </w:tcPr>
          <w:p w14:paraId="6F952650"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i/>
                <w:iCs/>
              </w:rPr>
              <w:t>F. Infrastructural &amp; Identification Sources (Not Primary DVs)</w:t>
            </w:r>
          </w:p>
        </w:tc>
      </w:tr>
      <w:tr w:rsidR="004E75E9" w:rsidRPr="004E75E9" w14:paraId="1CACD3C7"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3A6EF235"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NCSL resources</w:t>
            </w:r>
          </w:p>
        </w:tc>
        <w:tc>
          <w:tcPr>
            <w:tcW w:w="2800" w:type="dxa"/>
            <w:tcBorders>
              <w:top w:val="single" w:sz="1" w:space="0" w:color="999999"/>
              <w:left w:val="single" w:sz="1" w:space="0" w:color="999999"/>
              <w:bottom w:val="single" w:sz="1" w:space="0" w:color="999999"/>
              <w:right w:val="single" w:sz="1" w:space="0" w:color="999999"/>
            </w:tcBorders>
          </w:tcPr>
          <w:p w14:paraId="4D4EBD1C"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National Conference of State Legislatures website</w:t>
            </w:r>
          </w:p>
        </w:tc>
        <w:tc>
          <w:tcPr>
            <w:tcW w:w="1200" w:type="dxa"/>
            <w:tcBorders>
              <w:top w:val="single" w:sz="1" w:space="0" w:color="999999"/>
              <w:left w:val="single" w:sz="1" w:space="0" w:color="999999"/>
              <w:bottom w:val="single" w:sz="1" w:space="0" w:color="999999"/>
              <w:right w:val="single" w:sz="1" w:space="0" w:color="999999"/>
            </w:tcBorders>
          </w:tcPr>
          <w:p w14:paraId="60B9BD8D"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w:t>
            </w:r>
          </w:p>
        </w:tc>
        <w:tc>
          <w:tcPr>
            <w:tcW w:w="1200" w:type="dxa"/>
            <w:tcBorders>
              <w:top w:val="single" w:sz="1" w:space="0" w:color="999999"/>
              <w:left w:val="single" w:sz="1" w:space="0" w:color="999999"/>
              <w:bottom w:val="single" w:sz="1" w:space="0" w:color="999999"/>
              <w:right w:val="single" w:sz="1" w:space="0" w:color="999999"/>
            </w:tcBorders>
          </w:tcPr>
          <w:p w14:paraId="50A9B705"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Low</w:t>
            </w:r>
          </w:p>
        </w:tc>
        <w:tc>
          <w:tcPr>
            <w:tcW w:w="3600" w:type="dxa"/>
            <w:tcBorders>
              <w:top w:val="single" w:sz="1" w:space="0" w:color="999999"/>
              <w:left w:val="single" w:sz="1" w:space="0" w:color="999999"/>
              <w:bottom w:val="single" w:sz="1" w:space="0" w:color="999999"/>
              <w:right w:val="single" w:sz="1" w:space="0" w:color="999999"/>
            </w:tcBorders>
          </w:tcPr>
          <w:p w14:paraId="19DF0AC4"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Bill summaries and policy briefs (framing); legislator participation in task forces; committee memberships; state comparisons. Useful for identifying "policy-active" legislators.</w:t>
            </w:r>
          </w:p>
        </w:tc>
      </w:tr>
      <w:tr w:rsidR="004E75E9" w:rsidRPr="004E75E9" w14:paraId="58878D56" w14:textId="77777777" w:rsidTr="001860D7">
        <w:tc>
          <w:tcPr>
            <w:tcW w:w="2000" w:type="dxa"/>
            <w:tcBorders>
              <w:top w:val="single" w:sz="1" w:space="0" w:color="999999"/>
              <w:left w:val="single" w:sz="1" w:space="0" w:color="999999"/>
              <w:bottom w:val="single" w:sz="1" w:space="0" w:color="999999"/>
              <w:right w:val="single" w:sz="1" w:space="0" w:color="999999"/>
            </w:tcBorders>
          </w:tcPr>
          <w:p w14:paraId="2D453337"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b/>
                <w:bCs/>
              </w:rPr>
              <w:t>Legislator prison visits</w:t>
            </w:r>
          </w:p>
        </w:tc>
        <w:tc>
          <w:tcPr>
            <w:tcW w:w="2800" w:type="dxa"/>
            <w:tcBorders>
              <w:top w:val="single" w:sz="1" w:space="0" w:color="999999"/>
              <w:left w:val="single" w:sz="1" w:space="0" w:color="999999"/>
              <w:bottom w:val="single" w:sz="1" w:space="0" w:color="999999"/>
              <w:right w:val="single" w:sz="1" w:space="0" w:color="999999"/>
            </w:tcBorders>
          </w:tcPr>
          <w:p w14:paraId="52CA881E"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Press releases; oversight reports; news coverage; social media</w:t>
            </w:r>
          </w:p>
        </w:tc>
        <w:tc>
          <w:tcPr>
            <w:tcW w:w="1200" w:type="dxa"/>
            <w:tcBorders>
              <w:top w:val="single" w:sz="1" w:space="0" w:color="999999"/>
              <w:left w:val="single" w:sz="1" w:space="0" w:color="999999"/>
              <w:bottom w:val="single" w:sz="1" w:space="0" w:color="999999"/>
              <w:right w:val="single" w:sz="1" w:space="0" w:color="999999"/>
            </w:tcBorders>
          </w:tcPr>
          <w:p w14:paraId="3ED4B726"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State &amp; Federal</w:t>
            </w:r>
          </w:p>
        </w:tc>
        <w:tc>
          <w:tcPr>
            <w:tcW w:w="1200" w:type="dxa"/>
            <w:tcBorders>
              <w:top w:val="single" w:sz="1" w:space="0" w:color="999999"/>
              <w:left w:val="single" w:sz="1" w:space="0" w:color="999999"/>
              <w:bottom w:val="single" w:sz="1" w:space="0" w:color="999999"/>
              <w:right w:val="single" w:sz="1" w:space="0" w:color="999999"/>
            </w:tcBorders>
          </w:tcPr>
          <w:p w14:paraId="0182F4E4"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Medium</w:t>
            </w:r>
          </w:p>
        </w:tc>
        <w:tc>
          <w:tcPr>
            <w:tcW w:w="3600" w:type="dxa"/>
            <w:tcBorders>
              <w:top w:val="single" w:sz="1" w:space="0" w:color="999999"/>
              <w:left w:val="single" w:sz="1" w:space="0" w:color="999999"/>
              <w:bottom w:val="single" w:sz="1" w:space="0" w:color="999999"/>
              <w:right w:val="single" w:sz="1" w:space="0" w:color="999999"/>
            </w:tcBorders>
          </w:tcPr>
          <w:p w14:paraId="17F97844" w14:textId="77777777" w:rsidR="004E75E9" w:rsidRPr="004E75E9" w:rsidRDefault="004E75E9" w:rsidP="004E75E9">
            <w:pPr>
              <w:spacing w:line="360" w:lineRule="auto"/>
              <w:rPr>
                <w:rFonts w:ascii="Times New Roman" w:hAnsi="Times New Roman" w:cs="Times New Roman"/>
              </w:rPr>
            </w:pPr>
            <w:r w:rsidRPr="004E75E9">
              <w:rPr>
                <w:rFonts w:ascii="Times New Roman" w:hAnsi="Times New Roman" w:cs="Times New Roman"/>
              </w:rPr>
              <w:t>Behavioral indicator of epistemic exposure and direct contact. May predict epistemic inclusion in speech.</w:t>
            </w:r>
          </w:p>
        </w:tc>
      </w:tr>
    </w:tbl>
    <w:p w14:paraId="63461044" w14:textId="47A24F6F" w:rsidR="004E75E9" w:rsidRPr="004E75E9" w:rsidRDefault="004E75E9" w:rsidP="00577120">
      <w:pPr>
        <w:spacing w:line="240" w:lineRule="auto"/>
        <w:rPr>
          <w:rFonts w:ascii="Times New Roman" w:hAnsi="Times New Roman" w:cs="Times New Roman"/>
        </w:rPr>
      </w:pPr>
      <w:r w:rsidRPr="004E75E9">
        <w:rPr>
          <w:rFonts w:ascii="Times New Roman" w:hAnsi="Times New Roman" w:cs="Times New Roman"/>
          <w:b/>
          <w:bCs/>
        </w:rPr>
        <w:t xml:space="preserve">Note: </w:t>
      </w:r>
      <w:r w:rsidRPr="004E75E9">
        <w:rPr>
          <w:rFonts w:ascii="Times New Roman" w:hAnsi="Times New Roman" w:cs="Times New Roman"/>
        </w:rPr>
        <w:t xml:space="preserve">Feasibility ratings are </w:t>
      </w:r>
      <w:r w:rsidR="00577120">
        <w:rPr>
          <w:rFonts w:ascii="Times New Roman" w:hAnsi="Times New Roman" w:cs="Times New Roman"/>
        </w:rPr>
        <w:t>guesses</w:t>
      </w:r>
      <w:r w:rsidRPr="004E75E9">
        <w:rPr>
          <w:rFonts w:ascii="Times New Roman" w:hAnsi="Times New Roman" w:cs="Times New Roman"/>
        </w:rPr>
        <w:t xml:space="preserve">. "Low" indicates readily available, systematized data. "High" indicates significant collection challenges (e.g., inconsistent state archives, required FOIA requests, or manual compilation). Technical approaches may include supervised machine </w:t>
      </w:r>
      <w:r w:rsidRPr="004E75E9">
        <w:rPr>
          <w:rFonts w:ascii="Times New Roman" w:hAnsi="Times New Roman" w:cs="Times New Roman"/>
        </w:rPr>
        <w:lastRenderedPageBreak/>
        <w:t>learning for sentence classification, R-based scraping, and potential selection of 4-6 representative state cases for deeper analysis.</w:t>
      </w:r>
    </w:p>
    <w:p w14:paraId="5DEA75FB" w14:textId="77777777" w:rsidR="004E75E9" w:rsidRDefault="004E75E9" w:rsidP="000F38CE">
      <w:pPr>
        <w:spacing w:line="360" w:lineRule="auto"/>
        <w:rPr>
          <w:rFonts w:ascii="Times New Roman" w:hAnsi="Times New Roman" w:cs="Times New Roman"/>
        </w:rPr>
      </w:pPr>
    </w:p>
    <w:p w14:paraId="2FBBBF51" w14:textId="77777777" w:rsidR="00F460FC" w:rsidRDefault="00F460FC" w:rsidP="00F460FC">
      <w:pPr>
        <w:rPr>
          <w:rFonts w:ascii="Times New Roman" w:hAnsi="Times New Roman" w:cs="Times New Roman"/>
          <w:b/>
          <w:bCs/>
        </w:rPr>
      </w:pPr>
      <w:r w:rsidRPr="00754574">
        <w:rPr>
          <w:rFonts w:ascii="Times New Roman" w:hAnsi="Times New Roman" w:cs="Times New Roman"/>
          <w:b/>
          <w:bCs/>
        </w:rPr>
        <w:t>Works Cited</w:t>
      </w:r>
    </w:p>
    <w:p w14:paraId="50A74CC8"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Ban, Pamela, and Jaclyn Kaslovsky. "Local Orientation in the U.S. House of Representatives." </w:t>
      </w:r>
      <w:r w:rsidRPr="00F460FC">
        <w:rPr>
          <w:rFonts w:ascii="Times New Roman" w:hAnsi="Times New Roman" w:cs="Times New Roman"/>
          <w:i/>
          <w:iCs/>
        </w:rPr>
        <w:t>American Journal of Political Science</w:t>
      </w:r>
      <w:r w:rsidRPr="00F460FC">
        <w:rPr>
          <w:rFonts w:ascii="Times New Roman" w:hAnsi="Times New Roman" w:cs="Times New Roman"/>
        </w:rPr>
        <w:t xml:space="preserve"> 69, no. 3 (2025): 1082–98. https://doi.org/10.1111/ajps.12929.</w:t>
      </w:r>
    </w:p>
    <w:p w14:paraId="3D398400" w14:textId="77777777" w:rsidR="00F460FC" w:rsidRPr="00F460FC" w:rsidRDefault="00F460FC" w:rsidP="00F460FC">
      <w:pPr>
        <w:rPr>
          <w:rFonts w:ascii="Times New Roman" w:hAnsi="Times New Roman" w:cs="Times New Roman"/>
        </w:rPr>
      </w:pPr>
      <w:proofErr w:type="spellStart"/>
      <w:r w:rsidRPr="00F460FC">
        <w:rPr>
          <w:rFonts w:ascii="Times New Roman" w:hAnsi="Times New Roman" w:cs="Times New Roman"/>
        </w:rPr>
        <w:t>Broockman</w:t>
      </w:r>
      <w:proofErr w:type="spellEnd"/>
      <w:r w:rsidRPr="00F460FC">
        <w:rPr>
          <w:rFonts w:ascii="Times New Roman" w:hAnsi="Times New Roman" w:cs="Times New Roman"/>
        </w:rPr>
        <w:t xml:space="preserve">, David E. "Approaches to Studying Policy Representation." </w:t>
      </w:r>
      <w:r w:rsidRPr="00F460FC">
        <w:rPr>
          <w:rFonts w:ascii="Times New Roman" w:hAnsi="Times New Roman" w:cs="Times New Roman"/>
          <w:i/>
          <w:iCs/>
        </w:rPr>
        <w:t>Legislative Studies Quarterly</w:t>
      </w:r>
      <w:r w:rsidRPr="00F460FC">
        <w:rPr>
          <w:rFonts w:ascii="Times New Roman" w:hAnsi="Times New Roman" w:cs="Times New Roman"/>
        </w:rPr>
        <w:t xml:space="preserve"> 41, no. 1 (February 2016): 181–215. https://doi.org/10.1111/lsq.12110.</w:t>
      </w:r>
    </w:p>
    <w:p w14:paraId="6289CAB1"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Brown, Nadia E. </w:t>
      </w:r>
      <w:r w:rsidRPr="00F460FC">
        <w:rPr>
          <w:rFonts w:ascii="Times New Roman" w:hAnsi="Times New Roman" w:cs="Times New Roman"/>
          <w:i/>
          <w:iCs/>
        </w:rPr>
        <w:t>Sisters in the Statehouse: Black Women and Legislative Decision Making</w:t>
      </w:r>
      <w:r w:rsidRPr="00F460FC">
        <w:rPr>
          <w:rFonts w:ascii="Times New Roman" w:hAnsi="Times New Roman" w:cs="Times New Roman"/>
        </w:rPr>
        <w:t>. Oxford: Oxford University Press, 2014.</w:t>
      </w:r>
    </w:p>
    <w:p w14:paraId="5B31C835"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Carnes, Nicholas, and Noam Lupu. </w:t>
      </w:r>
      <w:r w:rsidRPr="00F460FC">
        <w:rPr>
          <w:rFonts w:ascii="Times New Roman" w:hAnsi="Times New Roman" w:cs="Times New Roman"/>
          <w:i/>
          <w:iCs/>
        </w:rPr>
        <w:t>The Economic Origins of Good Government: How Class Composition Shapes Policy and Performance</w:t>
      </w:r>
      <w:r w:rsidRPr="00F460FC">
        <w:rPr>
          <w:rFonts w:ascii="Times New Roman" w:hAnsi="Times New Roman" w:cs="Times New Roman"/>
        </w:rPr>
        <w:t>. Cambridge: Cambridge University Press, 2023.</w:t>
      </w:r>
    </w:p>
    <w:p w14:paraId="1FDA8647"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Carnes, Nichlas, and Noam Lupu. “The Economic Backgrounds of Politicians.” </w:t>
      </w:r>
      <w:r w:rsidRPr="00F460FC">
        <w:rPr>
          <w:rFonts w:ascii="Times New Roman" w:hAnsi="Times New Roman" w:cs="Times New Roman"/>
          <w:i/>
          <w:iCs/>
        </w:rPr>
        <w:t>Annual Review of Political Science</w:t>
      </w:r>
      <w:r w:rsidRPr="00F460FC">
        <w:rPr>
          <w:rFonts w:ascii="Times New Roman" w:hAnsi="Times New Roman" w:cs="Times New Roman"/>
        </w:rPr>
        <w:t>, no. 26 (2023): 253-70.</w:t>
      </w:r>
    </w:p>
    <w:p w14:paraId="1D5E1049"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Disch, Lisa. "Toward a Mobilization Conception of Democratic Representation." </w:t>
      </w:r>
      <w:r w:rsidRPr="00F460FC">
        <w:rPr>
          <w:rFonts w:ascii="Times New Roman" w:hAnsi="Times New Roman" w:cs="Times New Roman"/>
          <w:i/>
          <w:iCs/>
        </w:rPr>
        <w:t>American Political Science Review</w:t>
      </w:r>
      <w:r w:rsidRPr="00F460FC">
        <w:rPr>
          <w:rFonts w:ascii="Times New Roman" w:hAnsi="Times New Roman" w:cs="Times New Roman"/>
        </w:rPr>
        <w:t xml:space="preserve"> 105, no. 1 (February 2011): 100–114.</w:t>
      </w:r>
    </w:p>
    <w:p w14:paraId="3CA386BA"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Eckhouse, Laurel. "Race, Party, and Representation in Criminal Justice Politics." </w:t>
      </w:r>
      <w:r w:rsidRPr="00F460FC">
        <w:rPr>
          <w:rFonts w:ascii="Times New Roman" w:hAnsi="Times New Roman" w:cs="Times New Roman"/>
          <w:i/>
          <w:iCs/>
        </w:rPr>
        <w:t>Journal of Politics</w:t>
      </w:r>
      <w:r w:rsidRPr="00F460FC">
        <w:rPr>
          <w:rFonts w:ascii="Times New Roman" w:hAnsi="Times New Roman" w:cs="Times New Roman"/>
        </w:rPr>
        <w:t xml:space="preserve"> 80, no. 3 (July 2018): 1008–1022.</w:t>
      </w:r>
    </w:p>
    <w:p w14:paraId="68746EFA"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Enos, Ryan D., Aaron R. Kaufman, and Melissa L. Sands. "Can Violent Protest Change Local Policy Support? Evidence from the Aftermath of the 1992 Los Angeles Riot." </w:t>
      </w:r>
      <w:r w:rsidRPr="00F460FC">
        <w:rPr>
          <w:rFonts w:ascii="Times New Roman" w:hAnsi="Times New Roman" w:cs="Times New Roman"/>
          <w:i/>
          <w:iCs/>
        </w:rPr>
        <w:t>American Political Science Review</w:t>
      </w:r>
      <w:r w:rsidRPr="00F460FC">
        <w:rPr>
          <w:rFonts w:ascii="Times New Roman" w:hAnsi="Times New Roman" w:cs="Times New Roman"/>
        </w:rPr>
        <w:t xml:space="preserve"> 113, no. 4 (November 2019): 1012–1028.</w:t>
      </w:r>
    </w:p>
    <w:p w14:paraId="55D24BC1"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Eulau, Heinz, and Paul D. Karps. "The Puzzle of Representation: Specifying Components of Responsiveness." </w:t>
      </w:r>
      <w:r w:rsidRPr="00F460FC">
        <w:rPr>
          <w:rFonts w:ascii="Times New Roman" w:hAnsi="Times New Roman" w:cs="Times New Roman"/>
          <w:i/>
          <w:iCs/>
        </w:rPr>
        <w:t>Legislative Studies Quarterly</w:t>
      </w:r>
      <w:r w:rsidRPr="00F460FC">
        <w:rPr>
          <w:rFonts w:ascii="Times New Roman" w:hAnsi="Times New Roman" w:cs="Times New Roman"/>
        </w:rPr>
        <w:t xml:space="preserve"> 2, no. 3 (August 1977): 233–254.</w:t>
      </w:r>
    </w:p>
    <w:p w14:paraId="7FB10A45"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Fenno, Richard F. </w:t>
      </w:r>
      <w:r w:rsidRPr="00F460FC">
        <w:rPr>
          <w:rFonts w:ascii="Times New Roman" w:hAnsi="Times New Roman" w:cs="Times New Roman"/>
          <w:i/>
          <w:iCs/>
        </w:rPr>
        <w:t>Home Style: House Members in Their Districts</w:t>
      </w:r>
      <w:r w:rsidRPr="00F460FC">
        <w:rPr>
          <w:rFonts w:ascii="Times New Roman" w:hAnsi="Times New Roman" w:cs="Times New Roman"/>
        </w:rPr>
        <w:t>. Boston: Little, Brown, 1978.</w:t>
      </w:r>
    </w:p>
    <w:p w14:paraId="45E3ED21"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Gillion, Daniel Q. </w:t>
      </w:r>
      <w:r w:rsidRPr="00F460FC">
        <w:rPr>
          <w:rFonts w:ascii="Times New Roman" w:hAnsi="Times New Roman" w:cs="Times New Roman"/>
          <w:i/>
          <w:iCs/>
        </w:rPr>
        <w:t>The Political Power of Protest: Minority Activism and Shifts in Public Policy</w:t>
      </w:r>
      <w:r w:rsidRPr="00F460FC">
        <w:rPr>
          <w:rFonts w:ascii="Times New Roman" w:hAnsi="Times New Roman" w:cs="Times New Roman"/>
        </w:rPr>
        <w:t>. Cambridge: Cambridge University Press, 2013.</w:t>
      </w:r>
    </w:p>
    <w:p w14:paraId="540CF2C3"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Grumbach, Jacob M. </w:t>
      </w:r>
      <w:r w:rsidRPr="00F460FC">
        <w:rPr>
          <w:rFonts w:ascii="Times New Roman" w:hAnsi="Times New Roman" w:cs="Times New Roman"/>
          <w:i/>
          <w:iCs/>
        </w:rPr>
        <w:t>Laboratories against Democracy: How National Parties Transformed State Politics</w:t>
      </w:r>
      <w:r w:rsidRPr="00F460FC">
        <w:rPr>
          <w:rFonts w:ascii="Times New Roman" w:hAnsi="Times New Roman" w:cs="Times New Roman"/>
        </w:rPr>
        <w:t>. Princeton: Princeton University Press, 2022.</w:t>
      </w:r>
    </w:p>
    <w:p w14:paraId="0FCA12A3"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Mansbridge, Jane. "Should Blacks Represent Blacks and Women Represent Women? A Contingent 'Yes.'" </w:t>
      </w:r>
      <w:r w:rsidRPr="00F460FC">
        <w:rPr>
          <w:rFonts w:ascii="Times New Roman" w:hAnsi="Times New Roman" w:cs="Times New Roman"/>
          <w:i/>
          <w:iCs/>
        </w:rPr>
        <w:t>The Journal of Politics</w:t>
      </w:r>
      <w:r w:rsidRPr="00F460FC">
        <w:rPr>
          <w:rFonts w:ascii="Times New Roman" w:hAnsi="Times New Roman" w:cs="Times New Roman"/>
        </w:rPr>
        <w:t xml:space="preserve"> 61, no. 3 (August 1999): 628–657.</w:t>
      </w:r>
    </w:p>
    <w:p w14:paraId="5639AAFD"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lastRenderedPageBreak/>
        <w:t xml:space="preserve">Mayhew, David R. </w:t>
      </w:r>
      <w:r w:rsidRPr="00F460FC">
        <w:rPr>
          <w:rFonts w:ascii="Times New Roman" w:hAnsi="Times New Roman" w:cs="Times New Roman"/>
          <w:i/>
          <w:iCs/>
        </w:rPr>
        <w:t>Congress: The Electoral Connection</w:t>
      </w:r>
      <w:r w:rsidRPr="00F460FC">
        <w:rPr>
          <w:rFonts w:ascii="Times New Roman" w:hAnsi="Times New Roman" w:cs="Times New Roman"/>
        </w:rPr>
        <w:t>. New Haven: Yale University Press, 1974.</w:t>
      </w:r>
    </w:p>
    <w:p w14:paraId="7D619974"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Miler, Kristina C. </w:t>
      </w:r>
      <w:r w:rsidRPr="00F460FC">
        <w:rPr>
          <w:rFonts w:ascii="Times New Roman" w:hAnsi="Times New Roman" w:cs="Times New Roman"/>
          <w:i/>
          <w:iCs/>
        </w:rPr>
        <w:t>Constituency Representation in Congress: The View from Capitol Hill</w:t>
      </w:r>
      <w:r w:rsidRPr="00F460FC">
        <w:rPr>
          <w:rFonts w:ascii="Times New Roman" w:hAnsi="Times New Roman" w:cs="Times New Roman"/>
        </w:rPr>
        <w:t>. Cambridge: Cambridge University Press, 2010.</w:t>
      </w:r>
    </w:p>
    <w:p w14:paraId="2448E669"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Miler, Kristina C. </w:t>
      </w:r>
      <w:r w:rsidRPr="00F460FC">
        <w:rPr>
          <w:rFonts w:ascii="Times New Roman" w:hAnsi="Times New Roman" w:cs="Times New Roman"/>
          <w:i/>
          <w:iCs/>
        </w:rPr>
        <w:t>Poor Representation: Congress and the Politics of Poverty in the United States</w:t>
      </w:r>
      <w:r w:rsidRPr="00F460FC">
        <w:rPr>
          <w:rFonts w:ascii="Times New Roman" w:hAnsi="Times New Roman" w:cs="Times New Roman"/>
        </w:rPr>
        <w:t>. Cambridge: Cambridge University Press, 2018. https://doi.org/10.1017/9781108562386.</w:t>
      </w:r>
    </w:p>
    <w:p w14:paraId="1BBC19F2"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Nellis, Ashley. "The Color of Justice: Racial and Ethnic Disparity in State Prisons." Washington, DC: The Sentencing Project, 2014.</w:t>
      </w:r>
    </w:p>
    <w:p w14:paraId="1A3C1D8D"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Pitkin, Hanna Fenichel. </w:t>
      </w:r>
      <w:r w:rsidRPr="00F460FC">
        <w:rPr>
          <w:rFonts w:ascii="Times New Roman" w:hAnsi="Times New Roman" w:cs="Times New Roman"/>
          <w:i/>
          <w:iCs/>
        </w:rPr>
        <w:t>The Concept of Representation</w:t>
      </w:r>
      <w:r w:rsidRPr="00F460FC">
        <w:rPr>
          <w:rFonts w:ascii="Times New Roman" w:hAnsi="Times New Roman" w:cs="Times New Roman"/>
        </w:rPr>
        <w:t>. Berkeley: University of California Press, 1967.</w:t>
      </w:r>
    </w:p>
    <w:p w14:paraId="0F466C63"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Popkin, Samuel L. </w:t>
      </w:r>
      <w:r w:rsidRPr="00F460FC">
        <w:rPr>
          <w:rFonts w:ascii="Times New Roman" w:hAnsi="Times New Roman" w:cs="Times New Roman"/>
          <w:i/>
          <w:iCs/>
        </w:rPr>
        <w:t>The Reasoning Voter: Communication and Persuasion in Presidential Campaigns</w:t>
      </w:r>
      <w:r w:rsidRPr="00F460FC">
        <w:rPr>
          <w:rFonts w:ascii="Times New Roman" w:hAnsi="Times New Roman" w:cs="Times New Roman"/>
        </w:rPr>
        <w:t>. 2nd ed. Chicago: University of Chicago Press, 1994.</w:t>
      </w:r>
    </w:p>
    <w:p w14:paraId="1BB8D45B"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Pottle, Justin. "Epistemic Injustice and the Electoral Connection." </w:t>
      </w:r>
      <w:r w:rsidRPr="00F460FC">
        <w:rPr>
          <w:rFonts w:ascii="Times New Roman" w:hAnsi="Times New Roman" w:cs="Times New Roman"/>
          <w:i/>
          <w:iCs/>
        </w:rPr>
        <w:t>American Journal of Political Science</w:t>
      </w:r>
      <w:r w:rsidRPr="00F460FC">
        <w:rPr>
          <w:rFonts w:ascii="Times New Roman" w:hAnsi="Times New Roman" w:cs="Times New Roman"/>
        </w:rPr>
        <w:t xml:space="preserve"> 69, no. 1 (2025): 118–131. https://doi.org/10.1111/ajps.12806.</w:t>
      </w:r>
    </w:p>
    <w:p w14:paraId="1CB757FD"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Reingold, Beth, Kerry L. Haynie, and Kirsten Widner. "Gender, Race/Ethnicity, and Representation in State Legislatures." In </w:t>
      </w:r>
      <w:r w:rsidRPr="00F460FC">
        <w:rPr>
          <w:rFonts w:ascii="Times New Roman" w:hAnsi="Times New Roman" w:cs="Times New Roman"/>
          <w:i/>
          <w:iCs/>
        </w:rPr>
        <w:t>Race, Gender, and Political Representation: Toward a More Intersectional Approach</w:t>
      </w:r>
      <w:r w:rsidRPr="00F460FC">
        <w:rPr>
          <w:rFonts w:ascii="Times New Roman" w:hAnsi="Times New Roman" w:cs="Times New Roman"/>
        </w:rPr>
        <w:t>. Oxford: Oxford University Press, 2019.</w:t>
      </w:r>
    </w:p>
    <w:p w14:paraId="40B74FD7"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Saward, Michael. </w:t>
      </w:r>
      <w:r w:rsidRPr="00F460FC">
        <w:rPr>
          <w:rFonts w:ascii="Times New Roman" w:hAnsi="Times New Roman" w:cs="Times New Roman"/>
          <w:i/>
          <w:iCs/>
        </w:rPr>
        <w:t>The Representative Claim</w:t>
      </w:r>
      <w:r w:rsidRPr="00F460FC">
        <w:rPr>
          <w:rFonts w:ascii="Times New Roman" w:hAnsi="Times New Roman" w:cs="Times New Roman"/>
        </w:rPr>
        <w:t>. Oxford: Oxford University Press, 2010.</w:t>
      </w:r>
    </w:p>
    <w:p w14:paraId="537EB728"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Schneider, Anne, and Helen Ingram. "Social Construction of Target Populations: Implications for Politics and Policy." </w:t>
      </w:r>
      <w:r w:rsidRPr="00F460FC">
        <w:rPr>
          <w:rFonts w:ascii="Times New Roman" w:hAnsi="Times New Roman" w:cs="Times New Roman"/>
          <w:i/>
          <w:iCs/>
        </w:rPr>
        <w:t>American Political Science Review</w:t>
      </w:r>
      <w:r w:rsidRPr="00F460FC">
        <w:rPr>
          <w:rFonts w:ascii="Times New Roman" w:hAnsi="Times New Roman" w:cs="Times New Roman"/>
        </w:rPr>
        <w:t xml:space="preserve"> 87, no. 2 (June 1993): 334–347.</w:t>
      </w:r>
    </w:p>
    <w:p w14:paraId="3F456162"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Sinclair-Chapman, Valeria. "Symbols and Substance: The Case of Commemorative Legislation and the Congressional Black Caucus." Presented at the Annual Meeting of the Midwest Political Science Association, Chicago, IL, 2002.</w:t>
      </w:r>
    </w:p>
    <w:p w14:paraId="63B5BCFF"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Smiley, CalvinJohn, and David Fakunle. "From 'Brute' to 'Thug:' The Demonization and Criminalization of Unarmed Black Male Victims in America." </w:t>
      </w:r>
      <w:r w:rsidRPr="00F460FC">
        <w:rPr>
          <w:rFonts w:ascii="Times New Roman" w:hAnsi="Times New Roman" w:cs="Times New Roman"/>
          <w:i/>
          <w:iCs/>
        </w:rPr>
        <w:t>Journal of Human Behavior in the Social Environment</w:t>
      </w:r>
      <w:r w:rsidRPr="00F460FC">
        <w:rPr>
          <w:rFonts w:ascii="Times New Roman" w:hAnsi="Times New Roman" w:cs="Times New Roman"/>
        </w:rPr>
        <w:t xml:space="preserve"> 26, no. 3–4 (2016): 350–366. https://doi.org/10.1080/10911359.2015.1129256.</w:t>
      </w:r>
    </w:p>
    <w:p w14:paraId="4E207F04"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Tate, Katherine. </w:t>
      </w:r>
      <w:r w:rsidRPr="00F460FC">
        <w:rPr>
          <w:rFonts w:ascii="Times New Roman" w:hAnsi="Times New Roman" w:cs="Times New Roman"/>
          <w:i/>
          <w:iCs/>
        </w:rPr>
        <w:t>Black Faces in the Mirror: African Americans and Their Representatives in the U.S. Congress</w:t>
      </w:r>
      <w:r w:rsidRPr="00F460FC">
        <w:rPr>
          <w:rFonts w:ascii="Times New Roman" w:hAnsi="Times New Roman" w:cs="Times New Roman"/>
        </w:rPr>
        <w:t>. Princeton: Princeton University Press, 2003.</w:t>
      </w:r>
    </w:p>
    <w:p w14:paraId="4FB5AA5F"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Taylor, Charles. "The Politics of Recognition." In </w:t>
      </w:r>
      <w:r w:rsidRPr="00F460FC">
        <w:rPr>
          <w:rFonts w:ascii="Times New Roman" w:hAnsi="Times New Roman" w:cs="Times New Roman"/>
          <w:i/>
          <w:iCs/>
        </w:rPr>
        <w:t>Multiculturalism: Examining the Politics of Recognition</w:t>
      </w:r>
      <w:r w:rsidRPr="00F460FC">
        <w:rPr>
          <w:rFonts w:ascii="Times New Roman" w:hAnsi="Times New Roman" w:cs="Times New Roman"/>
        </w:rPr>
        <w:t>, edited by Amy Gutmann, 25–73. Princeton: Princeton University Press, 1992.</w:t>
      </w:r>
    </w:p>
    <w:p w14:paraId="0755EA43"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lastRenderedPageBreak/>
        <w:t xml:space="preserve">Thorpe, Rebecca U. "Perverse Politics: The Persistence of Mass Imprisonment in the Twenty-First Century." </w:t>
      </w:r>
      <w:r w:rsidRPr="00F460FC">
        <w:rPr>
          <w:rFonts w:ascii="Times New Roman" w:hAnsi="Times New Roman" w:cs="Times New Roman"/>
          <w:i/>
          <w:iCs/>
        </w:rPr>
        <w:t>Perspectives on Politics</w:t>
      </w:r>
      <w:r w:rsidRPr="00F460FC">
        <w:rPr>
          <w:rFonts w:ascii="Times New Roman" w:hAnsi="Times New Roman" w:cs="Times New Roman"/>
        </w:rPr>
        <w:t xml:space="preserve"> 13, no. 3 (September 2015): 618–637. https://doi.org/10.1017/S1537592715001218.</w:t>
      </w:r>
    </w:p>
    <w:p w14:paraId="0608C776"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Vishwanath, Arjun. "Race, Legislative Speech, and Symbolic Representation in Congress." </w:t>
      </w:r>
      <w:r w:rsidRPr="00F460FC">
        <w:rPr>
          <w:rFonts w:ascii="Times New Roman" w:hAnsi="Times New Roman" w:cs="Times New Roman"/>
          <w:i/>
          <w:iCs/>
        </w:rPr>
        <w:t>American Journal of Political Science</w:t>
      </w:r>
      <w:r w:rsidRPr="00F460FC">
        <w:rPr>
          <w:rFonts w:ascii="Times New Roman" w:hAnsi="Times New Roman" w:cs="Times New Roman"/>
        </w:rPr>
        <w:t xml:space="preserve"> 69, no. 2 (2025): 578–593. https://doi.org/10.1111/ajps.12874.</w:t>
      </w:r>
    </w:p>
    <w:p w14:paraId="19D8B969"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Weaver, Vesla M., and Elizabeth Hinton. "Foreword: An Agenda for Research and Action." In </w:t>
      </w:r>
      <w:r w:rsidRPr="00F460FC">
        <w:rPr>
          <w:rFonts w:ascii="Times New Roman" w:hAnsi="Times New Roman" w:cs="Times New Roman"/>
          <w:i/>
          <w:iCs/>
        </w:rPr>
        <w:t>The New Black Politics: The Search for Political Power</w:t>
      </w:r>
      <w:r w:rsidRPr="00F460FC">
        <w:rPr>
          <w:rFonts w:ascii="Times New Roman" w:hAnsi="Times New Roman" w:cs="Times New Roman"/>
        </w:rPr>
        <w:t>. New York: Routledge, 2020.</w:t>
      </w:r>
    </w:p>
    <w:p w14:paraId="2A4DA5D2"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Weaver, Vesla M., and Amy E. Lerman. "Political Consequences of the Carceral State." </w:t>
      </w:r>
      <w:r w:rsidRPr="00F460FC">
        <w:rPr>
          <w:rFonts w:ascii="Times New Roman" w:hAnsi="Times New Roman" w:cs="Times New Roman"/>
          <w:i/>
          <w:iCs/>
        </w:rPr>
        <w:t>American Political Science Review</w:t>
      </w:r>
      <w:r w:rsidRPr="00F460FC">
        <w:rPr>
          <w:rFonts w:ascii="Times New Roman" w:hAnsi="Times New Roman" w:cs="Times New Roman"/>
        </w:rPr>
        <w:t xml:space="preserve"> 104, no. 4 (November 2010): 817–833.</w:t>
      </w:r>
    </w:p>
    <w:p w14:paraId="7FDF375C"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Weaver, Vesla M., and Gwen Prowse. "Racial Authoritarianism in U.S. Democracy." </w:t>
      </w:r>
      <w:r w:rsidRPr="00F460FC">
        <w:rPr>
          <w:rFonts w:ascii="Times New Roman" w:hAnsi="Times New Roman" w:cs="Times New Roman"/>
          <w:i/>
          <w:iCs/>
        </w:rPr>
        <w:t>Science</w:t>
      </w:r>
      <w:r w:rsidRPr="00F460FC">
        <w:rPr>
          <w:rFonts w:ascii="Times New Roman" w:hAnsi="Times New Roman" w:cs="Times New Roman"/>
        </w:rPr>
        <w:t xml:space="preserve"> 369, no. 6508 (September 2020): 1176–1178.</w:t>
      </w:r>
    </w:p>
    <w:p w14:paraId="315BCEF7" w14:textId="77777777" w:rsidR="00F460FC" w:rsidRPr="00F460FC" w:rsidRDefault="00F460FC" w:rsidP="00F460FC">
      <w:pPr>
        <w:rPr>
          <w:rFonts w:ascii="Times New Roman" w:hAnsi="Times New Roman" w:cs="Times New Roman"/>
        </w:rPr>
      </w:pPr>
      <w:r w:rsidRPr="00F460FC">
        <w:rPr>
          <w:rFonts w:ascii="Times New Roman" w:hAnsi="Times New Roman" w:cs="Times New Roman"/>
        </w:rPr>
        <w:t xml:space="preserve">Weaver, Vesla M., Gwen Prowse, and Spencer Piston. "Too Much Knowledge, Too Little Power: An Assessment of Political Knowledge in Highly Policed Communities." </w:t>
      </w:r>
      <w:r w:rsidRPr="00F460FC">
        <w:rPr>
          <w:rFonts w:ascii="Times New Roman" w:hAnsi="Times New Roman" w:cs="Times New Roman"/>
          <w:i/>
          <w:iCs/>
        </w:rPr>
        <w:t>Journal of Politics</w:t>
      </w:r>
      <w:r w:rsidRPr="00F460FC">
        <w:rPr>
          <w:rFonts w:ascii="Times New Roman" w:hAnsi="Times New Roman" w:cs="Times New Roman"/>
        </w:rPr>
        <w:t xml:space="preserve"> 81, no. 3 (July 2019): 1153–1166.</w:t>
      </w:r>
    </w:p>
    <w:p w14:paraId="47F8D2CC" w14:textId="77777777" w:rsidR="00F460FC" w:rsidRPr="00AA1271" w:rsidRDefault="00F460FC" w:rsidP="000F38CE">
      <w:pPr>
        <w:spacing w:line="360" w:lineRule="auto"/>
        <w:rPr>
          <w:rFonts w:ascii="Times New Roman" w:hAnsi="Times New Roman" w:cs="Times New Roman"/>
        </w:rPr>
      </w:pPr>
    </w:p>
    <w:sectPr w:rsidR="00F460FC" w:rsidRPr="00AA1271" w:rsidSect="00E7139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46B1A" w14:textId="77777777" w:rsidR="00940E88" w:rsidRDefault="00940E88" w:rsidP="00E71396">
      <w:pPr>
        <w:spacing w:after="0" w:line="240" w:lineRule="auto"/>
      </w:pPr>
      <w:r>
        <w:separator/>
      </w:r>
    </w:p>
  </w:endnote>
  <w:endnote w:type="continuationSeparator" w:id="0">
    <w:p w14:paraId="3BC5CF0C" w14:textId="77777777" w:rsidR="00940E88" w:rsidRDefault="00940E88" w:rsidP="00E71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9E1A6" w14:textId="77777777" w:rsidR="00940E88" w:rsidRDefault="00940E88" w:rsidP="00E71396">
      <w:pPr>
        <w:spacing w:after="0" w:line="240" w:lineRule="auto"/>
      </w:pPr>
      <w:r>
        <w:separator/>
      </w:r>
    </w:p>
  </w:footnote>
  <w:footnote w:type="continuationSeparator" w:id="0">
    <w:p w14:paraId="576BDE86" w14:textId="77777777" w:rsidR="00940E88" w:rsidRDefault="00940E88" w:rsidP="00E71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85C5" w14:textId="5FAE8883" w:rsidR="00E71396" w:rsidRDefault="00E71396">
    <w:pPr>
      <w:pStyle w:val="Header"/>
      <w:rPr>
        <w:rFonts w:ascii="Times New Roman" w:hAnsi="Times New Roman" w:cs="Times New Roman"/>
      </w:rPr>
    </w:pPr>
    <w:r>
      <w:rPr>
        <w:rFonts w:ascii="Times New Roman" w:hAnsi="Times New Roman" w:cs="Times New Roman"/>
      </w:rPr>
      <w:t>Kristina Mensik</w:t>
    </w:r>
  </w:p>
  <w:p w14:paraId="3FB00A2E" w14:textId="0CFC9C2B" w:rsidR="00E71396" w:rsidRDefault="00E71396">
    <w:pPr>
      <w:pStyle w:val="Header"/>
      <w:rPr>
        <w:rFonts w:ascii="Times New Roman" w:hAnsi="Times New Roman" w:cs="Times New Roman"/>
      </w:rPr>
    </w:pPr>
    <w:r>
      <w:rPr>
        <w:rFonts w:ascii="Times New Roman" w:hAnsi="Times New Roman" w:cs="Times New Roman"/>
      </w:rPr>
      <w:t>Racial &amp; Ethnic Minorities</w:t>
    </w:r>
  </w:p>
  <w:p w14:paraId="5D61A520" w14:textId="0D2B7A38" w:rsidR="00E71396" w:rsidRDefault="00E71396">
    <w:pPr>
      <w:pStyle w:val="Header"/>
      <w:rPr>
        <w:rFonts w:ascii="Times New Roman" w:hAnsi="Times New Roman" w:cs="Times New Roman"/>
      </w:rPr>
    </w:pPr>
    <w:r>
      <w:rPr>
        <w:rFonts w:ascii="Times New Roman" w:hAnsi="Times New Roman" w:cs="Times New Roman"/>
      </w:rPr>
      <w:t>Final Project</w:t>
    </w:r>
  </w:p>
  <w:p w14:paraId="245C32AC" w14:textId="77777777" w:rsidR="00E71396" w:rsidRPr="00E71396" w:rsidRDefault="00E71396">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2445"/>
    <w:multiLevelType w:val="hybridMultilevel"/>
    <w:tmpl w:val="60E24560"/>
    <w:lvl w:ilvl="0" w:tplc="A8D6B352">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14D63A8"/>
    <w:multiLevelType w:val="hybridMultilevel"/>
    <w:tmpl w:val="9280A35A"/>
    <w:lvl w:ilvl="0" w:tplc="39B6473E">
      <w:start w:val="200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CC7E6B"/>
    <w:multiLevelType w:val="hybridMultilevel"/>
    <w:tmpl w:val="2DDCD868"/>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483708">
    <w:abstractNumId w:val="2"/>
  </w:num>
  <w:num w:numId="2" w16cid:durableId="142549584">
    <w:abstractNumId w:val="0"/>
  </w:num>
  <w:num w:numId="3" w16cid:durableId="1730955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C9"/>
    <w:rsid w:val="00007E0E"/>
    <w:rsid w:val="0002007D"/>
    <w:rsid w:val="00030E89"/>
    <w:rsid w:val="00034833"/>
    <w:rsid w:val="00055264"/>
    <w:rsid w:val="00057A24"/>
    <w:rsid w:val="00062E86"/>
    <w:rsid w:val="0006559C"/>
    <w:rsid w:val="00065880"/>
    <w:rsid w:val="00072385"/>
    <w:rsid w:val="00094873"/>
    <w:rsid w:val="000A3A27"/>
    <w:rsid w:val="000C1317"/>
    <w:rsid w:val="000F38CE"/>
    <w:rsid w:val="000F4CFB"/>
    <w:rsid w:val="001042D0"/>
    <w:rsid w:val="00104AF7"/>
    <w:rsid w:val="00115AF5"/>
    <w:rsid w:val="00125DF3"/>
    <w:rsid w:val="00187E2B"/>
    <w:rsid w:val="0019585A"/>
    <w:rsid w:val="001A28B9"/>
    <w:rsid w:val="001B097F"/>
    <w:rsid w:val="001C42C9"/>
    <w:rsid w:val="001D058D"/>
    <w:rsid w:val="001D36EF"/>
    <w:rsid w:val="001D689B"/>
    <w:rsid w:val="00201EC7"/>
    <w:rsid w:val="002069B4"/>
    <w:rsid w:val="00261338"/>
    <w:rsid w:val="00273A8F"/>
    <w:rsid w:val="00283237"/>
    <w:rsid w:val="002E5924"/>
    <w:rsid w:val="002F36BC"/>
    <w:rsid w:val="002F53FB"/>
    <w:rsid w:val="00375BAC"/>
    <w:rsid w:val="003A470F"/>
    <w:rsid w:val="00405AEB"/>
    <w:rsid w:val="004170E5"/>
    <w:rsid w:val="00431BA6"/>
    <w:rsid w:val="00455AB1"/>
    <w:rsid w:val="00467159"/>
    <w:rsid w:val="0047387E"/>
    <w:rsid w:val="00490AAD"/>
    <w:rsid w:val="004E2E3F"/>
    <w:rsid w:val="004E75E9"/>
    <w:rsid w:val="0050455C"/>
    <w:rsid w:val="00507543"/>
    <w:rsid w:val="00524AB8"/>
    <w:rsid w:val="00535A28"/>
    <w:rsid w:val="00545D83"/>
    <w:rsid w:val="00561245"/>
    <w:rsid w:val="0056333A"/>
    <w:rsid w:val="00572215"/>
    <w:rsid w:val="00577120"/>
    <w:rsid w:val="005C450F"/>
    <w:rsid w:val="00630880"/>
    <w:rsid w:val="00631627"/>
    <w:rsid w:val="006879EE"/>
    <w:rsid w:val="00696A9B"/>
    <w:rsid w:val="006B3816"/>
    <w:rsid w:val="006C6855"/>
    <w:rsid w:val="006D66AA"/>
    <w:rsid w:val="006E176E"/>
    <w:rsid w:val="00701387"/>
    <w:rsid w:val="00704233"/>
    <w:rsid w:val="00714E09"/>
    <w:rsid w:val="0072143D"/>
    <w:rsid w:val="00730E60"/>
    <w:rsid w:val="00731A0F"/>
    <w:rsid w:val="00740FEF"/>
    <w:rsid w:val="00744D2C"/>
    <w:rsid w:val="00754574"/>
    <w:rsid w:val="00791CE8"/>
    <w:rsid w:val="007C6BAF"/>
    <w:rsid w:val="007D4BCB"/>
    <w:rsid w:val="007F487D"/>
    <w:rsid w:val="007F7436"/>
    <w:rsid w:val="007F7AE1"/>
    <w:rsid w:val="00800801"/>
    <w:rsid w:val="00827B48"/>
    <w:rsid w:val="00836340"/>
    <w:rsid w:val="00857004"/>
    <w:rsid w:val="00882A16"/>
    <w:rsid w:val="00886772"/>
    <w:rsid w:val="0094038A"/>
    <w:rsid w:val="00940E88"/>
    <w:rsid w:val="00966621"/>
    <w:rsid w:val="0096778A"/>
    <w:rsid w:val="009941F5"/>
    <w:rsid w:val="009A2DBB"/>
    <w:rsid w:val="009C0066"/>
    <w:rsid w:val="009D2DDF"/>
    <w:rsid w:val="00A068FB"/>
    <w:rsid w:val="00A13602"/>
    <w:rsid w:val="00A51524"/>
    <w:rsid w:val="00A51CD1"/>
    <w:rsid w:val="00AA1271"/>
    <w:rsid w:val="00AB27E8"/>
    <w:rsid w:val="00B12A90"/>
    <w:rsid w:val="00B365A4"/>
    <w:rsid w:val="00B42687"/>
    <w:rsid w:val="00B44518"/>
    <w:rsid w:val="00B4531A"/>
    <w:rsid w:val="00B56B85"/>
    <w:rsid w:val="00B662E0"/>
    <w:rsid w:val="00B7606C"/>
    <w:rsid w:val="00B76E06"/>
    <w:rsid w:val="00B842E2"/>
    <w:rsid w:val="00BA0159"/>
    <w:rsid w:val="00BA5886"/>
    <w:rsid w:val="00BC5549"/>
    <w:rsid w:val="00BC65E7"/>
    <w:rsid w:val="00C361DE"/>
    <w:rsid w:val="00C53DB2"/>
    <w:rsid w:val="00C560FF"/>
    <w:rsid w:val="00C64BAC"/>
    <w:rsid w:val="00C74642"/>
    <w:rsid w:val="00C74C3A"/>
    <w:rsid w:val="00CE0F78"/>
    <w:rsid w:val="00CF0B9A"/>
    <w:rsid w:val="00D07788"/>
    <w:rsid w:val="00D1023F"/>
    <w:rsid w:val="00D31719"/>
    <w:rsid w:val="00D424AE"/>
    <w:rsid w:val="00D54981"/>
    <w:rsid w:val="00D55794"/>
    <w:rsid w:val="00DA217A"/>
    <w:rsid w:val="00DA78EB"/>
    <w:rsid w:val="00DD5A21"/>
    <w:rsid w:val="00DE0661"/>
    <w:rsid w:val="00DE5CCE"/>
    <w:rsid w:val="00DF2327"/>
    <w:rsid w:val="00DF54A1"/>
    <w:rsid w:val="00E05846"/>
    <w:rsid w:val="00E15018"/>
    <w:rsid w:val="00E40BCA"/>
    <w:rsid w:val="00E51490"/>
    <w:rsid w:val="00E67F00"/>
    <w:rsid w:val="00E71396"/>
    <w:rsid w:val="00E964A2"/>
    <w:rsid w:val="00EA2356"/>
    <w:rsid w:val="00EB69B1"/>
    <w:rsid w:val="00EC22F0"/>
    <w:rsid w:val="00ED06DB"/>
    <w:rsid w:val="00ED6372"/>
    <w:rsid w:val="00F3528C"/>
    <w:rsid w:val="00F460FC"/>
    <w:rsid w:val="00F66238"/>
    <w:rsid w:val="00F93B91"/>
    <w:rsid w:val="00F93F73"/>
    <w:rsid w:val="00FD49A1"/>
    <w:rsid w:val="00FD4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CAB60"/>
  <w15:chartTrackingRefBased/>
  <w15:docId w15:val="{6C940F5C-3D8B-3E49-9194-1BE8F9E5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C9"/>
    <w:rPr>
      <w:rFonts w:eastAsiaTheme="majorEastAsia" w:cstheme="majorBidi"/>
      <w:color w:val="272727" w:themeColor="text1" w:themeTint="D8"/>
    </w:rPr>
  </w:style>
  <w:style w:type="paragraph" w:styleId="Title">
    <w:name w:val="Title"/>
    <w:basedOn w:val="Normal"/>
    <w:next w:val="Normal"/>
    <w:link w:val="TitleChar"/>
    <w:uiPriority w:val="10"/>
    <w:qFormat/>
    <w:rsid w:val="001C4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C9"/>
    <w:pPr>
      <w:spacing w:before="160"/>
      <w:jc w:val="center"/>
    </w:pPr>
    <w:rPr>
      <w:i/>
      <w:iCs/>
      <w:color w:val="404040" w:themeColor="text1" w:themeTint="BF"/>
    </w:rPr>
  </w:style>
  <w:style w:type="character" w:customStyle="1" w:styleId="QuoteChar">
    <w:name w:val="Quote Char"/>
    <w:basedOn w:val="DefaultParagraphFont"/>
    <w:link w:val="Quote"/>
    <w:uiPriority w:val="29"/>
    <w:rsid w:val="001C42C9"/>
    <w:rPr>
      <w:i/>
      <w:iCs/>
      <w:color w:val="404040" w:themeColor="text1" w:themeTint="BF"/>
    </w:rPr>
  </w:style>
  <w:style w:type="paragraph" w:styleId="ListParagraph">
    <w:name w:val="List Paragraph"/>
    <w:basedOn w:val="Normal"/>
    <w:uiPriority w:val="34"/>
    <w:qFormat/>
    <w:rsid w:val="001C42C9"/>
    <w:pPr>
      <w:ind w:left="720"/>
      <w:contextualSpacing/>
    </w:pPr>
  </w:style>
  <w:style w:type="character" w:styleId="IntenseEmphasis">
    <w:name w:val="Intense Emphasis"/>
    <w:basedOn w:val="DefaultParagraphFont"/>
    <w:uiPriority w:val="21"/>
    <w:qFormat/>
    <w:rsid w:val="001C42C9"/>
    <w:rPr>
      <w:i/>
      <w:iCs/>
      <w:color w:val="0F4761" w:themeColor="accent1" w:themeShade="BF"/>
    </w:rPr>
  </w:style>
  <w:style w:type="paragraph" w:styleId="IntenseQuote">
    <w:name w:val="Intense Quote"/>
    <w:basedOn w:val="Normal"/>
    <w:next w:val="Normal"/>
    <w:link w:val="IntenseQuoteChar"/>
    <w:uiPriority w:val="30"/>
    <w:qFormat/>
    <w:rsid w:val="001C4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2C9"/>
    <w:rPr>
      <w:i/>
      <w:iCs/>
      <w:color w:val="0F4761" w:themeColor="accent1" w:themeShade="BF"/>
    </w:rPr>
  </w:style>
  <w:style w:type="character" w:styleId="IntenseReference">
    <w:name w:val="Intense Reference"/>
    <w:basedOn w:val="DefaultParagraphFont"/>
    <w:uiPriority w:val="32"/>
    <w:qFormat/>
    <w:rsid w:val="001C42C9"/>
    <w:rPr>
      <w:b/>
      <w:bCs/>
      <w:smallCaps/>
      <w:color w:val="0F4761" w:themeColor="accent1" w:themeShade="BF"/>
      <w:spacing w:val="5"/>
    </w:rPr>
  </w:style>
  <w:style w:type="paragraph" w:styleId="Header">
    <w:name w:val="header"/>
    <w:basedOn w:val="Normal"/>
    <w:link w:val="HeaderChar"/>
    <w:uiPriority w:val="99"/>
    <w:unhideWhenUsed/>
    <w:rsid w:val="00E713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396"/>
  </w:style>
  <w:style w:type="paragraph" w:styleId="Footer">
    <w:name w:val="footer"/>
    <w:basedOn w:val="Normal"/>
    <w:link w:val="FooterChar"/>
    <w:uiPriority w:val="99"/>
    <w:unhideWhenUsed/>
    <w:rsid w:val="00E713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396"/>
  </w:style>
  <w:style w:type="character" w:styleId="CommentReference">
    <w:name w:val="annotation reference"/>
    <w:basedOn w:val="DefaultParagraphFont"/>
    <w:uiPriority w:val="99"/>
    <w:semiHidden/>
    <w:unhideWhenUsed/>
    <w:rsid w:val="00057A24"/>
    <w:rPr>
      <w:sz w:val="16"/>
      <w:szCs w:val="16"/>
    </w:rPr>
  </w:style>
  <w:style w:type="paragraph" w:styleId="CommentText">
    <w:name w:val="annotation text"/>
    <w:basedOn w:val="Normal"/>
    <w:link w:val="CommentTextChar"/>
    <w:uiPriority w:val="99"/>
    <w:semiHidden/>
    <w:unhideWhenUsed/>
    <w:rsid w:val="00057A24"/>
    <w:pPr>
      <w:spacing w:line="240" w:lineRule="auto"/>
    </w:pPr>
    <w:rPr>
      <w:sz w:val="20"/>
      <w:szCs w:val="20"/>
    </w:rPr>
  </w:style>
  <w:style w:type="character" w:customStyle="1" w:styleId="CommentTextChar">
    <w:name w:val="Comment Text Char"/>
    <w:basedOn w:val="DefaultParagraphFont"/>
    <w:link w:val="CommentText"/>
    <w:uiPriority w:val="99"/>
    <w:semiHidden/>
    <w:rsid w:val="00057A24"/>
    <w:rPr>
      <w:sz w:val="20"/>
      <w:szCs w:val="20"/>
    </w:rPr>
  </w:style>
  <w:style w:type="paragraph" w:styleId="CommentSubject">
    <w:name w:val="annotation subject"/>
    <w:basedOn w:val="CommentText"/>
    <w:next w:val="CommentText"/>
    <w:link w:val="CommentSubjectChar"/>
    <w:uiPriority w:val="99"/>
    <w:semiHidden/>
    <w:unhideWhenUsed/>
    <w:rsid w:val="00057A24"/>
    <w:rPr>
      <w:b/>
      <w:bCs/>
    </w:rPr>
  </w:style>
  <w:style w:type="character" w:customStyle="1" w:styleId="CommentSubjectChar">
    <w:name w:val="Comment Subject Char"/>
    <w:basedOn w:val="CommentTextChar"/>
    <w:link w:val="CommentSubject"/>
    <w:uiPriority w:val="99"/>
    <w:semiHidden/>
    <w:rsid w:val="00057A24"/>
    <w:rPr>
      <w:b/>
      <w:bCs/>
      <w:sz w:val="20"/>
      <w:szCs w:val="20"/>
    </w:rPr>
  </w:style>
  <w:style w:type="table" w:styleId="TableGrid">
    <w:name w:val="Table Grid"/>
    <w:basedOn w:val="TableNormal"/>
    <w:uiPriority w:val="39"/>
    <w:rsid w:val="00062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4460</Words>
  <Characters>28098</Characters>
  <Application>Microsoft Office Word</Application>
  <DocSecurity>0</DocSecurity>
  <Lines>573</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4</cp:revision>
  <cp:lastPrinted>2025-12-15T00:47:00Z</cp:lastPrinted>
  <dcterms:created xsi:type="dcterms:W3CDTF">2025-12-15T15:31:00Z</dcterms:created>
  <dcterms:modified xsi:type="dcterms:W3CDTF">2026-01-30T19:32:00Z</dcterms:modified>
</cp:coreProperties>
</file>