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0D846" w14:textId="42950320" w:rsidR="001554D9" w:rsidRDefault="00275ABD">
      <w:r>
        <w:t>Test 1 Expectations</w:t>
      </w:r>
    </w:p>
    <w:p w14:paraId="148146D2" w14:textId="77777777" w:rsidR="00275ABD" w:rsidRDefault="00275ABD"/>
    <w:p w14:paraId="4FD3A2B3" w14:textId="77777777" w:rsidR="00275ABD" w:rsidRDefault="00275ABD"/>
    <w:p w14:paraId="338A1681" w14:textId="42A40BDE" w:rsidR="009D3DFF" w:rsidRDefault="00275ABD">
      <w:r>
        <w:t>I need to redraft a setup for my expectations/hypotheses</w:t>
      </w:r>
      <w:r w:rsidR="009D3DFF">
        <w:t xml:space="preserve"> section</w:t>
      </w:r>
      <w:r>
        <w:t xml:space="preserve"> in </w:t>
      </w:r>
      <w:r w:rsidR="009D3DFF">
        <w:t>chapter</w:t>
      </w:r>
      <w:r>
        <w:t xml:space="preserve"> 1. I’m hoping you can help me with that draft. </w:t>
      </w:r>
      <w:r w:rsidR="009D3DFF">
        <w:t xml:space="preserve">One of the holdover problems is that I have language from my prelim, which was more focused on why experience would shape deservingness perceptions, which – coupled with policy learning – would shape policy views. For this chapter/in the dissertation proposal, I’m trying to get at supporting evidence (assuming I find it) that people who have been impacted by the carceral state have discrete preferences/political orientations. My #1 priority tonight is getting the run-up to the hypotheses clear, so that I can clearly state hypotheses and then go finish my analysis. Later, I will need to go back and see if what came before in the pre-build to expectations lit review matches. </w:t>
      </w:r>
    </w:p>
    <w:p w14:paraId="24909395" w14:textId="38472E04" w:rsidR="00275ABD" w:rsidRDefault="00275ABD">
      <w:r>
        <w:t xml:space="preserve">I’d like to try putting </w:t>
      </w:r>
      <w:r w:rsidR="00E72E17">
        <w:t>this part back</w:t>
      </w:r>
      <w:r>
        <w:t xml:space="preserve"> together</w:t>
      </w:r>
      <w:r w:rsidR="00E72E17">
        <w:t xml:space="preserve"> then</w:t>
      </w:r>
      <w:r>
        <w:t xml:space="preserve">, before </w:t>
      </w:r>
      <w:r w:rsidR="00E72E17">
        <w:t xml:space="preserve">(after I’ve done the analyses </w:t>
      </w:r>
      <w:proofErr w:type="spellStart"/>
      <w:r w:rsidR="00E72E17">
        <w:t>bc</w:t>
      </w:r>
      <w:proofErr w:type="spellEnd"/>
      <w:r w:rsidR="00E72E17">
        <w:t xml:space="preserve"> getting there is priority) g</w:t>
      </w:r>
      <w:r>
        <w:t xml:space="preserve">oing back to see the degree to which it matches the chapter’s lit review. </w:t>
      </w:r>
      <w:r w:rsidR="00E72E17">
        <w:t xml:space="preserve">I’d like you to first read what I will copy/paste below. Then, I’d like you to read the attached pdf, which is of the chapter 1 lit, then the section (3.0.3 Hypothesis or Expectation 1-2) I’m asking for your help in revising right now. Then, let me know if there is a step I’m clearly missing, and I’m wondering if you would outline a revised suggestion, and highlight what existing language from the section 3.03 Hypothesis or Expectation 1-2 can be repurposed here. Last, please flag where I have decisions to make (to me, that is in the expectations themselves). Does this make sense? </w:t>
      </w:r>
    </w:p>
    <w:p w14:paraId="7A6AB07F" w14:textId="77777777" w:rsidR="00E72E17" w:rsidRDefault="00E72E17"/>
    <w:p w14:paraId="67116540" w14:textId="06C86D07" w:rsidR="00E72E17" w:rsidRDefault="00E72E17">
      <w:r>
        <w:t>Here is what I’d like you to review views:</w:t>
      </w:r>
    </w:p>
    <w:p w14:paraId="17F03E13" w14:textId="7FB00D5B" w:rsidR="00275ABD" w:rsidRDefault="00E72E17">
      <w:r>
        <w:t>The revised section (3.0.3)</w:t>
      </w:r>
      <w:r w:rsidR="00275ABD">
        <w:t xml:space="preserve"> might start with something like: </w:t>
      </w:r>
      <w:r w:rsidR="00275ABD" w:rsidRPr="00275ABD">
        <w:t>Together, these literatures suggest</w:t>
      </w:r>
      <w:r w:rsidR="00275ABD">
        <w:t xml:space="preserve">… </w:t>
      </w:r>
    </w:p>
    <w:p w14:paraId="28454F68" w14:textId="0995AFED" w:rsidR="00275ABD" w:rsidRDefault="00275ABD">
      <w:r>
        <w:t>The order of the points it should make is as follows:</w:t>
      </w:r>
    </w:p>
    <w:p w14:paraId="0B094D19" w14:textId="262FD450" w:rsidR="00275ABD" w:rsidRDefault="009D3DFF" w:rsidP="00275ABD">
      <w:pPr>
        <w:pStyle w:val="ListParagraph"/>
        <w:numPr>
          <w:ilvl w:val="0"/>
          <w:numId w:val="1"/>
        </w:numPr>
      </w:pPr>
      <w:r>
        <w:t xml:space="preserve">1. </w:t>
      </w:r>
      <w:r w:rsidR="00275ABD">
        <w:t xml:space="preserve">Maybe, </w:t>
      </w:r>
      <w:proofErr w:type="gramStart"/>
      <w:r w:rsidR="00275ABD">
        <w:t>really not</w:t>
      </w:r>
      <w:proofErr w:type="gramEnd"/>
      <w:r w:rsidR="00275ABD">
        <w:t xml:space="preserve"> sure: “policy preferences and deservingness judgements can be understood </w:t>
      </w:r>
      <w:r w:rsidR="00275ABD" w:rsidRPr="00275ABD">
        <w:t>as observable expressions of political knowledge</w:t>
      </w:r>
      <w:r w:rsidR="00275ABD">
        <w:t>”</w:t>
      </w:r>
    </w:p>
    <w:p w14:paraId="40C615D4" w14:textId="0EEF3D24" w:rsidR="00275ABD" w:rsidRDefault="00275ABD" w:rsidP="00275ABD">
      <w:pPr>
        <w:pStyle w:val="ListParagraph"/>
        <w:numPr>
          <w:ilvl w:val="1"/>
          <w:numId w:val="1"/>
        </w:numPr>
      </w:pPr>
      <w:r>
        <w:t xml:space="preserve"> (</w:t>
      </w:r>
      <w:proofErr w:type="gramStart"/>
      <w:r>
        <w:t>maybe</w:t>
      </w:r>
      <w:proofErr w:type="gramEnd"/>
      <w:r>
        <w:t xml:space="preserve"> best to do a placeholder for now. I’m unsure if this is sort of presenting measures before expectations – through I justify preferences vs interests in the lit review part).</w:t>
      </w:r>
    </w:p>
    <w:p w14:paraId="05430979" w14:textId="0065B2B7" w:rsidR="00275ABD" w:rsidRDefault="009D3DFF" w:rsidP="00275ABD">
      <w:pPr>
        <w:pStyle w:val="ListParagraph"/>
        <w:numPr>
          <w:ilvl w:val="0"/>
          <w:numId w:val="1"/>
        </w:numPr>
      </w:pPr>
      <w:r>
        <w:t xml:space="preserve">2. </w:t>
      </w:r>
      <w:r w:rsidR="00275ABD">
        <w:t>“People learn from experience”</w:t>
      </w:r>
    </w:p>
    <w:p w14:paraId="25FBB826" w14:textId="14B35603" w:rsidR="00275ABD" w:rsidRDefault="00275ABD" w:rsidP="00275ABD">
      <w:pPr>
        <w:pStyle w:val="ListParagraph"/>
        <w:numPr>
          <w:ilvl w:val="1"/>
          <w:numId w:val="1"/>
        </w:numPr>
      </w:pPr>
      <w:r>
        <w:lastRenderedPageBreak/>
        <w:t xml:space="preserve">Right now, I am very tempted to justify this by saying as we’ve discussed, this shows up across divergent political theories. Below are notes to the sort. Maybe the move here is to do a sentence high level, or the strongest point, and put everything else a little write up in a footnote. </w:t>
      </w:r>
    </w:p>
    <w:p w14:paraId="450BFF9F" w14:textId="77777777" w:rsidR="00275ABD" w:rsidRDefault="00275ABD" w:rsidP="00275ABD">
      <w:pPr>
        <w:pStyle w:val="ListParagraph"/>
        <w:numPr>
          <w:ilvl w:val="2"/>
          <w:numId w:val="1"/>
        </w:numPr>
      </w:pPr>
      <w:proofErr w:type="spellStart"/>
      <w:r>
        <w:t>Oakshott</w:t>
      </w:r>
      <w:proofErr w:type="spellEnd"/>
      <w:r>
        <w:t xml:space="preserve"> -- while this differs from his substantive politics; his epistemological structure reflects what I'm talking about: experience--&gt; attachment --&gt; conservative orientation</w:t>
      </w:r>
    </w:p>
    <w:p w14:paraId="785A5159" w14:textId="7148161A" w:rsidR="00275ABD" w:rsidRDefault="00275ABD" w:rsidP="00275ABD">
      <w:pPr>
        <w:pStyle w:val="ListParagraph"/>
        <w:numPr>
          <w:ilvl w:val="2"/>
          <w:numId w:val="1"/>
        </w:numPr>
      </w:pPr>
      <w:r>
        <w:t xml:space="preserve">             more fundamentally: our experiences decide the phenomena of our attachments, which produce our political dispositions. Identity is "nothing more than an unbroken rehearsal of contingencies."(1-6). </w:t>
      </w:r>
    </w:p>
    <w:p w14:paraId="75E5AAB1" w14:textId="5757E735" w:rsidR="00275ABD" w:rsidRDefault="00275ABD" w:rsidP="00275ABD">
      <w:pPr>
        <w:pStyle w:val="ListParagraph"/>
        <w:numPr>
          <w:ilvl w:val="2"/>
          <w:numId w:val="1"/>
        </w:numPr>
      </w:pPr>
      <w:r>
        <w:t xml:space="preserve">             even appears in his differentiation of technical vs practical knowledge and clear claim that practical knowledge is tacit and experientially </w:t>
      </w:r>
      <w:proofErr w:type="gramStart"/>
      <w:r>
        <w:t>required;</w:t>
      </w:r>
      <w:proofErr w:type="gramEnd"/>
      <w:r>
        <w:t xml:space="preserve">     </w:t>
      </w:r>
    </w:p>
    <w:p w14:paraId="52D448A3" w14:textId="7ADE4D38" w:rsidR="00275ABD" w:rsidRDefault="00275ABD" w:rsidP="00275ABD">
      <w:pPr>
        <w:pStyle w:val="ListParagraph"/>
        <w:numPr>
          <w:ilvl w:val="2"/>
          <w:numId w:val="1"/>
        </w:numPr>
      </w:pPr>
      <w:r>
        <w:t xml:space="preserve">                 -- underscores in tools argument, there are skills inseparable from practice and familiarity; some knowledge cannot be learned abstractly, but only through doing (experience)</w:t>
      </w:r>
    </w:p>
    <w:p w14:paraId="7DD51144" w14:textId="5C3C9A9A" w:rsidR="00275ABD" w:rsidRDefault="00275ABD" w:rsidP="00275ABD">
      <w:pPr>
        <w:pStyle w:val="ListParagraph"/>
        <w:numPr>
          <w:ilvl w:val="2"/>
          <w:numId w:val="1"/>
        </w:numPr>
      </w:pPr>
      <w:r>
        <w:t xml:space="preserve">             political dispositions (particularly, the conservative disposition) are cultivated through engagement with actual practices and institutions; developed by living within arrangements and learning their value through that inhabitation. --POINT: people come to care about what they care about through inhabitation, by living and experiencing it. </w:t>
      </w:r>
    </w:p>
    <w:p w14:paraId="6DA4E201" w14:textId="05C8F016" w:rsidR="00275ABD" w:rsidRDefault="00275ABD" w:rsidP="00275ABD">
      <w:pPr>
        <w:pStyle w:val="ListParagraph"/>
        <w:numPr>
          <w:ilvl w:val="2"/>
          <w:numId w:val="1"/>
        </w:numPr>
      </w:pPr>
      <w:r>
        <w:t xml:space="preserve">          Burke's {Reflections} are </w:t>
      </w:r>
      <w:proofErr w:type="gramStart"/>
      <w:r>
        <w:t>saturated  with</w:t>
      </w:r>
      <w:proofErr w:type="gramEnd"/>
      <w:r>
        <w:t xml:space="preserve"> the view that political wisdom is derived from accumulated generations of lived experiences; "prejudices" as he calls it encode experiential learning that individuals couldn't derive from purely rational, abstract thought. </w:t>
      </w:r>
    </w:p>
    <w:p w14:paraId="518F2FD7" w14:textId="21C194DE" w:rsidR="00275ABD" w:rsidRDefault="00275ABD" w:rsidP="00275ABD">
      <w:pPr>
        <w:pStyle w:val="ListParagraph"/>
        <w:numPr>
          <w:ilvl w:val="2"/>
          <w:numId w:val="1"/>
        </w:numPr>
      </w:pPr>
      <w:r>
        <w:t xml:space="preserve">   on the other hand, feminist critiques of liberalism are rooted in the claim that liberal theory needs to account for the distinct experiences that women have on account of their identities and how institutions structure experiences differently across gender identity</w:t>
      </w:r>
    </w:p>
    <w:p w14:paraId="33CF404B" w14:textId="587A89AF" w:rsidR="00275ABD" w:rsidRDefault="00275ABD" w:rsidP="00275ABD">
      <w:pPr>
        <w:pStyle w:val="ListParagraph"/>
        <w:numPr>
          <w:ilvl w:val="3"/>
          <w:numId w:val="1"/>
        </w:numPr>
      </w:pPr>
      <w:proofErr w:type="spellStart"/>
      <w:r>
        <w:t>Woolstencraft’s feminism holds</w:t>
      </w:r>
      <w:proofErr w:type="spellEnd"/>
      <w:r>
        <w:t xml:space="preserve"> that women learn their political value is as beautified objects through their inherently political – including negative or absent -- experiences</w:t>
      </w:r>
    </w:p>
    <w:p w14:paraId="3759121B" w14:textId="6C6FB0AF" w:rsidR="00275ABD" w:rsidRDefault="00275ABD" w:rsidP="00275ABD">
      <w:pPr>
        <w:pStyle w:val="ListParagraph"/>
        <w:numPr>
          <w:ilvl w:val="2"/>
          <w:numId w:val="1"/>
        </w:numPr>
      </w:pPr>
      <w:r>
        <w:t xml:space="preserve">Embedded more generally in </w:t>
      </w:r>
      <w:r>
        <w:t>politics of recognition</w:t>
      </w:r>
    </w:p>
    <w:p w14:paraId="2A4ED0E2" w14:textId="7EBE5E7C" w:rsidR="00275ABD" w:rsidRDefault="009D3DFF" w:rsidP="00275ABD">
      <w:pPr>
        <w:pStyle w:val="ListParagraph"/>
        <w:numPr>
          <w:ilvl w:val="1"/>
          <w:numId w:val="1"/>
        </w:numPr>
      </w:pPr>
      <w:proofErr w:type="gramStart"/>
      <w:r>
        <w:t>Also</w:t>
      </w:r>
      <w:proofErr w:type="gramEnd"/>
      <w:r>
        <w:t xml:space="preserve"> there’s </w:t>
      </w:r>
      <w:r w:rsidR="00275ABD">
        <w:t>Abundant empirical evidence people learn from experience</w:t>
      </w:r>
    </w:p>
    <w:p w14:paraId="14398145" w14:textId="1832D3F7" w:rsidR="00275ABD" w:rsidRDefault="00275ABD" w:rsidP="00275ABD">
      <w:pPr>
        <w:pStyle w:val="ListParagraph"/>
        <w:numPr>
          <w:ilvl w:val="2"/>
          <w:numId w:val="1"/>
        </w:numPr>
      </w:pPr>
      <w:r w:rsidRPr="00275ABD">
        <w:t>Barry Burden -- legislators experiences as smokers even shape their behavior and how they justify their political orientations</w:t>
      </w:r>
    </w:p>
    <w:p w14:paraId="5110DC82" w14:textId="39732921" w:rsidR="00275ABD" w:rsidRDefault="009D3DFF" w:rsidP="009D3DFF">
      <w:pPr>
        <w:pStyle w:val="ListParagraph"/>
        <w:numPr>
          <w:ilvl w:val="0"/>
          <w:numId w:val="1"/>
        </w:numPr>
      </w:pPr>
      <w:r>
        <w:t xml:space="preserve">3. </w:t>
      </w:r>
      <w:r w:rsidR="00275ABD">
        <w:t>And policy design shapes those experiences and learnings</w:t>
      </w:r>
    </w:p>
    <w:p w14:paraId="2ACD68CD" w14:textId="77777777" w:rsidR="00275ABD" w:rsidRDefault="00275ABD" w:rsidP="00275ABD">
      <w:pPr>
        <w:pStyle w:val="ListParagraph"/>
        <w:numPr>
          <w:ilvl w:val="2"/>
          <w:numId w:val="1"/>
        </w:numPr>
      </w:pPr>
      <w:r>
        <w:lastRenderedPageBreak/>
        <w:t xml:space="preserve">Experience with the state in general is one of those experiences that shape orientations, in their material but also interpretive and political nature. These can be conditioned by policy design: </w:t>
      </w:r>
    </w:p>
    <w:p w14:paraId="253A5B5D" w14:textId="14F9C320" w:rsidR="00275ABD" w:rsidRDefault="00275ABD" w:rsidP="00275ABD">
      <w:pPr>
        <w:pStyle w:val="ListParagraph"/>
        <w:numPr>
          <w:ilvl w:val="2"/>
          <w:numId w:val="1"/>
        </w:numPr>
      </w:pPr>
      <w:r>
        <w:t xml:space="preserve">Michener </w:t>
      </w:r>
      <w:r w:rsidR="009D3DFF">
        <w:t>–</w:t>
      </w:r>
      <w:r>
        <w:t xml:space="preserve"> lived experiences and especially with the state shape how people understand and engage in politics: </w:t>
      </w:r>
      <w:r w:rsidR="009D3DFF">
        <w:t>“</w:t>
      </w:r>
      <w:r>
        <w:t>salient interactions with the government convey important political lessons,</w:t>
      </w:r>
      <w:r w:rsidR="009D3DFF">
        <w:t>”</w:t>
      </w:r>
      <w:r>
        <w:t xml:space="preserve"> including </w:t>
      </w:r>
      <w:r w:rsidR="009D3DFF">
        <w:t>“</w:t>
      </w:r>
      <w:r>
        <w:t>how a person experiences democratic citizenship</w:t>
      </w:r>
      <w:r w:rsidR="009D3DFF">
        <w:t>”</w:t>
      </w:r>
      <w:r>
        <w:t xml:space="preserve"> and how they </w:t>
      </w:r>
      <w:r w:rsidR="009D3DFF">
        <w:t>“</w:t>
      </w:r>
      <w:r>
        <w:t xml:space="preserve">articulate how they were actually living </w:t>
      </w:r>
      <w:r w:rsidR="009D3DFF">
        <w:pgNum/>
      </w:r>
      <w:proofErr w:type="spellStart"/>
      <w:r w:rsidR="009D3DFF">
        <w:t>olitics</w:t>
      </w:r>
      <w:proofErr w:type="spellEnd"/>
      <w:r w:rsidR="009D3DFF">
        <w:t>”</w:t>
      </w:r>
    </w:p>
    <w:p w14:paraId="20F55003" w14:textId="2D5E6358" w:rsidR="00275ABD" w:rsidRDefault="00275ABD" w:rsidP="00275ABD">
      <w:pPr>
        <w:pStyle w:val="ListParagraph"/>
        <w:numPr>
          <w:ilvl w:val="3"/>
          <w:numId w:val="1"/>
        </w:numPr>
      </w:pPr>
      <w:r>
        <w:t>- she</w:t>
      </w:r>
      <w:r w:rsidR="009D3DFF">
        <w:t>’</w:t>
      </w:r>
      <w:r>
        <w:t>s explicit that policy design, especially variation, structures people</w:t>
      </w:r>
      <w:r w:rsidR="009D3DFF">
        <w:t>’</w:t>
      </w:r>
      <w:r>
        <w:t xml:space="preserve">s experiences: that one way the </w:t>
      </w:r>
      <w:r w:rsidR="009D3DFF">
        <w:t>“</w:t>
      </w:r>
      <w:r>
        <w:t>structure and design of government programs</w:t>
      </w:r>
      <w:r w:rsidR="009D3DFF">
        <w:t>”</w:t>
      </w:r>
      <w:r>
        <w:t xml:space="preserve"> shapes political behavior is by </w:t>
      </w:r>
      <w:r w:rsidR="009D3DFF">
        <w:t>“</w:t>
      </w:r>
      <w:r>
        <w:t xml:space="preserve">shaping interpretive </w:t>
      </w:r>
      <w:proofErr w:type="spellStart"/>
      <w:r>
        <w:t>shchemas</w:t>
      </w:r>
      <w:proofErr w:type="spellEnd"/>
      <w:r>
        <w:t>.</w:t>
      </w:r>
      <w:r w:rsidR="009D3DFF">
        <w:t>”</w:t>
      </w:r>
    </w:p>
    <w:p w14:paraId="6CD060D9" w14:textId="4D20EF74" w:rsidR="009D3DFF" w:rsidRPr="009D3DFF" w:rsidRDefault="009D3DFF" w:rsidP="00275ABD">
      <w:pPr>
        <w:pStyle w:val="ListParagraph"/>
        <w:numPr>
          <w:ilvl w:val="3"/>
          <w:numId w:val="1"/>
        </w:numPr>
      </w:pPr>
      <w:r>
        <w:rPr>
          <w:rFonts w:ascii="Calibri" w:hAnsi="Calibri" w:cs="Calibri"/>
          <w:sz w:val="22"/>
          <w:szCs w:val="22"/>
        </w:rPr>
        <w:t>Experiences with public policy are not politically neutral. As Michener shows, policy design structures lived experiences, which in turn “convey important political lessons” and shape how individuals “view government and politics” (Michener 2018).</w:t>
      </w:r>
    </w:p>
    <w:p w14:paraId="5EFDED82" w14:textId="77777777" w:rsidR="009D3DFF" w:rsidRPr="009D3DFF" w:rsidRDefault="009D3DFF" w:rsidP="009D3DFF">
      <w:pPr>
        <w:numPr>
          <w:ilvl w:val="3"/>
          <w:numId w:val="1"/>
        </w:numPr>
        <w:spacing w:after="0" w:line="240" w:lineRule="auto"/>
        <w:textAlignment w:val="center"/>
        <w:rPr>
          <w:rFonts w:ascii="Calibri" w:eastAsia="Times New Roman" w:hAnsi="Calibri" w:cs="Calibri"/>
          <w:kern w:val="0"/>
          <w:sz w:val="22"/>
          <w:szCs w:val="22"/>
          <w14:ligatures w14:val="none"/>
        </w:rPr>
      </w:pPr>
      <w:r w:rsidRPr="009D3DFF">
        <w:rPr>
          <w:rFonts w:ascii="Calibri" w:eastAsia="Times New Roman" w:hAnsi="Calibri" w:cs="Calibri"/>
          <w:kern w:val="0"/>
          <w:sz w:val="22"/>
          <w:szCs w:val="22"/>
          <w14:ligatures w14:val="none"/>
        </w:rPr>
        <w:t>“</w:t>
      </w:r>
      <w:proofErr w:type="gramStart"/>
      <w:r w:rsidRPr="009D3DFF">
        <w:rPr>
          <w:rFonts w:ascii="Calibri" w:eastAsia="Times New Roman" w:hAnsi="Calibri" w:cs="Calibri"/>
          <w:kern w:val="0"/>
          <w:sz w:val="22"/>
          <w:szCs w:val="22"/>
          <w14:ligatures w14:val="none"/>
        </w:rPr>
        <w:t>policy</w:t>
      </w:r>
      <w:proofErr w:type="gramEnd"/>
      <w:r w:rsidRPr="009D3DFF">
        <w:rPr>
          <w:rFonts w:ascii="Calibri" w:eastAsia="Times New Roman" w:hAnsi="Calibri" w:cs="Calibri"/>
          <w:kern w:val="0"/>
          <w:sz w:val="22"/>
          <w:szCs w:val="22"/>
          <w14:ligatures w14:val="none"/>
        </w:rPr>
        <w:t xml:space="preserve"> experiences… convey important political lessons” </w:t>
      </w:r>
    </w:p>
    <w:p w14:paraId="4E8D8E36" w14:textId="77777777" w:rsidR="009D3DFF" w:rsidRPr="009D3DFF" w:rsidRDefault="009D3DFF" w:rsidP="009D3DFF">
      <w:pPr>
        <w:numPr>
          <w:ilvl w:val="3"/>
          <w:numId w:val="1"/>
        </w:numPr>
        <w:spacing w:after="0" w:line="240" w:lineRule="auto"/>
        <w:textAlignment w:val="center"/>
        <w:rPr>
          <w:rFonts w:ascii="Calibri" w:eastAsia="Times New Roman" w:hAnsi="Calibri" w:cs="Calibri"/>
          <w:kern w:val="0"/>
          <w:sz w:val="22"/>
          <w:szCs w:val="22"/>
          <w14:ligatures w14:val="none"/>
        </w:rPr>
      </w:pPr>
      <w:r w:rsidRPr="009D3DFF">
        <w:rPr>
          <w:rFonts w:ascii="Calibri" w:eastAsia="Times New Roman" w:hAnsi="Calibri" w:cs="Calibri"/>
          <w:kern w:val="0"/>
          <w:sz w:val="22"/>
          <w:szCs w:val="22"/>
          <w14:ligatures w14:val="none"/>
        </w:rPr>
        <w:t>“</w:t>
      </w:r>
      <w:proofErr w:type="gramStart"/>
      <w:r w:rsidRPr="009D3DFF">
        <w:rPr>
          <w:rFonts w:ascii="Calibri" w:eastAsia="Times New Roman" w:hAnsi="Calibri" w:cs="Calibri"/>
          <w:kern w:val="0"/>
          <w:sz w:val="22"/>
          <w:szCs w:val="22"/>
          <w14:ligatures w14:val="none"/>
        </w:rPr>
        <w:t>beneficiaries</w:t>
      </w:r>
      <w:proofErr w:type="gramEnd"/>
      <w:r w:rsidRPr="009D3DFF">
        <w:rPr>
          <w:rFonts w:ascii="Calibri" w:eastAsia="Times New Roman" w:hAnsi="Calibri" w:cs="Calibri"/>
          <w:kern w:val="0"/>
          <w:sz w:val="22"/>
          <w:szCs w:val="22"/>
          <w14:ligatures w14:val="none"/>
        </w:rPr>
        <w:t xml:space="preserve">… learned that government was inadequate and capricious” </w:t>
      </w:r>
    </w:p>
    <w:p w14:paraId="27957C5E" w14:textId="77777777" w:rsidR="009D3DFF" w:rsidRPr="009D3DFF" w:rsidRDefault="009D3DFF" w:rsidP="009D3DFF">
      <w:pPr>
        <w:numPr>
          <w:ilvl w:val="3"/>
          <w:numId w:val="1"/>
        </w:numPr>
        <w:spacing w:after="0" w:line="240" w:lineRule="auto"/>
        <w:textAlignment w:val="center"/>
        <w:rPr>
          <w:rFonts w:ascii="Calibri" w:eastAsia="Times New Roman" w:hAnsi="Calibri" w:cs="Calibri"/>
          <w:kern w:val="0"/>
          <w:sz w:val="22"/>
          <w:szCs w:val="22"/>
          <w14:ligatures w14:val="none"/>
        </w:rPr>
      </w:pPr>
      <w:r w:rsidRPr="009D3DFF">
        <w:rPr>
          <w:rFonts w:ascii="Calibri" w:eastAsia="Times New Roman" w:hAnsi="Calibri" w:cs="Calibri"/>
          <w:kern w:val="0"/>
          <w:sz w:val="22"/>
          <w:szCs w:val="22"/>
          <w14:ligatures w14:val="none"/>
        </w:rPr>
        <w:t xml:space="preserve">“this ‘education’… has political upshots, shaping the way… beneficiaries view government and politics” </w:t>
      </w:r>
    </w:p>
    <w:p w14:paraId="2CD0F851" w14:textId="77777777" w:rsidR="009D3DFF" w:rsidRPr="009D3DFF" w:rsidRDefault="009D3DFF" w:rsidP="009D3DFF">
      <w:pPr>
        <w:numPr>
          <w:ilvl w:val="3"/>
          <w:numId w:val="1"/>
        </w:numPr>
        <w:spacing w:after="0" w:line="240" w:lineRule="auto"/>
        <w:textAlignment w:val="center"/>
        <w:rPr>
          <w:rFonts w:ascii="Calibri" w:eastAsia="Times New Roman" w:hAnsi="Calibri" w:cs="Calibri"/>
          <w:kern w:val="0"/>
          <w:sz w:val="22"/>
          <w:szCs w:val="22"/>
          <w14:ligatures w14:val="none"/>
        </w:rPr>
      </w:pPr>
      <w:r w:rsidRPr="009D3DFF">
        <w:rPr>
          <w:rFonts w:ascii="Calibri" w:eastAsia="Times New Roman" w:hAnsi="Calibri" w:cs="Calibri"/>
          <w:kern w:val="0"/>
          <w:sz w:val="22"/>
          <w:szCs w:val="22"/>
          <w14:ligatures w14:val="none"/>
        </w:rPr>
        <w:t>“</w:t>
      </w:r>
      <w:proofErr w:type="gramStart"/>
      <w:r w:rsidRPr="009D3DFF">
        <w:rPr>
          <w:rFonts w:ascii="Calibri" w:eastAsia="Times New Roman" w:hAnsi="Calibri" w:cs="Calibri"/>
          <w:kern w:val="0"/>
          <w:sz w:val="22"/>
          <w:szCs w:val="22"/>
          <w14:ligatures w14:val="none"/>
        </w:rPr>
        <w:t>the</w:t>
      </w:r>
      <w:proofErr w:type="gramEnd"/>
      <w:r w:rsidRPr="009D3DFF">
        <w:rPr>
          <w:rFonts w:ascii="Calibri" w:eastAsia="Times New Roman" w:hAnsi="Calibri" w:cs="Calibri"/>
          <w:kern w:val="0"/>
          <w:sz w:val="22"/>
          <w:szCs w:val="22"/>
          <w14:ligatures w14:val="none"/>
        </w:rPr>
        <w:t xml:space="preserve"> geographic inequalities induced by… design have… consequences for the political health of low-income populations” </w:t>
      </w:r>
    </w:p>
    <w:p w14:paraId="67D310EB" w14:textId="77777777" w:rsidR="009D3DFF" w:rsidRPr="009D3DFF" w:rsidRDefault="009D3DFF" w:rsidP="009D3DFF">
      <w:pPr>
        <w:numPr>
          <w:ilvl w:val="3"/>
          <w:numId w:val="1"/>
        </w:numPr>
        <w:spacing w:after="0" w:line="240" w:lineRule="auto"/>
        <w:textAlignment w:val="center"/>
        <w:rPr>
          <w:rFonts w:ascii="Calibri" w:eastAsia="Times New Roman" w:hAnsi="Calibri" w:cs="Calibri"/>
          <w:kern w:val="0"/>
          <w:sz w:val="22"/>
          <w:szCs w:val="22"/>
          <w14:ligatures w14:val="none"/>
        </w:rPr>
      </w:pPr>
      <w:r w:rsidRPr="009D3DFF">
        <w:rPr>
          <w:rFonts w:ascii="Calibri" w:eastAsia="Times New Roman" w:hAnsi="Calibri" w:cs="Calibri"/>
          <w:kern w:val="0"/>
          <w:sz w:val="22"/>
          <w:szCs w:val="22"/>
          <w14:ligatures w14:val="none"/>
        </w:rPr>
        <w:t>“</w:t>
      </w:r>
      <w:proofErr w:type="gramStart"/>
      <w:r w:rsidRPr="009D3DFF">
        <w:rPr>
          <w:rFonts w:ascii="Calibri" w:eastAsia="Times New Roman" w:hAnsi="Calibri" w:cs="Calibri"/>
          <w:kern w:val="0"/>
          <w:sz w:val="22"/>
          <w:szCs w:val="22"/>
          <w14:ligatures w14:val="none"/>
        </w:rPr>
        <w:t>policy</w:t>
      </w:r>
      <w:proofErr w:type="gramEnd"/>
      <w:r w:rsidRPr="009D3DFF">
        <w:rPr>
          <w:rFonts w:ascii="Calibri" w:eastAsia="Times New Roman" w:hAnsi="Calibri" w:cs="Calibri"/>
          <w:kern w:val="0"/>
          <w:sz w:val="22"/>
          <w:szCs w:val="22"/>
          <w14:ligatures w14:val="none"/>
        </w:rPr>
        <w:t xml:space="preserve">-based resources may have very different political effects” </w:t>
      </w:r>
    </w:p>
    <w:p w14:paraId="5A8CD0E4" w14:textId="1E40B5DC" w:rsidR="009D3DFF" w:rsidRDefault="009D3DFF" w:rsidP="009D3DFF">
      <w:pPr>
        <w:pStyle w:val="ListParagraph"/>
        <w:numPr>
          <w:ilvl w:val="0"/>
          <w:numId w:val="1"/>
        </w:numPr>
      </w:pPr>
      <w:r>
        <w:t>4. Carceral state contact is an extremely formative, life altering experience</w:t>
      </w:r>
    </w:p>
    <w:p w14:paraId="53C0B403" w14:textId="356DBE25" w:rsidR="009D3DFF" w:rsidRDefault="009D3DFF" w:rsidP="009D3DFF">
      <w:pPr>
        <w:pStyle w:val="ListParagraph"/>
        <w:numPr>
          <w:ilvl w:val="0"/>
          <w:numId w:val="1"/>
        </w:numPr>
      </w:pPr>
      <w:r>
        <w:t>5. Why I expect carceral contact to be [negative] for direct contact</w:t>
      </w:r>
    </w:p>
    <w:p w14:paraId="7B8B6E0B" w14:textId="43A9737B" w:rsidR="009D3DFF" w:rsidRDefault="009D3DFF" w:rsidP="009D3DFF">
      <w:pPr>
        <w:pStyle w:val="ListParagraph"/>
        <w:numPr>
          <w:ilvl w:val="0"/>
          <w:numId w:val="1"/>
        </w:numPr>
      </w:pPr>
      <w:r>
        <w:t xml:space="preserve">6. Moreover, experience extends past the self to those proximally impacted: why we should also expect their experiences to. . . </w:t>
      </w:r>
    </w:p>
    <w:p w14:paraId="23C6BAD5" w14:textId="42AB9D08" w:rsidR="009D3DFF" w:rsidRDefault="009D3DFF" w:rsidP="009D3DFF">
      <w:pPr>
        <w:pStyle w:val="ListParagraph"/>
        <w:numPr>
          <w:ilvl w:val="1"/>
          <w:numId w:val="1"/>
        </w:numPr>
      </w:pPr>
      <w:r>
        <w:t>Shape orientations in the same ways as ppl who experience direct</w:t>
      </w:r>
    </w:p>
    <w:p w14:paraId="63041F8E" w14:textId="214B5784" w:rsidR="009D3DFF" w:rsidRDefault="009D3DFF" w:rsidP="009D3DFF">
      <w:pPr>
        <w:pStyle w:val="ListParagraph"/>
        <w:numPr>
          <w:ilvl w:val="0"/>
          <w:numId w:val="1"/>
        </w:numPr>
      </w:pPr>
      <w:r>
        <w:t>7. Victimized people</w:t>
      </w:r>
    </w:p>
    <w:p w14:paraId="78991D13" w14:textId="672C19A1" w:rsidR="009D3DFF" w:rsidRDefault="009D3DFF" w:rsidP="009D3DFF">
      <w:pPr>
        <w:pStyle w:val="ListParagraph"/>
        <w:numPr>
          <w:ilvl w:val="0"/>
          <w:numId w:val="1"/>
        </w:numPr>
      </w:pPr>
      <w:r>
        <w:t xml:space="preserve">8. Expectations. </w:t>
      </w:r>
    </w:p>
    <w:sectPr w:rsidR="009D3D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A7C52"/>
    <w:multiLevelType w:val="multilevel"/>
    <w:tmpl w:val="2C50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F67691"/>
    <w:multiLevelType w:val="hybridMultilevel"/>
    <w:tmpl w:val="EB5CC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90568">
    <w:abstractNumId w:val="1"/>
  </w:num>
  <w:num w:numId="2" w16cid:durableId="316033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BD"/>
    <w:rsid w:val="001029B5"/>
    <w:rsid w:val="001554D9"/>
    <w:rsid w:val="00275ABD"/>
    <w:rsid w:val="003A5267"/>
    <w:rsid w:val="008C2728"/>
    <w:rsid w:val="009D3DFF"/>
    <w:rsid w:val="00B4476B"/>
    <w:rsid w:val="00E72E17"/>
    <w:rsid w:val="00EB1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CE7246"/>
  <w15:chartTrackingRefBased/>
  <w15:docId w15:val="{91B2E0CC-CEBC-2D41-8350-50BB5F792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ABD"/>
    <w:rPr>
      <w:rFonts w:eastAsiaTheme="majorEastAsia" w:cstheme="majorBidi"/>
      <w:color w:val="272727" w:themeColor="text1" w:themeTint="D8"/>
    </w:rPr>
  </w:style>
  <w:style w:type="paragraph" w:styleId="Title">
    <w:name w:val="Title"/>
    <w:basedOn w:val="Normal"/>
    <w:next w:val="Normal"/>
    <w:link w:val="TitleChar"/>
    <w:uiPriority w:val="10"/>
    <w:qFormat/>
    <w:rsid w:val="00275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ABD"/>
    <w:pPr>
      <w:spacing w:before="160"/>
      <w:jc w:val="center"/>
    </w:pPr>
    <w:rPr>
      <w:i/>
      <w:iCs/>
      <w:color w:val="404040" w:themeColor="text1" w:themeTint="BF"/>
    </w:rPr>
  </w:style>
  <w:style w:type="character" w:customStyle="1" w:styleId="QuoteChar">
    <w:name w:val="Quote Char"/>
    <w:basedOn w:val="DefaultParagraphFont"/>
    <w:link w:val="Quote"/>
    <w:uiPriority w:val="29"/>
    <w:rsid w:val="00275ABD"/>
    <w:rPr>
      <w:i/>
      <w:iCs/>
      <w:color w:val="404040" w:themeColor="text1" w:themeTint="BF"/>
    </w:rPr>
  </w:style>
  <w:style w:type="paragraph" w:styleId="ListParagraph">
    <w:name w:val="List Paragraph"/>
    <w:basedOn w:val="Normal"/>
    <w:uiPriority w:val="34"/>
    <w:qFormat/>
    <w:rsid w:val="00275ABD"/>
    <w:pPr>
      <w:ind w:left="720"/>
      <w:contextualSpacing/>
    </w:pPr>
  </w:style>
  <w:style w:type="character" w:styleId="IntenseEmphasis">
    <w:name w:val="Intense Emphasis"/>
    <w:basedOn w:val="DefaultParagraphFont"/>
    <w:uiPriority w:val="21"/>
    <w:qFormat/>
    <w:rsid w:val="00275ABD"/>
    <w:rPr>
      <w:i/>
      <w:iCs/>
      <w:color w:val="0F4761" w:themeColor="accent1" w:themeShade="BF"/>
    </w:rPr>
  </w:style>
  <w:style w:type="paragraph" w:styleId="IntenseQuote">
    <w:name w:val="Intense Quote"/>
    <w:basedOn w:val="Normal"/>
    <w:next w:val="Normal"/>
    <w:link w:val="IntenseQuoteChar"/>
    <w:uiPriority w:val="30"/>
    <w:qFormat/>
    <w:rsid w:val="00275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ABD"/>
    <w:rPr>
      <w:i/>
      <w:iCs/>
      <w:color w:val="0F4761" w:themeColor="accent1" w:themeShade="BF"/>
    </w:rPr>
  </w:style>
  <w:style w:type="character" w:styleId="IntenseReference">
    <w:name w:val="Intense Reference"/>
    <w:basedOn w:val="DefaultParagraphFont"/>
    <w:uiPriority w:val="32"/>
    <w:qFormat/>
    <w:rsid w:val="00275A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1472</Words>
  <Characters>4906</Characters>
  <Application>Microsoft Office Word</Application>
  <DocSecurity>0</DocSecurity>
  <Lines>490</Lines>
  <Paragraphs>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2026-04-01T23:28:00Z</dcterms:created>
  <dcterms:modified xsi:type="dcterms:W3CDTF">2026-04-02T00:23:00Z</dcterms:modified>
</cp:coreProperties>
</file>