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AC2E5" w14:textId="0FA73F6C" w:rsidR="001554D9" w:rsidRPr="000C1DEC" w:rsidRDefault="000C1DEC">
      <w:pPr>
        <w:rPr>
          <w:b/>
          <w:bCs/>
        </w:rPr>
      </w:pPr>
      <w:r w:rsidRPr="000C1DEC">
        <w:rPr>
          <w:b/>
          <w:bCs/>
        </w:rPr>
        <w:t>INTRO</w:t>
      </w:r>
    </w:p>
    <w:p w14:paraId="789CD385" w14:textId="77777777" w:rsidR="000C1DEC" w:rsidRDefault="000C1DEC" w:rsidP="000C1DEC">
      <w:r>
        <w:t>\</w:t>
      </w:r>
      <w:proofErr w:type="gramStart"/>
      <w:r>
        <w:t>note{</w:t>
      </w:r>
      <w:proofErr w:type="gramEnd"/>
    </w:p>
    <w:p w14:paraId="336B88C8" w14:textId="77777777" w:rsidR="000C1DEC" w:rsidRDefault="000C1DEC" w:rsidP="000C1DEC">
      <w:r>
        <w:t xml:space="preserve">So, first thing: thank you so much for being here, taking the time to look at my not-abbreviated document, and for your efforts. Different people have asked who's on my committee in recent days, and all -- including Bernard Fraga yesterday over breakfast made a point of saying what a great group this is. I promise I am not trying to sweeten the pot here, but it has felt so good to hear -- again, including from Bernard -- that this not just an intellectually very cool arrangement, but a nice group of people. Feel free to prove them wrong. </w:t>
      </w:r>
    </w:p>
    <w:p w14:paraId="3F6B370D" w14:textId="77777777" w:rsidR="000C1DEC" w:rsidRDefault="000C1DEC" w:rsidP="000C1DEC"/>
    <w:p w14:paraId="0F2BB1C3" w14:textId="77777777" w:rsidR="000C1DEC" w:rsidRDefault="000C1DEC" w:rsidP="000C1DEC">
      <w:r>
        <w:t xml:space="preserve">Alright -- 9 minutes. </w:t>
      </w:r>
    </w:p>
    <w:p w14:paraId="0691FFED" w14:textId="1A4F369F" w:rsidR="000C1DEC" w:rsidRDefault="000C1DEC" w:rsidP="000C1DEC">
      <w:r>
        <w:t>}</w:t>
      </w:r>
    </w:p>
    <w:p w14:paraId="51E17668" w14:textId="612E33AF" w:rsidR="000C1DEC" w:rsidRPr="000C1DEC" w:rsidRDefault="000C1DEC" w:rsidP="000C1DEC">
      <w:pPr>
        <w:rPr>
          <w:b/>
          <w:bCs/>
        </w:rPr>
      </w:pPr>
      <w:r w:rsidRPr="000C1DEC">
        <w:rPr>
          <w:b/>
          <w:bCs/>
        </w:rPr>
        <w:t>QUESTIONS</w:t>
      </w:r>
    </w:p>
    <w:p w14:paraId="716C65AD" w14:textId="77777777" w:rsidR="000C1DEC" w:rsidRDefault="000C1DEC" w:rsidP="000C1DEC">
      <w:r>
        <w:t>\</w:t>
      </w:r>
      <w:proofErr w:type="gramStart"/>
      <w:r>
        <w:t>note{</w:t>
      </w:r>
      <w:proofErr w:type="gramEnd"/>
    </w:p>
    <w:p w14:paraId="668589BE" w14:textId="77777777" w:rsidR="000C1DEC" w:rsidRDefault="000C1DEC" w:rsidP="000C1DEC">
      <w:proofErr w:type="gramStart"/>
      <w:r>
        <w:t>So</w:t>
      </w:r>
      <w:proofErr w:type="gramEnd"/>
      <w:r>
        <w:t xml:space="preserve"> in this project, I'm interested in representation and the carceral state -- or how populations impacted by the carceral state are represented in the democratic institutions that govern them. </w:t>
      </w:r>
    </w:p>
    <w:p w14:paraId="2C0238FB" w14:textId="77777777" w:rsidR="000C1DEC" w:rsidRDefault="000C1DEC" w:rsidP="000C1DEC"/>
    <w:p w14:paraId="6C50D1CB" w14:textId="77777777" w:rsidR="000C1DEC" w:rsidRDefault="000C1DEC" w:rsidP="000C1DEC">
      <w:r>
        <w:t xml:space="preserve">More specifically, I am interested in how democratic representation -- state legislatures, in particular -- responds to, or whether it </w:t>
      </w:r>
      <w:proofErr w:type="gramStart"/>
      <w:r>
        <w:t>includes,</w:t>
      </w:r>
      <w:proofErr w:type="gramEnd"/>
      <w:r>
        <w:t xml:space="preserve"> the political knowledge of </w:t>
      </w:r>
      <w:proofErr w:type="spellStart"/>
      <w:r>
        <w:t>carcerally</w:t>
      </w:r>
      <w:proofErr w:type="spellEnd"/>
      <w:r>
        <w:t xml:space="preserve">-impacted populations. This requires first asking how lived experiences with the carceral state shapes political knowledge. </w:t>
      </w:r>
    </w:p>
    <w:p w14:paraId="738D4610" w14:textId="77777777" w:rsidR="000C1DEC" w:rsidRDefault="000C1DEC" w:rsidP="000C1DEC"/>
    <w:p w14:paraId="0DC5D49E" w14:textId="77777777" w:rsidR="000C1DEC" w:rsidRDefault="000C1DEC" w:rsidP="000C1DEC">
      <w:r>
        <w:t>Ultimately, I understand this project to be about whose knowledge counts in democratic representation, whether populations most governed are included as political knowers, and what happens when they are not.</w:t>
      </w:r>
    </w:p>
    <w:p w14:paraId="797A6E29" w14:textId="77777777" w:rsidR="000C1DEC" w:rsidRDefault="000C1DEC" w:rsidP="000C1DEC">
      <w:r>
        <w:t>}</w:t>
      </w:r>
    </w:p>
    <w:p w14:paraId="68E12702" w14:textId="77777777" w:rsidR="000C1DEC" w:rsidRDefault="000C1DEC" w:rsidP="000C1DEC">
      <w:r>
        <w:t>\end{frame}</w:t>
      </w:r>
    </w:p>
    <w:p w14:paraId="3EF0396F" w14:textId="77777777" w:rsidR="000C1DEC" w:rsidRDefault="000C1DEC" w:rsidP="000C1DEC"/>
    <w:p w14:paraId="1FDA75D4" w14:textId="183606EE" w:rsidR="000C1DEC" w:rsidRPr="000C1DEC" w:rsidRDefault="000C1DEC" w:rsidP="000C1DEC">
      <w:pPr>
        <w:rPr>
          <w:b/>
          <w:bCs/>
        </w:rPr>
      </w:pPr>
      <w:r w:rsidRPr="000C1DEC">
        <w:rPr>
          <w:b/>
          <w:bCs/>
        </w:rPr>
        <w:t>THEORY</w:t>
      </w:r>
    </w:p>
    <w:p w14:paraId="082FCA73" w14:textId="77777777" w:rsidR="000C1DEC" w:rsidRDefault="000C1DEC" w:rsidP="000C1DEC"/>
    <w:p w14:paraId="00C7894C" w14:textId="77777777" w:rsidR="000C1DEC" w:rsidRDefault="000C1DEC" w:rsidP="000C1DEC">
      <w:r>
        <w:t>\</w:t>
      </w:r>
      <w:proofErr w:type="gramStart"/>
      <w:r>
        <w:t>note{</w:t>
      </w:r>
      <w:proofErr w:type="gramEnd"/>
    </w:p>
    <w:p w14:paraId="01EAE288" w14:textId="77777777" w:rsidR="000C1DEC" w:rsidRDefault="000C1DEC" w:rsidP="000C1DEC">
      <w:r>
        <w:t>One inroad to understanding representation is descriptive representation — the degree to which legislatures share characteristics with constituencies. Communities most impacted by policing and incarceration are those same populations scholarship on DR has established remain underrepresented in legislatures. Formal and informal exclusion from the electorate compounds this: an estimated 4 million people were excluded from 2024 elections through de jure disenfranchisement.</w:t>
      </w:r>
    </w:p>
    <w:p w14:paraId="2B013E8B" w14:textId="77777777" w:rsidR="000C1DEC" w:rsidRDefault="000C1DEC" w:rsidP="000C1DEC"/>
    <w:p w14:paraId="69C9363E" w14:textId="77777777" w:rsidR="000C1DEC" w:rsidRDefault="000C1DEC" w:rsidP="000C1DEC">
      <w:r>
        <w:t xml:space="preserve">Why would this matter? Descriptive representation is associated with substantive responsiveness, service responsiveness, and symbolic representation. These effects compound: service discrimination doesn't just deny </w:t>
      </w:r>
      <w:proofErr w:type="gramStart"/>
      <w:r>
        <w:t>help,</w:t>
      </w:r>
      <w:proofErr w:type="gramEnd"/>
      <w:r>
        <w:t xml:space="preserve"> it participates in constructing a constituency that is less likely to seek help or trust institutions. </w:t>
      </w:r>
      <w:proofErr w:type="gramStart"/>
      <w:r>
        <w:t>So</w:t>
      </w:r>
      <w:proofErr w:type="gramEnd"/>
      <w:r>
        <w:t xml:space="preserve"> the pipeline from descriptive underrepresentation to civic exclusion is not just a downstream policy story — it's a story about constituency formation itself.</w:t>
      </w:r>
    </w:p>
    <w:p w14:paraId="6732CE9C" w14:textId="77777777" w:rsidR="000C1DEC" w:rsidRDefault="000C1DEC" w:rsidP="000C1DEC"/>
    <w:p w14:paraId="232D365A" w14:textId="77777777" w:rsidR="000C1DEC" w:rsidRDefault="000C1DEC" w:rsidP="000C1DEC">
      <w:r>
        <w:t>But I think the carceral case may be distinct in ways the standard framework doesn't fully capture, and this is where I'd genuinely welcome feedback.</w:t>
      </w:r>
    </w:p>
    <w:p w14:paraId="188AE1F4" w14:textId="77777777" w:rsidR="000C1DEC" w:rsidRDefault="000C1DEC" w:rsidP="000C1DEC"/>
    <w:p w14:paraId="230B1D84" w14:textId="77777777" w:rsidR="000C1DEC" w:rsidRDefault="000C1DEC" w:rsidP="000C1DEC">
      <w:r>
        <w:t xml:space="preserve">The first move is about qualitative variation within representation. A policy can nominally reflect carceral interests while </w:t>
      </w:r>
      <w:proofErr w:type="gramStart"/>
      <w:r>
        <w:t>actually encoding</w:t>
      </w:r>
      <w:proofErr w:type="gramEnd"/>
      <w:r>
        <w:t xml:space="preserve"> the preferences of other constituencies — what Eckhouse calls selective hearing. A floor speech can name incarcerated people while performing distance from them. The question isn't just whether they appear in legislative discourse but on what terms.</w:t>
      </w:r>
    </w:p>
    <w:p w14:paraId="7C781C8D" w14:textId="77777777" w:rsidR="000C1DEC" w:rsidRDefault="000C1DEC" w:rsidP="000C1DEC"/>
    <w:p w14:paraId="26EC57FE" w14:textId="77777777" w:rsidR="000C1DEC" w:rsidRDefault="000C1DEC" w:rsidP="000C1DEC">
      <w:r>
        <w:t>The second move is about epistemic exclusion. Pottle argues that electoral incentives give legislators structural reasons to orient their rhetoric toward electorally valuable constituencies — and that for groups at the bottom of this hierarchy, the problem isn't only reduced influence but that their experiences may not be intelligible within the dominant vocabulary of legislative discourse at all. Fricker's hermeneutical injustice captures the prior-stage version of this: gaps in interpretive resources mean carceral citizens' knowledge doesn't just go unheard — it appears, from within mainstream discourse, as though it isn't political knowledge in the first place.</w:t>
      </w:r>
    </w:p>
    <w:p w14:paraId="53F86E09" w14:textId="77777777" w:rsidR="000C1DEC" w:rsidRDefault="000C1DEC" w:rsidP="000C1DEC"/>
    <w:p w14:paraId="7CA22309" w14:textId="77777777" w:rsidR="000C1DEC" w:rsidRDefault="000C1DEC" w:rsidP="000C1DEC">
      <w:r>
        <w:t>Third, proximate or surrogate representatives have historically filled gaps for low-resource constituencies — Miler shows this for poor constituencies, for example. But in the carceral case, I think legislators who might serve that function face particular pressure to distance from stigmatized issues. Stephens-Dougan's work on deracialization is relevant here. Descriptive proximity doesn't straightforwardly translate into epistemic inclusion.</w:t>
      </w:r>
    </w:p>
    <w:p w14:paraId="73271351" w14:textId="77777777" w:rsidR="000C1DEC" w:rsidRDefault="000C1DEC" w:rsidP="000C1DEC"/>
    <w:p w14:paraId="3D1CFECA" w14:textId="77777777" w:rsidR="000C1DEC" w:rsidRDefault="000C1DEC" w:rsidP="000C1DEC">
      <w:r>
        <w:t>These three moves together generate the expectations that structure the empirical chapters — and the third is the one I'm most uncertain about and would most welcome pushback on.</w:t>
      </w:r>
    </w:p>
    <w:p w14:paraId="1C6768AC" w14:textId="77777777" w:rsidR="000C1DEC" w:rsidRDefault="000C1DEC" w:rsidP="000C1DEC">
      <w:r>
        <w:t>}</w:t>
      </w:r>
    </w:p>
    <w:p w14:paraId="52E1333B" w14:textId="4627476E" w:rsidR="000C1DEC" w:rsidRDefault="000C1DEC" w:rsidP="000C1DEC">
      <w:r>
        <w:t>\end{frame}</w:t>
      </w:r>
    </w:p>
    <w:p w14:paraId="76807CF4" w14:textId="5A1260C5" w:rsidR="000C1DEC" w:rsidRPr="000C1DEC" w:rsidRDefault="000C1DEC" w:rsidP="000C1DEC">
      <w:pPr>
        <w:rPr>
          <w:b/>
          <w:bCs/>
        </w:rPr>
      </w:pPr>
      <w:r>
        <w:rPr>
          <w:b/>
          <w:bCs/>
        </w:rPr>
        <w:t>Chapter 1 slide 1</w:t>
      </w:r>
    </w:p>
    <w:p w14:paraId="4FE197E8" w14:textId="5E68D356" w:rsidR="000C1DEC" w:rsidRDefault="000C1DEC" w:rsidP="000C1DEC">
      <w:r>
        <w:t>\</w:t>
      </w:r>
      <w:proofErr w:type="gramStart"/>
      <w:r>
        <w:t>note{</w:t>
      </w:r>
      <w:proofErr w:type="gramEnd"/>
    </w:p>
    <w:p w14:paraId="1C8D8F00" w14:textId="77777777" w:rsidR="000C1DEC" w:rsidRDefault="000C1DEC" w:rsidP="000C1DEC">
      <w:r>
        <w:t xml:space="preserve">I see the first step as establishing whether 'carceral constituencies' should be treated as such. </w:t>
      </w:r>
      <w:proofErr w:type="gramStart"/>
      <w:r>
        <w:t>So</w:t>
      </w:r>
      <w:proofErr w:type="gramEnd"/>
      <w:r>
        <w:t xml:space="preserve"> in the first chapter, I ask whether carceral contact produces distinct, durable political orientations.</w:t>
      </w:r>
    </w:p>
    <w:p w14:paraId="7DB3C62B" w14:textId="77777777" w:rsidR="000C1DEC" w:rsidRDefault="000C1DEC" w:rsidP="000C1DEC"/>
    <w:p w14:paraId="74C65149" w14:textId="77777777" w:rsidR="000C1DEC" w:rsidRDefault="000C1DEC" w:rsidP="000C1DEC">
      <w:r>
        <w:t>Because of policy feedback mechanisms — institutional mistrust, policy learning, interpretive effects of sustained carceral exposure — I expect H1. The gradient should run by contact intensity: direct incarceration produces the most formative encounter, proximal contact is still meaningful, and both should diverge from non-impacted respondents.</w:t>
      </w:r>
    </w:p>
    <w:p w14:paraId="77294C7C" w14:textId="77777777" w:rsidR="000C1DEC" w:rsidRDefault="000C1DEC" w:rsidP="000C1DEC"/>
    <w:p w14:paraId="066831B4" w14:textId="77777777" w:rsidR="000C1DEC" w:rsidRDefault="000C1DEC" w:rsidP="000C1DEC">
      <w:r>
        <w:t xml:space="preserve">H2 is the less obvious bet. Political and policy discourse frames victim and carceral constituency interests as opposed. But these groups overlap substantially — most victims know their offender, and incarcerated people are disproportionately prior victims themselves. People who've been victimized also experience the system directly, and there's reason to think that generates skepticism of how policy constructs carceral citizens, even if it also produces some punitive sentiment. </w:t>
      </w:r>
      <w:proofErr w:type="gramStart"/>
      <w:r>
        <w:t>So</w:t>
      </w:r>
      <w:proofErr w:type="gramEnd"/>
      <w:r>
        <w:t xml:space="preserve"> I expect victims to look more like impacted groups than like non-impacted respondents on average, even if with more heterogeneity.</w:t>
      </w:r>
    </w:p>
    <w:p w14:paraId="5CF8270A" w14:textId="66477538" w:rsidR="000C1DEC" w:rsidRDefault="000C1DEC" w:rsidP="000C1DEC">
      <w:r>
        <w:t>}</w:t>
      </w:r>
    </w:p>
    <w:p w14:paraId="5F888C78" w14:textId="21A91020" w:rsidR="000C1DEC" w:rsidRPr="000C1DEC" w:rsidRDefault="000C1DEC" w:rsidP="000C1DEC">
      <w:pPr>
        <w:rPr>
          <w:b/>
          <w:bCs/>
        </w:rPr>
      </w:pPr>
      <w:r w:rsidRPr="000C1DEC">
        <w:rPr>
          <w:b/>
          <w:bCs/>
        </w:rPr>
        <w:lastRenderedPageBreak/>
        <w:t xml:space="preserve">CHAPTER 1 SLIDE </w:t>
      </w:r>
      <w:r>
        <w:rPr>
          <w:b/>
          <w:bCs/>
        </w:rPr>
        <w:t>2</w:t>
      </w:r>
    </w:p>
    <w:p w14:paraId="4F7EC241" w14:textId="77777777" w:rsidR="000C1DEC" w:rsidRDefault="000C1DEC" w:rsidP="000C1DEC">
      <w:r>
        <w:t>\</w:t>
      </w:r>
      <w:proofErr w:type="gramStart"/>
      <w:r>
        <w:t>note{</w:t>
      </w:r>
      <w:proofErr w:type="gramEnd"/>
    </w:p>
    <w:p w14:paraId="4CEF1007" w14:textId="77777777" w:rsidR="000C1DEC" w:rsidRDefault="000C1DEC" w:rsidP="000C1DEC">
      <w:r>
        <w:t>The survey asks participants about their carceral experiences across three types of contact. These aren't mutually exclusive — many directly incarcerated respondents also know others who have been incarcerated. About 38 percent of the sample reports some form of contact, and that contact is racially localized: 46 percent of Black respondents are impacted, compared to 34 percent of white respondents.</w:t>
      </w:r>
    </w:p>
    <w:p w14:paraId="0A46C346" w14:textId="77777777" w:rsidR="000C1DEC" w:rsidRDefault="000C1DEC" w:rsidP="000C1DEC"/>
    <w:p w14:paraId="57BE0907" w14:textId="77777777" w:rsidR="000C1DEC" w:rsidRDefault="000C1DEC" w:rsidP="000C1DEC">
      <w:r>
        <w:t>Primary outcomes are two policy indices — help-oriented and punitive — and a deservingness battery using a 0-to-100 sliding scale for three carceral targets.</w:t>
      </w:r>
    </w:p>
    <w:p w14:paraId="306D3F04" w14:textId="77777777" w:rsidR="000C1DEC" w:rsidRDefault="000C1DEC" w:rsidP="000C1DEC"/>
    <w:p w14:paraId="6A173E63" w14:textId="77777777" w:rsidR="000C1DEC" w:rsidRDefault="000C1DEC" w:rsidP="000C1DEC">
      <w:r>
        <w:t>The three-wave design lets me tell a progressively demanding story. The bivariate results establish the baseline pattern. Demographic controls let me rule out compositional explanations. The full attitudinal wave — which includes ideology, racial attitudes, and a generalized deservingness orientation composite — is the hardest test: does contact predict distinct orientations beyond everything else we might expect it to be a proxy for?</w:t>
      </w:r>
    </w:p>
    <w:p w14:paraId="18C1562D" w14:textId="77777777" w:rsidR="000C1DEC" w:rsidRDefault="000C1DEC" w:rsidP="000C1DEC">
      <w:r>
        <w:t>}</w:t>
      </w:r>
    </w:p>
    <w:p w14:paraId="5E668125" w14:textId="4C13B9A3" w:rsidR="000C1DEC" w:rsidRDefault="000C1DEC" w:rsidP="000C1DEC">
      <w:r>
        <w:t>\end{frame}</w:t>
      </w:r>
    </w:p>
    <w:p w14:paraId="558D9038" w14:textId="77777777" w:rsidR="000C1DEC" w:rsidRDefault="000C1DEC" w:rsidP="000C1DEC"/>
    <w:p w14:paraId="3852F44C" w14:textId="5FAAF430" w:rsidR="000C1DEC" w:rsidRDefault="000C1DEC" w:rsidP="000C1DEC">
      <w:r>
        <w:t>CHAPTER 1 SLIDE 2</w:t>
      </w:r>
    </w:p>
    <w:p w14:paraId="4F91EC96" w14:textId="77777777" w:rsidR="000C1DEC" w:rsidRDefault="000C1DEC" w:rsidP="000C1DEC"/>
    <w:p w14:paraId="5AFF378E" w14:textId="77777777" w:rsidR="000C1DEC" w:rsidRDefault="000C1DEC" w:rsidP="000C1DEC">
      <w:r>
        <w:t>\</w:t>
      </w:r>
      <w:proofErr w:type="gramStart"/>
      <w:r>
        <w:t>note{</w:t>
      </w:r>
      <w:proofErr w:type="gramEnd"/>
    </w:p>
    <w:p w14:paraId="0C031D67" w14:textId="77777777" w:rsidR="000C1DEC" w:rsidRDefault="000C1DEC" w:rsidP="000C1DEC">
      <w:r>
        <w:t>The central finding is that contact effects do not attenuate — if anything, they sharpen once the full attitudinal battery is in. This is the most demanding test I can run with these data, and contact survives it. That rules out the most obvious alternative explanations: these aren't just Democrats, they're not just people with sympathetic racial attitudes, they're not just people with generally warm orientations toward stigmatized groups.</w:t>
      </w:r>
    </w:p>
    <w:p w14:paraId="6E8BB196" w14:textId="77777777" w:rsidR="000C1DEC" w:rsidRDefault="000C1DEC" w:rsidP="000C1DEC"/>
    <w:p w14:paraId="0028B80A" w14:textId="77777777" w:rsidR="000C1DEC" w:rsidRDefault="000C1DEC" w:rsidP="000C1DEC">
      <w:r>
        <w:t>The asymmetry between help and punitive effects is substantively important and not an artifact. It means the political orientation I'm documenting isn't about being anti-</w:t>
      </w:r>
      <w:r>
        <w:lastRenderedPageBreak/>
        <w:t>punishment — it's a specific reorientation toward assistance, inclusion, and ameliorative policy. That's a theoretically meaningful distinction for what follows.</w:t>
      </w:r>
    </w:p>
    <w:p w14:paraId="3529045E" w14:textId="77777777" w:rsidR="000C1DEC" w:rsidRDefault="000C1DEC" w:rsidP="000C1DEC"/>
    <w:p w14:paraId="01994E7D" w14:textId="77777777" w:rsidR="000C1DEC" w:rsidRDefault="000C1DEC" w:rsidP="000C1DEC">
      <w:r>
        <w:t>H2 gets partial support. Victims look like other impacted groups on help policy — which is the surprising and theoretically important result. They don't follow through on punitiveness or deservingness, which makes sense given heterogeneity in victimization experience. But the headline is that they don't simply oppose carceral constituency interests.</w:t>
      </w:r>
    </w:p>
    <w:p w14:paraId="7164C615" w14:textId="77777777" w:rsidR="000C1DEC" w:rsidRDefault="000C1DEC" w:rsidP="000C1DEC"/>
    <w:p w14:paraId="42100812" w14:textId="77777777" w:rsidR="000C1DEC" w:rsidRDefault="000C1DEC" w:rsidP="000C1DEC">
      <w:r>
        <w:t>Taken together, I take this as affirmative evidence that carceral constituencies are epistemic subjects — they hold coherent, durable, experientially grounded orientations that are directly relevant to the policy domain that governs them. That's the foundation for the representational question.</w:t>
      </w:r>
    </w:p>
    <w:p w14:paraId="7FA82DDD" w14:textId="7C1263E4" w:rsidR="000C1DEC" w:rsidRDefault="000C1DEC" w:rsidP="000C1DEC">
      <w:r>
        <w:t>}</w:t>
      </w:r>
    </w:p>
    <w:p w14:paraId="55198A16" w14:textId="77777777" w:rsidR="000C1DEC" w:rsidRDefault="000C1DEC" w:rsidP="000C1DEC"/>
    <w:p w14:paraId="7A9F43B5" w14:textId="1EF07A4C" w:rsidR="000C1DEC" w:rsidRDefault="000C1DEC" w:rsidP="000C1DEC">
      <w:r>
        <w:t>CHAPTER 2</w:t>
      </w:r>
    </w:p>
    <w:p w14:paraId="638646DB" w14:textId="77777777" w:rsidR="000C1DEC" w:rsidRDefault="000C1DEC" w:rsidP="000C1DEC"/>
    <w:p w14:paraId="66A02ABB" w14:textId="77777777" w:rsidR="000C1DEC" w:rsidRDefault="000C1DEC" w:rsidP="000C1DEC">
      <w:r>
        <w:t>\</w:t>
      </w:r>
      <w:proofErr w:type="gramStart"/>
      <w:r>
        <w:t>note{</w:t>
      </w:r>
      <w:proofErr w:type="gramEnd"/>
    </w:p>
    <w:p w14:paraId="299446F0" w14:textId="77777777" w:rsidR="000C1DEC" w:rsidRDefault="000C1DEC" w:rsidP="000C1DEC">
      <w:r>
        <w:t>So, next up is the large question of how these groups are represented -- what happens to this political knowledge/orientation/preference?</w:t>
      </w:r>
    </w:p>
    <w:p w14:paraId="38723A75" w14:textId="77777777" w:rsidR="000C1DEC" w:rsidRDefault="000C1DEC" w:rsidP="000C1DEC"/>
    <w:p w14:paraId="1139691B" w14:textId="77777777" w:rsidR="000C1DEC" w:rsidRDefault="000C1DEC" w:rsidP="000C1DEC">
      <w:r>
        <w:t xml:space="preserve">Here, I'm pivoting from speaking in general terms about directly and proximally impacted constituencies, to the first layer of directly impacted constituencies. </w:t>
      </w:r>
    </w:p>
    <w:p w14:paraId="6281F90A" w14:textId="77777777" w:rsidR="000C1DEC" w:rsidRDefault="000C1DEC" w:rsidP="000C1DEC"/>
    <w:p w14:paraId="2F3BD25F" w14:textId="77777777" w:rsidR="000C1DEC" w:rsidRDefault="000C1DEC" w:rsidP="000C1DEC">
      <w:r>
        <w:t xml:space="preserve">If descriptive representatives do indeed play an important role, the next objective should be identifying those representatives. But because XYZ, that is better stated as finding out whether direct descriptive representatives exist.  </w:t>
      </w:r>
    </w:p>
    <w:p w14:paraId="250242E8" w14:textId="77777777" w:rsidR="000C1DEC" w:rsidRDefault="000C1DEC" w:rsidP="000C1DEC"/>
    <w:p w14:paraId="62CD8131" w14:textId="77777777" w:rsidR="000C1DEC" w:rsidRDefault="000C1DEC" w:rsidP="000C1DEC">
      <w:r>
        <w:t xml:space="preserve">Which, it turns out itself means first asking where it is even possible for direct descriptive representatives to exist. </w:t>
      </w:r>
    </w:p>
    <w:p w14:paraId="00E21683" w14:textId="77777777" w:rsidR="000C1DEC" w:rsidRDefault="000C1DEC" w:rsidP="000C1DEC"/>
    <w:p w14:paraId="7C864DAB" w14:textId="77777777" w:rsidR="000C1DEC" w:rsidRDefault="000C1DEC" w:rsidP="000C1DEC">
      <w:r>
        <w:lastRenderedPageBreak/>
        <w:t xml:space="preserve">To understand where direct descriptive representation is possible, I am creating my first of two original datasets. </w:t>
      </w:r>
    </w:p>
    <w:p w14:paraId="475E8E29" w14:textId="77777777" w:rsidR="000C1DEC" w:rsidRDefault="000C1DEC" w:rsidP="000C1DEC"/>
    <w:p w14:paraId="118095A3" w14:textId="77777777" w:rsidR="000C1DEC" w:rsidRDefault="000C1DEC" w:rsidP="000C1DEC">
      <w:r>
        <w:t>Chapter 2 is a prior-stage question. Mansbridge's framework for descriptive representation assumes that the barriers are sociological and political — candidate emergence, electoral incentives, institutional culture. For carceral constituencies, a more fundamental barrier may intervene before any of that: formal legal exclusion from office.</w:t>
      </w:r>
    </w:p>
    <w:p w14:paraId="0CF9406C" w14:textId="77777777" w:rsidR="000C1DEC" w:rsidRDefault="000C1DEC" w:rsidP="000C1DEC"/>
    <w:p w14:paraId="5129172C" w14:textId="77777777" w:rsidR="000C1DEC" w:rsidRDefault="000C1DEC" w:rsidP="000C1DEC">
      <w:proofErr w:type="gramStart"/>
      <w:r>
        <w:t>So</w:t>
      </w:r>
      <w:proofErr w:type="gramEnd"/>
      <w:r>
        <w:t xml:space="preserve"> before Chapter 3 can ask whether directly impacted legislators exist, Chapter 2 asks where they legally could. I build an original state policy dataset mapping the eligibility landscape across all fifty states.</w:t>
      </w:r>
    </w:p>
    <w:p w14:paraId="306AC5B5" w14:textId="77777777" w:rsidR="000C1DEC" w:rsidRDefault="000C1DEC" w:rsidP="000C1DEC"/>
    <w:p w14:paraId="0B2F789D" w14:textId="77777777" w:rsidR="000C1DEC" w:rsidRDefault="000C1DEC" w:rsidP="000C1DEC">
      <w:r>
        <w:t xml:space="preserve">The key theoretical move is that candidacy eligibility sits at the intersection of two dimensions in Grumbach's framework: criminal legal policy, which at the state level does not polarize by party, and democratic performance, which does. </w:t>
      </w:r>
      <w:proofErr w:type="gramStart"/>
      <w:r>
        <w:t>So</w:t>
      </w:r>
      <w:proofErr w:type="gramEnd"/>
      <w:r>
        <w:t xml:space="preserve"> I expect permissiveness to track democratic health rather than partisan control — but I also expect substantial variation that neither captures, because this may be a genuinely low-salience domain where policy is shaped more by inertia and accident than by deliberate legislative choice.</w:t>
      </w:r>
    </w:p>
    <w:p w14:paraId="3732D9EE" w14:textId="77777777" w:rsidR="000C1DEC" w:rsidRDefault="000C1DEC" w:rsidP="000C1DEC"/>
    <w:p w14:paraId="34DF5076" w14:textId="77777777" w:rsidR="000C1DEC" w:rsidRDefault="000C1DEC" w:rsidP="000C1DEC">
      <w:r>
        <w:t>The third expectation is methodologically important: formal rules are often an incomplete guide to practical eligibility. Cases like Cherie Cruz and Leonela Felix in Rhode Island illustrate that expungement can be a practical precondition for candidacy even when it isn't a legal one. The dataset tries to capture that gap.</w:t>
      </w:r>
    </w:p>
    <w:p w14:paraId="4751D4A0" w14:textId="761E7FE7" w:rsidR="000C1DEC" w:rsidRDefault="000C1DEC" w:rsidP="000C1DEC">
      <w:r>
        <w:t>}</w:t>
      </w:r>
    </w:p>
    <w:p w14:paraId="0D982A42" w14:textId="77777777" w:rsidR="000C1DEC" w:rsidRDefault="000C1DEC" w:rsidP="000C1DEC"/>
    <w:p w14:paraId="242FC039" w14:textId="7FB8A94D" w:rsidR="000C1DEC" w:rsidRDefault="000C1DEC" w:rsidP="000C1DEC">
      <w:r>
        <w:t>CHAPTER 3</w:t>
      </w:r>
    </w:p>
    <w:p w14:paraId="48C2FF8C" w14:textId="77777777" w:rsidR="000C1DEC" w:rsidRDefault="000C1DEC" w:rsidP="000C1DEC"/>
    <w:p w14:paraId="3B3D618E" w14:textId="77777777" w:rsidR="000C1DEC" w:rsidRDefault="000C1DEC" w:rsidP="000C1DEC">
      <w:r>
        <w:t>\</w:t>
      </w:r>
      <w:proofErr w:type="gramStart"/>
      <w:r>
        <w:t>note{</w:t>
      </w:r>
      <w:proofErr w:type="gramEnd"/>
    </w:p>
    <w:p w14:paraId="3CD45549" w14:textId="77777777" w:rsidR="000C1DEC" w:rsidRDefault="000C1DEC" w:rsidP="000C1DEC">
      <w:r>
        <w:t>The dataset builds up in two layers. The first is the formal candidacy rule — constitutional, statutory, or administrative — including whether disqualification is categorical or offense-</w:t>
      </w:r>
      <w:r>
        <w:lastRenderedPageBreak/>
        <w:t>specific, and what restoration, if any, ends it. The second layer captures expungement, sealing, and rights restoration policies that shape practical eligibility even when they're not formally required.</w:t>
      </w:r>
    </w:p>
    <w:p w14:paraId="38D89D0C" w14:textId="77777777" w:rsidR="000C1DEC" w:rsidRDefault="000C1DEC" w:rsidP="000C1DEC"/>
    <w:p w14:paraId="690DB2CB" w14:textId="77777777" w:rsidR="000C1DEC" w:rsidRDefault="000C1DEC" w:rsidP="000C1DEC">
      <w:r>
        <w:t>The preliminary distribution is interesting. Permanent categorical bars are rare — Oklahoma is the only confirmed case. But most states aren't open either. The modal environment is mediated: eligibility is possible but conditioned, and in many states the conditions involve procedural complexity that functions as a practical barrier even when it isn't a legal one.</w:t>
      </w:r>
    </w:p>
    <w:p w14:paraId="4D9102FE" w14:textId="77777777" w:rsidR="000C1DEC" w:rsidRDefault="000C1DEC" w:rsidP="000C1DEC"/>
    <w:p w14:paraId="4F2C9DAB" w14:textId="77777777" w:rsidR="000C1DEC" w:rsidRDefault="000C1DEC" w:rsidP="000C1DEC">
      <w:r>
        <w:t>The offense-specific category is methodologically the most difficult. States that disqualify for "infamous crimes" or crimes against the public trust without enumerated lists create genuine interpretive ambiguity — eligibility for a given individual may depend on doctrine that has never been litigated in that state. That ambiguity is a substantive finding, not a data gap.</w:t>
      </w:r>
    </w:p>
    <w:p w14:paraId="7DA98953" w14:textId="77777777" w:rsidR="000C1DEC" w:rsidRDefault="000C1DEC" w:rsidP="000C1DEC"/>
    <w:p w14:paraId="6C063E0B" w14:textId="77777777" w:rsidR="000C1DEC" w:rsidRDefault="000C1DEC" w:rsidP="000C1DEC">
      <w:r>
        <w:t>Regression analyses against the SDI are in progress. But the classification itself is the contribution: it's the precondition for the legislative matching work in Chapter 3.</w:t>
      </w:r>
    </w:p>
    <w:p w14:paraId="468726CE" w14:textId="77777777" w:rsidR="000C1DEC" w:rsidRDefault="000C1DEC" w:rsidP="000C1DEC">
      <w:r>
        <w:t>}</w:t>
      </w:r>
    </w:p>
    <w:p w14:paraId="53248CC3" w14:textId="49E87B96" w:rsidR="000C1DEC" w:rsidRDefault="000C1DEC" w:rsidP="000C1DEC">
      <w:r>
        <w:t>\end{frame}</w:t>
      </w:r>
    </w:p>
    <w:p w14:paraId="2431CBE4" w14:textId="77777777" w:rsidR="000C1DEC" w:rsidRDefault="000C1DEC" w:rsidP="000C1DEC"/>
    <w:p w14:paraId="14803A33" w14:textId="40D0707F" w:rsidR="000C1DEC" w:rsidRDefault="000C1DEC" w:rsidP="000C1DEC">
      <w:r>
        <w:t xml:space="preserve">CHAPTER </w:t>
      </w:r>
    </w:p>
    <w:p w14:paraId="03C5D065" w14:textId="77777777" w:rsidR="000C1DEC" w:rsidRDefault="000C1DEC" w:rsidP="000C1DEC">
      <w:r>
        <w:t>\</w:t>
      </w:r>
      <w:proofErr w:type="gramStart"/>
      <w:r>
        <w:t>note{</w:t>
      </w:r>
      <w:proofErr w:type="gramEnd"/>
    </w:p>
    <w:p w14:paraId="56D85DC6" w14:textId="77777777" w:rsidR="000C1DEC" w:rsidRDefault="000C1DEC" w:rsidP="000C1DEC">
      <w:r>
        <w:t>The chapter asks a deceptively simple question: are there any? Eddie Gibbs in New York is one known case. Cruz and Felix in Rhode Island are others — but both had records sealed, and both would be invisible in a dataset like this one. That's the core methodological challenge: the states where candidacy is most accessible are often the same states where records are most likely to be expunged.</w:t>
      </w:r>
    </w:p>
    <w:p w14:paraId="45925FC7" w14:textId="77777777" w:rsidR="000C1DEC" w:rsidRDefault="000C1DEC" w:rsidP="000C1DEC"/>
    <w:p w14:paraId="1B712FE2" w14:textId="77777777" w:rsidR="000C1DEC" w:rsidRDefault="000C1DEC" w:rsidP="000C1DEC">
      <w:proofErr w:type="gramStart"/>
      <w:r>
        <w:t>So</w:t>
      </w:r>
      <w:proofErr w:type="gramEnd"/>
      <w:r>
        <w:t xml:space="preserve"> the dataset produces a lower bound rather than a census. Even so, establishing that lower bound is the necessary first step — it tells us whether direct descriptive </w:t>
      </w:r>
      <w:r>
        <w:lastRenderedPageBreak/>
        <w:t xml:space="preserve">representation of carceral constituencies is purely hypothetical or </w:t>
      </w:r>
      <w:proofErr w:type="gramStart"/>
      <w:r>
        <w:t>actually present</w:t>
      </w:r>
      <w:proofErr w:type="gramEnd"/>
      <w:r>
        <w:t>, and whether the distribution corresponds to the eligibility environments Chapter 2 mapped.</w:t>
      </w:r>
    </w:p>
    <w:p w14:paraId="6046BBBA" w14:textId="77777777" w:rsidR="000C1DEC" w:rsidRDefault="000C1DEC" w:rsidP="000C1DEC"/>
    <w:p w14:paraId="149CCB7B" w14:textId="77777777" w:rsidR="000C1DEC" w:rsidRDefault="000C1DEC" w:rsidP="000C1DEC">
      <w:r>
        <w:t>The matching procedure uses date of birth from Carnes and Hansen as the primary verification anchor, supplemented by district, municipality, and other PII where available. Matches are coded on a three-point confidence scheme to preserve uncertainty about ambiguous cases. Minnesota and New Jersey are the initial states — both have centralized, no-cost, searchable repositories and high birthday coverage. Expansion will proceed in order of feasibility and variation across eligibility environments.</w:t>
      </w:r>
    </w:p>
    <w:p w14:paraId="5E36D94A" w14:textId="77777777" w:rsidR="000C1DEC" w:rsidRDefault="000C1DEC" w:rsidP="000C1DEC"/>
    <w:p w14:paraId="793AE124" w14:textId="77777777" w:rsidR="000C1DEC" w:rsidRDefault="000C1DEC" w:rsidP="000C1DEC">
      <w:r>
        <w:t>The limitations here motivate rather than undermine the broader project. Direct descriptive representation is one pathway through which experientially grounded carceral orientations might enter legislative discourse. Chapter 4 asks whether it's the only one.</w:t>
      </w:r>
    </w:p>
    <w:p w14:paraId="07BE72E9" w14:textId="62DC2C8B" w:rsidR="000C1DEC" w:rsidRDefault="000C1DEC" w:rsidP="000C1DEC">
      <w:r>
        <w:t>}</w:t>
      </w:r>
    </w:p>
    <w:p w14:paraId="79614A6C" w14:textId="77777777" w:rsidR="000C1DEC" w:rsidRDefault="000C1DEC" w:rsidP="000C1DEC"/>
    <w:p w14:paraId="62D3291B" w14:textId="77777777" w:rsidR="000C1DEC" w:rsidRDefault="000C1DEC" w:rsidP="000C1DEC">
      <w:r>
        <w:t>\</w:t>
      </w:r>
      <w:proofErr w:type="gramStart"/>
      <w:r>
        <w:t>note{</w:t>
      </w:r>
      <w:proofErr w:type="gramEnd"/>
    </w:p>
    <w:p w14:paraId="59DCDDAE" w14:textId="77777777" w:rsidR="000C1DEC" w:rsidRDefault="000C1DEC" w:rsidP="000C1DEC">
      <w:r>
        <w:t xml:space="preserve">The preceding chapters can identify patterns and correlates, but they can't tell us how legislators </w:t>
      </w:r>
      <w:proofErr w:type="gramStart"/>
      <w:r>
        <w:t>actually understand</w:t>
      </w:r>
      <w:proofErr w:type="gramEnd"/>
      <w:r>
        <w:t xml:space="preserve"> their representational obligations, or how carceral citizens experience engagement with the people who claim to represent them. That's what this chapter does.</w:t>
      </w:r>
    </w:p>
    <w:p w14:paraId="09313322" w14:textId="77777777" w:rsidR="000C1DEC" w:rsidRDefault="000C1DEC" w:rsidP="000C1DEC"/>
    <w:p w14:paraId="3F834770" w14:textId="77777777" w:rsidR="000C1DEC" w:rsidRDefault="000C1DEC" w:rsidP="000C1DEC">
      <w:r>
        <w:t>The three questions are sequenced by tier: recognition first — are carceral citizens even in the representational imaginary? Then epistemic standing — when their claims arrive, are they treated as credible? Then the proximity question — does having lived the system change those practices, and if so how and under what conditions?</w:t>
      </w:r>
    </w:p>
    <w:p w14:paraId="2A587459" w14:textId="77777777" w:rsidR="000C1DEC" w:rsidRDefault="000C1DEC" w:rsidP="000C1DEC"/>
    <w:p w14:paraId="1E7439F3" w14:textId="77777777" w:rsidR="000C1DEC" w:rsidRDefault="000C1DEC" w:rsidP="000C1DEC">
      <w:r>
        <w:t>The methodological combination is deliberate. I enter the field with theoretical expectations — from Mansbridge, Fricker, policy feedback — so pure grounded theory isn't quite right. But existing theories don't fully explain when incarcerated people become legible as constituents or why some legislators exceed what those theories predict. Abductive logic keeps the framework revisable. Grounded theory practices — iterative coding, constant comparison, memo writing — are the analytical tools for doing that work.</w:t>
      </w:r>
    </w:p>
    <w:p w14:paraId="6BDFDAEB" w14:textId="77777777" w:rsidR="000C1DEC" w:rsidRDefault="000C1DEC" w:rsidP="000C1DEC"/>
    <w:p w14:paraId="05DE59B1" w14:textId="77777777" w:rsidR="000C1DEC" w:rsidRDefault="000C1DEC" w:rsidP="000C1DEC">
      <w:r>
        <w:t>On sampling: the two-dimensional legislator frame is designed to separate experiential proximity from professional socialization. A legislator with a prosecution background and no personal carceral contact may construct carceral constituencies very differently than one with reform advocacy experience and equally no personal contact. Those aren't the same comparison. Including both vantage points — legislators and organizers — guards against treating elite self-description as sufficient evidence of representation.</w:t>
      </w:r>
    </w:p>
    <w:p w14:paraId="20EA851C" w14:textId="3E239991" w:rsidR="000C1DEC" w:rsidRDefault="000C1DEC" w:rsidP="000C1DEC">
      <w:r>
        <w:t>}</w:t>
      </w:r>
    </w:p>
    <w:p w14:paraId="77164769" w14:textId="77777777" w:rsidR="000C1DEC" w:rsidRDefault="000C1DEC" w:rsidP="000C1DEC"/>
    <w:sectPr w:rsidR="000C1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DEC"/>
    <w:rsid w:val="000C1DEC"/>
    <w:rsid w:val="001554D9"/>
    <w:rsid w:val="003A5267"/>
    <w:rsid w:val="008C2728"/>
    <w:rsid w:val="00B4476B"/>
    <w:rsid w:val="00CC0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471AD6"/>
  <w15:chartTrackingRefBased/>
  <w15:docId w15:val="{6D3A01AC-425B-8F43-BAF2-461E3C3A6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DEC"/>
    <w:rPr>
      <w:rFonts w:eastAsiaTheme="majorEastAsia" w:cstheme="majorBidi"/>
      <w:color w:val="272727" w:themeColor="text1" w:themeTint="D8"/>
    </w:rPr>
  </w:style>
  <w:style w:type="paragraph" w:styleId="Title">
    <w:name w:val="Title"/>
    <w:basedOn w:val="Normal"/>
    <w:next w:val="Normal"/>
    <w:link w:val="TitleChar"/>
    <w:uiPriority w:val="10"/>
    <w:qFormat/>
    <w:rsid w:val="000C1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DEC"/>
    <w:pPr>
      <w:spacing w:before="160"/>
      <w:jc w:val="center"/>
    </w:pPr>
    <w:rPr>
      <w:i/>
      <w:iCs/>
      <w:color w:val="404040" w:themeColor="text1" w:themeTint="BF"/>
    </w:rPr>
  </w:style>
  <w:style w:type="character" w:customStyle="1" w:styleId="QuoteChar">
    <w:name w:val="Quote Char"/>
    <w:basedOn w:val="DefaultParagraphFont"/>
    <w:link w:val="Quote"/>
    <w:uiPriority w:val="29"/>
    <w:rsid w:val="000C1DEC"/>
    <w:rPr>
      <w:i/>
      <w:iCs/>
      <w:color w:val="404040" w:themeColor="text1" w:themeTint="BF"/>
    </w:rPr>
  </w:style>
  <w:style w:type="paragraph" w:styleId="ListParagraph">
    <w:name w:val="List Paragraph"/>
    <w:basedOn w:val="Normal"/>
    <w:uiPriority w:val="34"/>
    <w:qFormat/>
    <w:rsid w:val="000C1DEC"/>
    <w:pPr>
      <w:ind w:left="720"/>
      <w:contextualSpacing/>
    </w:pPr>
  </w:style>
  <w:style w:type="character" w:styleId="IntenseEmphasis">
    <w:name w:val="Intense Emphasis"/>
    <w:basedOn w:val="DefaultParagraphFont"/>
    <w:uiPriority w:val="21"/>
    <w:qFormat/>
    <w:rsid w:val="000C1DEC"/>
    <w:rPr>
      <w:i/>
      <w:iCs/>
      <w:color w:val="0F4761" w:themeColor="accent1" w:themeShade="BF"/>
    </w:rPr>
  </w:style>
  <w:style w:type="paragraph" w:styleId="IntenseQuote">
    <w:name w:val="Intense Quote"/>
    <w:basedOn w:val="Normal"/>
    <w:next w:val="Normal"/>
    <w:link w:val="IntenseQuoteChar"/>
    <w:uiPriority w:val="30"/>
    <w:qFormat/>
    <w:rsid w:val="000C1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DEC"/>
    <w:rPr>
      <w:i/>
      <w:iCs/>
      <w:color w:val="0F4761" w:themeColor="accent1" w:themeShade="BF"/>
    </w:rPr>
  </w:style>
  <w:style w:type="character" w:styleId="IntenseReference">
    <w:name w:val="Intense Reference"/>
    <w:basedOn w:val="DefaultParagraphFont"/>
    <w:uiPriority w:val="32"/>
    <w:qFormat/>
    <w:rsid w:val="000C1D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2373</Words>
  <Characters>12222</Characters>
  <Application>Microsoft Office Word</Application>
  <DocSecurity>0</DocSecurity>
  <Lines>244</Lines>
  <Paragraphs>65</Paragraphs>
  <ScaleCrop>false</ScaleCrop>
  <Company/>
  <LinksUpToDate>false</LinksUpToDate>
  <CharactersWithSpaces>14530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2026-04-16T13:47:00Z</dcterms:created>
  <dcterms:modified xsi:type="dcterms:W3CDTF">2026-04-16T13:54:00Z</dcterms:modified>
</cp:coreProperties>
</file>