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B4A4F" w14:textId="4BA584F3" w:rsidR="00CD5BA5" w:rsidRPr="00CD5BA5" w:rsidRDefault="00CD5BA5" w:rsidP="00CD5BA5">
      <w:pPr>
        <w:rPr>
          <w:b/>
          <w:bCs/>
        </w:rPr>
      </w:pPr>
      <w:r>
        <w:rPr>
          <w:b/>
          <w:bCs/>
        </w:rPr>
        <w:t>Cut from end of Overleaf March 16</w:t>
      </w:r>
      <w:r w:rsidRPr="00CD5BA5">
        <w:rPr>
          <w:b/>
          <w:bCs/>
          <w:vertAlign w:val="superscript"/>
        </w:rPr>
        <w:t>th</w:t>
      </w:r>
      <w:r>
        <w:rPr>
          <w:b/>
          <w:bCs/>
        </w:rPr>
        <w:t xml:space="preserve"> </w:t>
      </w:r>
    </w:p>
    <w:p w14:paraId="3DE16769" w14:textId="77777777" w:rsidR="00CD5BA5" w:rsidRDefault="00CD5BA5" w:rsidP="00CD5BA5"/>
    <w:p w14:paraId="29EE9F94" w14:textId="20FDA64C" w:rsidR="00CD5BA5" w:rsidRDefault="00CD5BA5" w:rsidP="00CD5BA5">
      <w:r>
        <w:t xml:space="preserve"> \</w:t>
      </w:r>
      <w:proofErr w:type="gramStart"/>
      <w:r>
        <w:t>href</w:t>
      </w:r>
      <w:proofErr w:type="gramEnd"/>
      <w:r>
        <w:t>{https://www.overleaf.com/project/69ade731cbbfe61d20be7dd0\#_ednref</w:t>
      </w:r>
      <w:proofErr w:type="gramStart"/>
      <w:r>
        <w:t>1}{</w:t>
      </w:r>
      <w:proofErr w:type="gramEnd"/>
      <w:r>
        <w:t>[i]} \</w:t>
      </w:r>
      <w:proofErr w:type="spellStart"/>
      <w:proofErr w:type="gramStart"/>
      <w:r>
        <w:t>textbf</w:t>
      </w:r>
      <w:proofErr w:type="spellEnd"/>
      <w:r>
        <w:t>{</w:t>
      </w:r>
      <w:proofErr w:type="gramEnd"/>
      <w:r>
        <w:t>Direct Contact Data}</w:t>
      </w:r>
    </w:p>
    <w:p w14:paraId="426CB361" w14:textId="77777777" w:rsidR="00CD5BA5" w:rsidRDefault="00CD5BA5" w:rsidP="00CD5BA5"/>
    <w:p w14:paraId="5F2A5612" w14:textId="77777777" w:rsidR="00CD5BA5" w:rsidRDefault="00CD5BA5" w:rsidP="00CD5BA5">
      <w:r>
        <w:t xml:space="preserve">According to the Department of Justice, 110 million people – 30\% of the US population - have some form of arrest or criminal record on file in repositories across the states. Unsurprisingly, there is no single, comprehensive, publicly accessible mechanism for searching criminal justice contact across all 50 states. While private data brokers and commercial background check services aggregate records across jurisdictions, access is often restricted, incomplete, or limited to </w:t>
      </w:r>
      <w:proofErr w:type="gramStart"/>
      <w:r>
        <w:t>particular user</w:t>
      </w:r>
      <w:proofErr w:type="gramEnd"/>
      <w:r>
        <w:t xml:space="preserve"> categories (</w:t>
      </w:r>
      <w:proofErr w:type="spellStart"/>
      <w:r>
        <w:t>ie</w:t>
      </w:r>
      <w:proofErr w:type="spellEnd"/>
      <w:r>
        <w:t xml:space="preserve"> employers, federal contractors), and these services do not provide a transparent census of contact (implications for replicability?). </w:t>
      </w:r>
    </w:p>
    <w:p w14:paraId="7634D577" w14:textId="77777777" w:rsidR="00CD5BA5" w:rsidRDefault="00CD5BA5" w:rsidP="00CD5BA5"/>
    <w:p w14:paraId="63EE29C5" w14:textId="77777777" w:rsidR="00CD5BA5" w:rsidRDefault="00CD5BA5" w:rsidP="00CD5BA5">
      <w:r>
        <w:t xml:space="preserve">For purposes of identifying whether state legislators have had direct contact with the carceral state, it is necessary to distinguish among four distinct layers of criminal justice data: </w:t>
      </w:r>
    </w:p>
    <w:p w14:paraId="42C547DA" w14:textId="77777777" w:rsidR="00CD5BA5" w:rsidRDefault="00CD5BA5" w:rsidP="00CD5BA5"/>
    <w:p w14:paraId="25625582" w14:textId="77777777" w:rsidR="00CD5BA5" w:rsidRDefault="00CD5BA5" w:rsidP="00CD5BA5">
      <w:r>
        <w:t>1. Law enforcement (arrest) records</w:t>
      </w:r>
    </w:p>
    <w:p w14:paraId="48771180" w14:textId="77777777" w:rsidR="00CD5BA5" w:rsidRDefault="00CD5BA5" w:rsidP="00CD5BA5"/>
    <w:p w14:paraId="1AE73AF6" w14:textId="77777777" w:rsidR="00CD5BA5" w:rsidRDefault="00CD5BA5" w:rsidP="00CD5BA5">
      <w:r>
        <w:t>2. Criminal court records (charges and dispositions)</w:t>
      </w:r>
    </w:p>
    <w:p w14:paraId="33CDB294" w14:textId="77777777" w:rsidR="00CD5BA5" w:rsidRDefault="00CD5BA5" w:rsidP="00CD5BA5"/>
    <w:p w14:paraId="7548AEFB" w14:textId="77777777" w:rsidR="00CD5BA5" w:rsidRDefault="00CD5BA5" w:rsidP="00CD5BA5">
      <w:r>
        <w:t>3. Corrections records (jail, prison, parole, probation)</w:t>
      </w:r>
    </w:p>
    <w:p w14:paraId="006DBD83" w14:textId="77777777" w:rsidR="00CD5BA5" w:rsidRDefault="00CD5BA5" w:rsidP="00CD5BA5"/>
    <w:p w14:paraId="0D0BF47A" w14:textId="77777777" w:rsidR="00CD5BA5" w:rsidRDefault="00CD5BA5" w:rsidP="00CD5BA5">
      <w:r>
        <w:t>4. State-compiled criminal history repositories (RAP sheets, sometimes centralized searchable databases)</w:t>
      </w:r>
    </w:p>
    <w:p w14:paraId="1EAEB468" w14:textId="77777777" w:rsidR="00CD5BA5" w:rsidRDefault="00CD5BA5" w:rsidP="00CD5BA5"/>
    <w:p w14:paraId="2F4BAEB8" w14:textId="77777777" w:rsidR="00CD5BA5" w:rsidRDefault="00CD5BA5" w:rsidP="00CD5BA5">
      <w:r>
        <w:t xml:space="preserve">While one approach discussed in the next section is selecting one or two states as cases, I have been trying to establish feasibility of searching all or most state records to understand, among other things, the degree to which I might miss contact data if a </w:t>
      </w:r>
      <w:r>
        <w:lastRenderedPageBreak/>
        <w:t xml:space="preserve">legislator in a selected case state has had contact in an excluded state, potential missing data problems more generally, and how these matters should inform design. </w:t>
      </w:r>
    </w:p>
    <w:p w14:paraId="057A9C21" w14:textId="77777777" w:rsidR="00CD5BA5" w:rsidRDefault="00CD5BA5" w:rsidP="00CD5BA5"/>
    <w:p w14:paraId="4BC46090" w14:textId="77777777" w:rsidR="00CD5BA5" w:rsidRDefault="00CD5BA5" w:rsidP="00CD5BA5">
      <w:r>
        <w:t>\</w:t>
      </w:r>
      <w:proofErr w:type="gramStart"/>
      <w:r>
        <w:t>paragraph{</w:t>
      </w:r>
      <w:proofErr w:type="gramEnd"/>
      <w:r>
        <w:t>Cumulative Records/Central Repositories}</w:t>
      </w:r>
    </w:p>
    <w:p w14:paraId="47B949D8" w14:textId="77777777" w:rsidR="00CD5BA5" w:rsidRDefault="00CD5BA5" w:rsidP="00CD5BA5"/>
    <w:p w14:paraId="2A52B751" w14:textId="77777777" w:rsidR="00CD5BA5" w:rsidRDefault="00CD5BA5" w:rsidP="00CD5BA5">
      <w:r>
        <w:t xml:space="preserve">28 states disclose conviction summaries. </w:t>
      </w:r>
    </w:p>
    <w:p w14:paraId="424F5BB8" w14:textId="77777777" w:rsidR="00CD5BA5" w:rsidRDefault="00CD5BA5" w:rsidP="00CD5BA5"/>
    <w:p w14:paraId="797E6BA5" w14:textId="77777777" w:rsidR="00CD5BA5" w:rsidRDefault="00CD5BA5" w:rsidP="00CD5BA5">
      <w:r>
        <w:t>\</w:t>
      </w:r>
      <w:proofErr w:type="spellStart"/>
      <w:proofErr w:type="gramStart"/>
      <w:r>
        <w:t>textbf</w:t>
      </w:r>
      <w:proofErr w:type="spellEnd"/>
      <w:r>
        <w:t>{</w:t>
      </w:r>
      <w:proofErr w:type="gramEnd"/>
      <w:r>
        <w:t xml:space="preserve">Agency Records vs. RAP Sheets </w:t>
      </w:r>
      <w:proofErr w:type="gramStart"/>
      <w:r>
        <w:t>- }Law</w:t>
      </w:r>
      <w:proofErr w:type="gramEnd"/>
      <w:r>
        <w:t xml:space="preserve"> enforcement, court, and correctional records are typically classified as “records of state action.” They document discrete institutional events—an arrest, a filing of charges, a court appearance, a sentence, or a period of incarceration. In most states, these records are governed by public records or transparency laws and are presumptively public. As a result, arrest logs, court dockets, and inmate lookup tools are often searchable online and may include personally identifiable information (PII) such as full name, date of birth (full or year only), physical descriptors, or booking photographs.</w:t>
      </w:r>
    </w:p>
    <w:p w14:paraId="01F495ED" w14:textId="77777777" w:rsidR="00CD5BA5" w:rsidRDefault="00CD5BA5" w:rsidP="00CD5BA5"/>
    <w:p w14:paraId="1F2857AD" w14:textId="77777777" w:rsidR="00CD5BA5" w:rsidRDefault="00CD5BA5" w:rsidP="00CD5BA5">
      <w:r>
        <w:t>By contrast, a RAP sheet (Record of Arrests and Prosecutions) is a centralized, compiled criminal history maintained by a state repository, typically operated by a state police or public safety agency. Unlike agency records, a RAP sheet aggregates an individual’s criminal justice contacts across law enforcement, courts, and corrections and usually includes final case dispositions. In policy terms, this constitutes a “record of a person” rather than a record of a discrete institutional event. As a result, access to RAP sheets is more tightly regulated. In roughly half of states, RAP sheets are exempt from public disclosure; in others, access is limited to conviction data, requires written consent from the subject, fingerprint verification, or payment of a fee. This distinction matters substantively and methodologically.</w:t>
      </w:r>
    </w:p>
    <w:p w14:paraId="69B852A0" w14:textId="77777777" w:rsidR="00CD5BA5" w:rsidRDefault="00CD5BA5" w:rsidP="00CD5BA5"/>
    <w:p w14:paraId="5F46BF9B" w14:textId="77777777" w:rsidR="00CD5BA5" w:rsidRDefault="00CD5BA5" w:rsidP="00CD5BA5">
      <w:r>
        <w:t xml:space="preserve">Substantively, arrest and charge records frequently include non-conviction data. They may reflect discretionary policing decisions, charges later dismissed, or cases that never proceed to conviction. These forms of contact may nonetheless constitute meaningful encounters with state authority and can shape political identity and state legitimacy. However, they are also more likely to be incomplete or lacking final disposition information. </w:t>
      </w:r>
      <w:r>
        <w:lastRenderedPageBreak/>
        <w:t xml:space="preserve">In contrast, RAP sheets are more comprehensive and more likely to reflect finalized case </w:t>
      </w:r>
      <w:proofErr w:type="gramStart"/>
      <w:r>
        <w:t>outcomes, but</w:t>
      </w:r>
      <w:proofErr w:type="gramEnd"/>
      <w:r>
        <w:t xml:space="preserve"> are often inaccessible for research without individual authorization.</w:t>
      </w:r>
    </w:p>
    <w:p w14:paraId="38318456" w14:textId="77777777" w:rsidR="00CD5BA5" w:rsidRDefault="00CD5BA5" w:rsidP="00CD5BA5"/>
    <w:p w14:paraId="5EAEA7B7" w14:textId="77777777" w:rsidR="00CD5BA5" w:rsidRDefault="00CD5BA5" w:rsidP="00CD5BA5">
      <w:r>
        <w:t>\</w:t>
      </w:r>
      <w:proofErr w:type="spellStart"/>
      <w:proofErr w:type="gramStart"/>
      <w:r>
        <w:t>textbf</w:t>
      </w:r>
      <w:proofErr w:type="spellEnd"/>
      <w:r>
        <w:t>{</w:t>
      </w:r>
      <w:proofErr w:type="gramEnd"/>
      <w:r>
        <w:t xml:space="preserve">Substantive Differences Across Contact Types </w:t>
      </w:r>
      <w:proofErr w:type="gramStart"/>
      <w:r>
        <w:t>- }Each</w:t>
      </w:r>
      <w:proofErr w:type="gramEnd"/>
      <w:r>
        <w:t xml:space="preserve"> layer of data corresponds to a different form of “direct contact” with the carceral state:</w:t>
      </w:r>
    </w:p>
    <w:p w14:paraId="6D64F477" w14:textId="77777777" w:rsidR="00CD5BA5" w:rsidRDefault="00CD5BA5" w:rsidP="00CD5BA5"/>
    <w:p w14:paraId="55036307" w14:textId="77777777" w:rsidR="00CD5BA5" w:rsidRDefault="00CD5BA5" w:rsidP="00CD5BA5">
      <w:r>
        <w:t>\begin{itemize}</w:t>
      </w:r>
    </w:p>
    <w:p w14:paraId="7DFAEFA9" w14:textId="77777777" w:rsidR="00CD5BA5" w:rsidRDefault="00CD5BA5" w:rsidP="00CD5BA5">
      <w:r>
        <w:t xml:space="preserve">    \item \</w:t>
      </w:r>
      <w:proofErr w:type="spellStart"/>
      <w:proofErr w:type="gramStart"/>
      <w:r>
        <w:t>textbf</w:t>
      </w:r>
      <w:proofErr w:type="spellEnd"/>
      <w:r>
        <w:t>{</w:t>
      </w:r>
      <w:proofErr w:type="gramEnd"/>
      <w:r>
        <w:t>Arrest} captures the initiation of formal state authority and may include booking and short-term detention.</w:t>
      </w:r>
    </w:p>
    <w:p w14:paraId="1EC92AB8" w14:textId="77777777" w:rsidR="00CD5BA5" w:rsidRDefault="00CD5BA5" w:rsidP="00CD5BA5">
      <w:r>
        <w:t xml:space="preserve">    \item \</w:t>
      </w:r>
      <w:proofErr w:type="spellStart"/>
      <w:proofErr w:type="gramStart"/>
      <w:r>
        <w:t>textbf</w:t>
      </w:r>
      <w:proofErr w:type="spellEnd"/>
      <w:r>
        <w:t>{</w:t>
      </w:r>
      <w:proofErr w:type="gramEnd"/>
      <w:r>
        <w:t>Criminal charge and court processing} reflect prosecutorial action and formal adjudication.</w:t>
      </w:r>
    </w:p>
    <w:p w14:paraId="2678A625" w14:textId="77777777" w:rsidR="00CD5BA5" w:rsidRDefault="00CD5BA5" w:rsidP="00CD5BA5">
      <w:r>
        <w:t xml:space="preserve">    \item \</w:t>
      </w:r>
      <w:proofErr w:type="spellStart"/>
      <w:proofErr w:type="gramStart"/>
      <w:r>
        <w:t>textbf</w:t>
      </w:r>
      <w:proofErr w:type="spellEnd"/>
      <w:r>
        <w:t>{</w:t>
      </w:r>
      <w:proofErr w:type="gramEnd"/>
      <w:r>
        <w:t>Jail or prison incarceration} reflects custodial punishment and, in some cases, collateral civic consequences.</w:t>
      </w:r>
    </w:p>
    <w:p w14:paraId="7D8A8FFC" w14:textId="77777777" w:rsidR="00CD5BA5" w:rsidRDefault="00CD5BA5" w:rsidP="00CD5BA5">
      <w:r>
        <w:t xml:space="preserve">    \item \</w:t>
      </w:r>
      <w:proofErr w:type="spellStart"/>
      <w:proofErr w:type="gramStart"/>
      <w:r>
        <w:t>textbf</w:t>
      </w:r>
      <w:proofErr w:type="spellEnd"/>
      <w:r>
        <w:t>{</w:t>
      </w:r>
      <w:proofErr w:type="gramEnd"/>
      <w:r>
        <w:t>Repository inclusion (RAP sheet presence)} reflects cumulative, administratively compiled criminal history status.</w:t>
      </w:r>
    </w:p>
    <w:p w14:paraId="47C2BFBE" w14:textId="77777777" w:rsidR="00CD5BA5" w:rsidRDefault="00CD5BA5" w:rsidP="00CD5BA5">
      <w:r>
        <w:t>\</w:t>
      </w:r>
      <w:proofErr w:type="gramStart"/>
      <w:r>
        <w:t>end</w:t>
      </w:r>
      <w:proofErr w:type="gramEnd"/>
      <w:r>
        <w:t>{itemize}</w:t>
      </w:r>
    </w:p>
    <w:p w14:paraId="1542A5FB" w14:textId="77777777" w:rsidR="00CD5BA5" w:rsidRDefault="00CD5BA5" w:rsidP="00CD5BA5">
      <w:r>
        <w:t>These categories differ in prevalence, intensity, and civic consequences. Arrest is common and often discretionary; incarceration is less common but more intensive. Felony conviction may carry formal civic disqualifications (e.g., voting restrictions or office ineligibility), whereas arrest alone generally does not. For a project concerned with descriptive representation of “carceral citizens,” these distinctions are not trivial: they reflect qualitatively different relationships between individuals and the state.</w:t>
      </w:r>
    </w:p>
    <w:p w14:paraId="38E64C60" w14:textId="77777777" w:rsidR="00CD5BA5" w:rsidRDefault="00CD5BA5" w:rsidP="00CD5BA5"/>
    <w:p w14:paraId="760CCF92" w14:textId="77777777" w:rsidR="00CD5BA5" w:rsidRDefault="00CD5BA5" w:rsidP="00CD5BA5">
      <w:r>
        <w:t>\</w:t>
      </w:r>
      <w:proofErr w:type="spellStart"/>
      <w:proofErr w:type="gramStart"/>
      <w:r>
        <w:t>textbf</w:t>
      </w:r>
      <w:proofErr w:type="spellEnd"/>
      <w:r>
        <w:t>{</w:t>
      </w:r>
      <w:proofErr w:type="gramEnd"/>
      <w:r>
        <w:t xml:space="preserve">Feasibility and Matching Constraints </w:t>
      </w:r>
      <w:proofErr w:type="gramStart"/>
      <w:r>
        <w:t>- }To</w:t>
      </w:r>
      <w:proofErr w:type="gramEnd"/>
      <w:r>
        <w:t xml:space="preserve"> positively match a record to a legislator, name alone is insufficient. A second identifier—most commonly date of birth—is required to reduce false positives. However, personally identifiable information varies across data layers and states. Arrest and court portals sometimes display full dates of birth, sometimes only birth year, and sometimes </w:t>
      </w:r>
      <w:proofErr w:type="gramStart"/>
      <w:r>
        <w:t>none at all</w:t>
      </w:r>
      <w:proofErr w:type="gramEnd"/>
      <w:r>
        <w:t>. Correctional databases frequently display birth year or age. Repository searches may rely internally on date of birth or fingerprints, but do not always display this information publicly.</w:t>
      </w:r>
    </w:p>
    <w:p w14:paraId="648405EE" w14:textId="77777777" w:rsidR="00CD5BA5" w:rsidRDefault="00CD5BA5" w:rsidP="00CD5BA5"/>
    <w:p w14:paraId="37E458E6" w14:textId="77777777" w:rsidR="00CD5BA5" w:rsidRDefault="00CD5BA5" w:rsidP="00CD5BA5">
      <w:r>
        <w:lastRenderedPageBreak/>
        <w:t>Moreover, disclosure regimes vary by state. While many states provide searchable arrest or court portals, these are often fragmented at the county level. Repository access is frequently fee-based, restricted, or consent-dependent. Expungement and sealing policies further complicate detectability: in some states, non-conviction records are automatically sealed or destroyed; in others, expungement requires petition and may not remove all traces from agency-level portals. As a result, observed contact will reflect both underlying criminal justice exposure and state-level disclosure architecture.</w:t>
      </w:r>
    </w:p>
    <w:p w14:paraId="4E333670" w14:textId="77777777" w:rsidR="00CD5BA5" w:rsidRDefault="00CD5BA5" w:rsidP="00CD5BA5"/>
    <w:p w14:paraId="1DBC3A16" w14:textId="77777777" w:rsidR="00CD5BA5" w:rsidRDefault="00CD5BA5" w:rsidP="00CD5BA5"/>
    <w:p w14:paraId="590D17D6" w14:textId="77777777" w:rsidR="00CD5BA5" w:rsidRDefault="00CD5BA5" w:rsidP="00CD5BA5">
      <w:r>
        <w:t>\</w:t>
      </w:r>
      <w:proofErr w:type="gramStart"/>
      <w:r>
        <w:t>subsection{ 3</w:t>
      </w:r>
      <w:proofErr w:type="gramEnd"/>
      <w:r>
        <w:t xml:space="preserve"> </w:t>
      </w:r>
      <w:proofErr w:type="spellStart"/>
      <w:r>
        <w:t>Dnterviews</w:t>
      </w:r>
      <w:proofErr w:type="spellEnd"/>
      <w:r>
        <w:t>}</w:t>
      </w:r>
    </w:p>
    <w:p w14:paraId="66584F45" w14:textId="77777777" w:rsidR="00CD5BA5" w:rsidRDefault="00CD5BA5" w:rsidP="00CD5BA5"/>
    <w:p w14:paraId="64E604CC" w14:textId="77777777" w:rsidR="00CD5BA5" w:rsidRDefault="00CD5BA5" w:rsidP="00CD5BA5"/>
    <w:p w14:paraId="6752F42D" w14:textId="77777777" w:rsidR="00CD5BA5" w:rsidRDefault="00CD5BA5" w:rsidP="00CD5BA5">
      <w:r>
        <w:t>\begin{itemize}</w:t>
      </w:r>
    </w:p>
    <w:p w14:paraId="746E5C07" w14:textId="77777777" w:rsidR="00CD5BA5" w:rsidRDefault="00CD5BA5" w:rsidP="00CD5BA5">
      <w:r>
        <w:t xml:space="preserve">    \</w:t>
      </w:r>
      <w:proofErr w:type="gramStart"/>
      <w:r>
        <w:t>item</w:t>
      </w:r>
      <w:proofErr w:type="gramEnd"/>
      <w:r>
        <w:t xml:space="preserve"> Given cliffhanger from 2, two we need a richer conceptualization</w:t>
      </w:r>
    </w:p>
    <w:p w14:paraId="48CD7825" w14:textId="77777777" w:rsidR="00CD5BA5" w:rsidRDefault="00CD5BA5" w:rsidP="00CD5BA5">
      <w:r>
        <w:t>Challenge, expand, ask us: do we have the right definitions of descriptive representations, how do legislators themselves think about this</w:t>
      </w:r>
    </w:p>
    <w:p w14:paraId="0D870A2C" w14:textId="77777777" w:rsidR="00CD5BA5" w:rsidRDefault="00CD5BA5" w:rsidP="00CD5BA5"/>
    <w:p w14:paraId="109DEE96" w14:textId="77777777" w:rsidR="00CD5BA5" w:rsidRDefault="00CD5BA5" w:rsidP="00CD5BA5">
      <w:r>
        <w:t xml:space="preserve">    \begin{itemize}</w:t>
      </w:r>
    </w:p>
    <w:p w14:paraId="15D6B79A" w14:textId="77777777" w:rsidR="00CD5BA5" w:rsidRDefault="00CD5BA5" w:rsidP="00CD5BA5">
      <w:r>
        <w:t xml:space="preserve">        \</w:t>
      </w:r>
      <w:proofErr w:type="gramStart"/>
      <w:r>
        <w:t>item</w:t>
      </w:r>
      <w:proofErr w:type="gramEnd"/>
      <w:r>
        <w:t xml:space="preserve"> --&gt; conclusion: can this tell us something that can extend to other groups</w:t>
      </w:r>
    </w:p>
    <w:p w14:paraId="694E50E1" w14:textId="77777777" w:rsidR="00CD5BA5" w:rsidRDefault="00CD5BA5" w:rsidP="00CD5BA5">
      <w:r>
        <w:t xml:space="preserve">        \</w:t>
      </w:r>
      <w:proofErr w:type="gramStart"/>
      <w:r>
        <w:t>item !!!</w:t>
      </w:r>
      <w:proofErr w:type="gramEnd"/>
      <w:r>
        <w:t xml:space="preserve"> Then interview AACC</w:t>
      </w:r>
    </w:p>
    <w:p w14:paraId="7C81C1F1" w14:textId="77777777" w:rsidR="00CD5BA5" w:rsidRDefault="00CD5BA5" w:rsidP="00CD5BA5">
      <w:r>
        <w:t xml:space="preserve">    \</w:t>
      </w:r>
      <w:proofErr w:type="gramStart"/>
      <w:r>
        <w:t>end</w:t>
      </w:r>
      <w:proofErr w:type="gramEnd"/>
      <w:r>
        <w:t>{itemize}</w:t>
      </w:r>
    </w:p>
    <w:p w14:paraId="18FA4492" w14:textId="77777777" w:rsidR="00CD5BA5" w:rsidRDefault="00CD5BA5" w:rsidP="00CD5BA5">
      <w:r>
        <w:t xml:space="preserve">    \</w:t>
      </w:r>
      <w:proofErr w:type="gramStart"/>
      <w:r>
        <w:t>item</w:t>
      </w:r>
      <w:proofErr w:type="gramEnd"/>
      <w:r>
        <w:t xml:space="preserve"> Doing in-depth interviews outside conference setting</w:t>
      </w:r>
    </w:p>
    <w:p w14:paraId="54255ED8" w14:textId="77777777" w:rsidR="00CD5BA5" w:rsidRDefault="00CD5BA5" w:rsidP="00CD5BA5">
      <w:r>
        <w:t>\</w:t>
      </w:r>
      <w:proofErr w:type="gramStart"/>
      <w:r>
        <w:t>end</w:t>
      </w:r>
      <w:proofErr w:type="gramEnd"/>
      <w:r>
        <w:t>{itemize}</w:t>
      </w:r>
    </w:p>
    <w:p w14:paraId="38B45B16" w14:textId="77777777" w:rsidR="00CD5BA5" w:rsidRDefault="00CD5BA5" w:rsidP="00CD5BA5"/>
    <w:p w14:paraId="7A1733EE" w14:textId="77777777" w:rsidR="00CD5BA5" w:rsidRDefault="00CD5BA5" w:rsidP="00CD5BA5">
      <w:r>
        <w:t>\begin{itemize}</w:t>
      </w:r>
    </w:p>
    <w:p w14:paraId="6730229A" w14:textId="77777777" w:rsidR="00CD5BA5" w:rsidRDefault="00CD5BA5" w:rsidP="00CD5BA5">
      <w:r>
        <w:t xml:space="preserve">    \</w:t>
      </w:r>
      <w:proofErr w:type="gramStart"/>
      <w:r>
        <w:t>item</w:t>
      </w:r>
      <w:proofErr w:type="gramEnd"/>
      <w:r>
        <w:t xml:space="preserve"> Look if there is a Mia Costa </w:t>
      </w:r>
    </w:p>
    <w:p w14:paraId="3CAC526D" w14:textId="77777777" w:rsidR="00CD5BA5" w:rsidRDefault="00CD5BA5" w:rsidP="00CD5BA5">
      <w:r>
        <w:t xml:space="preserve">    \</w:t>
      </w:r>
      <w:proofErr w:type="gramStart"/>
      <w:r>
        <w:t>item</w:t>
      </w:r>
      <w:proofErr w:type="gramEnd"/>
      <w:r>
        <w:t xml:space="preserve"> Flesh out best </w:t>
      </w:r>
      <w:proofErr w:type="spellStart"/>
      <w:r>
        <w:t>practics</w:t>
      </w:r>
      <w:proofErr w:type="spellEnd"/>
      <w:r>
        <w:t>/methods papers</w:t>
      </w:r>
    </w:p>
    <w:p w14:paraId="39E2E954" w14:textId="77777777" w:rsidR="00CD5BA5" w:rsidRDefault="00CD5BA5" w:rsidP="00CD5BA5">
      <w:r>
        <w:t>\</w:t>
      </w:r>
      <w:proofErr w:type="gramStart"/>
      <w:r>
        <w:t>end</w:t>
      </w:r>
      <w:proofErr w:type="gramEnd"/>
      <w:r>
        <w:t>{itemize}</w:t>
      </w:r>
    </w:p>
    <w:p w14:paraId="511E0B2A" w14:textId="77777777" w:rsidR="00CD5BA5" w:rsidRDefault="00CD5BA5" w:rsidP="00CD5BA5"/>
    <w:p w14:paraId="089F2753" w14:textId="77777777" w:rsidR="00CD5BA5" w:rsidRDefault="00CD5BA5" w:rsidP="00CD5BA5">
      <w:r>
        <w:t>Question</w:t>
      </w:r>
    </w:p>
    <w:p w14:paraId="5CB43F31" w14:textId="77777777" w:rsidR="00CD5BA5" w:rsidRDefault="00CD5BA5" w:rsidP="00CD5BA5">
      <w:r>
        <w:t xml:space="preserve">Test 2 will end with something of a cliffhanger: known direct descriptive representatives don't appear in the database, findings raise a question about what descriptive representation could possibly mean if someone has a criminal conviction but does not disclose it publicly, to the degree we can establish that there are very few direct descriptive representatives, we now don't know what this actually means (for representational styles, for substantive and symbolic representation, for service </w:t>
      </w:r>
      <w:proofErr w:type="spellStart"/>
      <w:r>
        <w:t>responsiceness</w:t>
      </w:r>
      <w:proofErr w:type="spellEnd"/>
      <w:r>
        <w:t xml:space="preserve">, for constituency effects). We don't know if direct descriptive representatives do things differently. But we don't know what matters to the carceral constituencies. We/I know that proximally impacted representatives can do representation in a distinct way that matters (Pressley and Miranda), differs from other legislators, and I know matters to directly and proximally impacted carceral constituencies. Liz and Ayanna go visit prisons, know what they need to do to be responsive to incarcerated constituencies (maintain lines of communication with incarcerated people's outside networks, </w:t>
      </w:r>
      <w:proofErr w:type="spellStart"/>
      <w:r>
        <w:t>etc</w:t>
      </w:r>
      <w:proofErr w:type="spellEnd"/>
      <w:r>
        <w:t xml:space="preserve">), know what it means to visit a prison. Unlike a couple-non-impacted legislators I'm thinking of who do care about CJ reform, small things like knowing </w:t>
      </w:r>
      <w:proofErr w:type="spellStart"/>
      <w:r>
        <w:t>effetive</w:t>
      </w:r>
      <w:proofErr w:type="spellEnd"/>
      <w:r>
        <w:t xml:space="preserve"> ways to schedule meetings with groups of </w:t>
      </w:r>
      <w:proofErr w:type="spellStart"/>
      <w:r>
        <w:t>icnarcerated</w:t>
      </w:r>
      <w:proofErr w:type="spellEnd"/>
      <w:r>
        <w:t xml:space="preserve"> constituencies versus assuming they can just show up, or who to talk to / not talk to about different kinds of access, all matter to carceral citizens. </w:t>
      </w:r>
    </w:p>
    <w:p w14:paraId="09E922CE" w14:textId="77777777" w:rsidR="00CD5BA5" w:rsidRDefault="00CD5BA5" w:rsidP="00CD5BA5"/>
    <w:p w14:paraId="4FE8F0CF" w14:textId="77777777" w:rsidR="00CD5BA5" w:rsidRDefault="00CD5BA5" w:rsidP="00CD5BA5">
      <w:r>
        <w:t xml:space="preserve">I'm coming into this with a theory from having organized with incarcerated people around state policy. My most abstract hunch is that it fundamentally matters that a legislator is not surprised that a person in prison knows something about policy, or has down someone in prison before, ever. </w:t>
      </w:r>
    </w:p>
    <w:p w14:paraId="366B02FA" w14:textId="77777777" w:rsidR="00CD5BA5" w:rsidRDefault="00CD5BA5" w:rsidP="00CD5BA5"/>
    <w:p w14:paraId="425DF920" w14:textId="77777777" w:rsidR="00CD5BA5" w:rsidRDefault="00CD5BA5" w:rsidP="00CD5BA5">
      <w:r>
        <w:t xml:space="preserve">This is moving away a bit to design, but I also need to be wary that I'm not sampling on the [forgot what it's called]. </w:t>
      </w:r>
    </w:p>
    <w:p w14:paraId="2A2B2555" w14:textId="77777777" w:rsidR="00CD5BA5" w:rsidRDefault="00CD5BA5" w:rsidP="00CD5BA5"/>
    <w:p w14:paraId="5443E626" w14:textId="77777777" w:rsidR="00CD5BA5" w:rsidRDefault="00CD5BA5" w:rsidP="00CD5BA5"/>
    <w:p w14:paraId="4BE12974" w14:textId="77777777" w:rsidR="00CD5BA5" w:rsidRDefault="00CD5BA5" w:rsidP="00CD5BA5">
      <w:r>
        <w:t>\</w:t>
      </w:r>
      <w:proofErr w:type="spellStart"/>
      <w:proofErr w:type="gramStart"/>
      <w:r>
        <w:t>textbf</w:t>
      </w:r>
      <w:proofErr w:type="spellEnd"/>
      <w:r>
        <w:t>{</w:t>
      </w:r>
      <w:proofErr w:type="gramEnd"/>
      <w:r>
        <w:t>Method}</w:t>
      </w:r>
    </w:p>
    <w:p w14:paraId="18002554" w14:textId="77777777" w:rsidR="00CD5BA5" w:rsidRDefault="00CD5BA5" w:rsidP="00CD5BA5"/>
    <w:p w14:paraId="58A4C75A" w14:textId="77777777" w:rsidR="00CD5BA5" w:rsidRDefault="00CD5BA5" w:rsidP="00CD5BA5">
      <w:r>
        <w:t>Why this chapter is a contender for grounded theory:</w:t>
      </w:r>
    </w:p>
    <w:p w14:paraId="4480BE9B" w14:textId="77777777" w:rsidR="00CD5BA5" w:rsidRDefault="00CD5BA5" w:rsidP="00CD5BA5">
      <w:r>
        <w:lastRenderedPageBreak/>
        <w:t xml:space="preserve">-pure grounded theory means staying </w:t>
      </w:r>
      <w:proofErr w:type="spellStart"/>
      <w:r>
        <w:t>sketicle</w:t>
      </w:r>
      <w:proofErr w:type="spellEnd"/>
      <w:r>
        <w:t xml:space="preserve"> of preformed theoretical concepts and letting theory emerge from the data, where "the data form the foundation for our theory and analysis of these data generates the concepts we construct" (2). </w:t>
      </w:r>
    </w:p>
    <w:p w14:paraId="1A1D2444" w14:textId="77777777" w:rsidR="00CD5BA5" w:rsidRDefault="00CD5BA5" w:rsidP="00CD5BA5"/>
    <w:p w14:paraId="6B050404" w14:textId="77777777" w:rsidR="00CD5BA5" w:rsidRDefault="00CD5BA5" w:rsidP="00CD5BA5">
      <w:r>
        <w:t>My positionality puts me in some tension with a pure grounded theory approach. First, my ...</w:t>
      </w:r>
    </w:p>
    <w:p w14:paraId="3A77F9F3" w14:textId="77777777" w:rsidR="00CD5BA5" w:rsidRDefault="00CD5BA5" w:rsidP="00CD5BA5"/>
    <w:p w14:paraId="27BCB9B8" w14:textId="77777777" w:rsidR="00CD5BA5" w:rsidRDefault="00CD5BA5" w:rsidP="00CD5BA5">
      <w:r>
        <w:t>Why this chapter is a contender for abductive analysis:</w:t>
      </w:r>
    </w:p>
    <w:p w14:paraId="0E2D848A" w14:textId="77777777" w:rsidR="00CD5BA5" w:rsidRDefault="00CD5BA5" w:rsidP="00CD5BA5">
      <w:r>
        <w:t xml:space="preserve">- abductive analysis in contrast is iterating between theoretical priors and empirical surprises, staying open to findings that challenge the priors or framework. </w:t>
      </w:r>
    </w:p>
    <w:p w14:paraId="03425A8F" w14:textId="77777777" w:rsidR="00CD5BA5" w:rsidRDefault="00CD5BA5" w:rsidP="00CD5BA5">
      <w:r>
        <w:t xml:space="preserve">Timmermans and </w:t>
      </w:r>
      <w:proofErr w:type="spellStart"/>
      <w:r>
        <w:t>Tavory</w:t>
      </w:r>
      <w:proofErr w:type="spellEnd"/>
      <w:r>
        <w:t xml:space="preserve"> (2012): “Often, the process of puzzling through the data not only will create a new puzzle but may actually construct a new game with new rules for thinking about the relationship between different pieces,” thus generating new theory (Timmermans and </w:t>
      </w:r>
      <w:proofErr w:type="spellStart"/>
      <w:r>
        <w:t>Tavory</w:t>
      </w:r>
      <w:proofErr w:type="spellEnd"/>
      <w:r>
        <w:t xml:space="preserve"> 2012:177).</w:t>
      </w:r>
    </w:p>
    <w:p w14:paraId="2398CACF" w14:textId="77777777" w:rsidR="00CD5BA5" w:rsidRDefault="00CD5BA5" w:rsidP="00CD5BA5"/>
    <w:p w14:paraId="37A93D25" w14:textId="77777777" w:rsidR="00CD5BA5" w:rsidRDefault="00CD5BA5" w:rsidP="00CD5BA5">
      <w:r>
        <w:t xml:space="preserve"> \</w:t>
      </w:r>
      <w:proofErr w:type="spellStart"/>
      <w:proofErr w:type="gramStart"/>
      <w:r>
        <w:t>textbf</w:t>
      </w:r>
      <w:proofErr w:type="spellEnd"/>
      <w:r>
        <w:t>{</w:t>
      </w:r>
      <w:proofErr w:type="gramEnd"/>
      <w:r>
        <w:t>Legislators</w:t>
      </w:r>
      <w:proofErr w:type="gramStart"/>
      <w:r>
        <w:t>: }In</w:t>
      </w:r>
      <w:proofErr w:type="gramEnd"/>
      <w:r>
        <w:t xml:space="preserve">-depth elite interviews with legislators seem well-suited to understand process questions – how experience shapes representational practice, how legislators conceptualize their obligations, how they navigate institutional incentives, and why symbolic/epistemic/recognition patterns emerge or fail to. </w:t>
      </w:r>
    </w:p>
    <w:p w14:paraId="729B8C08" w14:textId="77777777" w:rsidR="00CD5BA5" w:rsidRDefault="00CD5BA5" w:rsidP="00CD5BA5"/>
    <w:p w14:paraId="5457F5B5" w14:textId="77777777" w:rsidR="00CD5BA5" w:rsidRDefault="00CD5BA5" w:rsidP="00CD5BA5">
      <w:r>
        <w:t>• \</w:t>
      </w:r>
      <w:proofErr w:type="spellStart"/>
      <w:proofErr w:type="gramStart"/>
      <w:r>
        <w:t>textbf</w:t>
      </w:r>
      <w:proofErr w:type="spellEnd"/>
      <w:r>
        <w:t>{</w:t>
      </w:r>
      <w:proofErr w:type="gramEnd"/>
      <w:r>
        <w:t xml:space="preserve">Cluster B, Substantive representation:} Interviews can recover what CJ work </w:t>
      </w:r>
      <w:proofErr w:type="gramStart"/>
      <w:r>
        <w:t>actually looks</w:t>
      </w:r>
      <w:proofErr w:type="gramEnd"/>
      <w:r>
        <w:t xml:space="preserve"> like from the inside — how legislators prioritize, what trade-offs they face, how descriptive identity shapes their policy portfolio and framing.</w:t>
      </w:r>
    </w:p>
    <w:p w14:paraId="4D7A02AF" w14:textId="77777777" w:rsidR="00CD5BA5" w:rsidRDefault="00CD5BA5" w:rsidP="00CD5BA5"/>
    <w:p w14:paraId="5CC5DCEC" w14:textId="77777777" w:rsidR="00CD5BA5" w:rsidRDefault="00CD5BA5" w:rsidP="00CD5BA5">
      <w:r>
        <w:t>• \</w:t>
      </w:r>
      <w:proofErr w:type="spellStart"/>
      <w:proofErr w:type="gramStart"/>
      <w:r>
        <w:t>textbf</w:t>
      </w:r>
      <w:proofErr w:type="spellEnd"/>
      <w:r>
        <w:t>{</w:t>
      </w:r>
      <w:proofErr w:type="gramEnd"/>
      <w:r>
        <w:t>Cluster B, Symbolic:} Interviews capture \</w:t>
      </w:r>
      <w:proofErr w:type="spellStart"/>
      <w:r>
        <w:t>textit</w:t>
      </w:r>
      <w:proofErr w:type="spellEnd"/>
      <w:r>
        <w:t>{why} legislators invoke carceral citizens in certain registers, and under what conditions they feel they can/must center or can/must distance —mechanism that may help theory-build about symbolic patterns.</w:t>
      </w:r>
    </w:p>
    <w:p w14:paraId="2DB93269" w14:textId="77777777" w:rsidR="00CD5BA5" w:rsidRDefault="00CD5BA5" w:rsidP="00CD5BA5"/>
    <w:p w14:paraId="34CFB678" w14:textId="77777777" w:rsidR="00CD5BA5" w:rsidRDefault="00CD5BA5" w:rsidP="00CD5BA5">
      <w:r>
        <w:t>• \</w:t>
      </w:r>
      <w:proofErr w:type="spellStart"/>
      <w:proofErr w:type="gramStart"/>
      <w:r>
        <w:t>textbf</w:t>
      </w:r>
      <w:proofErr w:type="spellEnd"/>
      <w:r>
        <w:t>{</w:t>
      </w:r>
      <w:proofErr w:type="gramEnd"/>
      <w:r>
        <w:t>Cluster B, Recognition/Epistemic:} Interviews are particularly well-suited to epistemic dimensions. The question of whether a legislator treats carceral citizens as \</w:t>
      </w:r>
      <w:proofErr w:type="spellStart"/>
      <w:r>
        <w:t>textit</w:t>
      </w:r>
      <w:proofErr w:type="spellEnd"/>
      <w:r>
        <w:t xml:space="preserve">{knowers} is hard to capture through text analysis alone; it requires probing how they </w:t>
      </w:r>
      <w:r>
        <w:lastRenderedPageBreak/>
        <w:t>conceptualize constituent voice, legitimate political claims, and their own role as knowledge-brokers or bridges.</w:t>
      </w:r>
    </w:p>
    <w:p w14:paraId="1F97E8A5" w14:textId="77777777" w:rsidR="00CD5BA5" w:rsidRDefault="00CD5BA5" w:rsidP="00CD5BA5"/>
    <w:p w14:paraId="21C4CD9F" w14:textId="77777777" w:rsidR="00CD5BA5" w:rsidRDefault="00CD5BA5" w:rsidP="00CD5BA5">
      <w:r>
        <w:t>• Indirect/incidental fit with Cluster A: Snowball sampling inherently expands the database — participants name peers who are directly or proximally impacted. Recruitment through advocacy networks further surfaces who is out there. Among impacted representatives, their perception of institutional culture could also help inform “cluster A,” or verify findings on the descriptive representation. This grows the database, but as a byproduct, not a systematic mechanism (thinking about research ethics).</w:t>
      </w:r>
    </w:p>
    <w:p w14:paraId="161111C6" w14:textId="77777777" w:rsidR="00CD5BA5" w:rsidRDefault="00CD5BA5" w:rsidP="00CD5BA5"/>
    <w:p w14:paraId="27E39792" w14:textId="77777777" w:rsidR="00CD5BA5" w:rsidRDefault="00CD5BA5" w:rsidP="00CD5BA5">
      <w:r>
        <w:t xml:space="preserve"> \</w:t>
      </w:r>
      <w:proofErr w:type="spellStart"/>
      <w:proofErr w:type="gramStart"/>
      <w:r>
        <w:t>textbf</w:t>
      </w:r>
      <w:proofErr w:type="spellEnd"/>
      <w:r>
        <w:t>{</w:t>
      </w:r>
      <w:proofErr w:type="gramEnd"/>
      <w:r>
        <w:t>Incarcerated/Formerly Incarcerated Constituents:}</w:t>
      </w:r>
    </w:p>
    <w:p w14:paraId="613A902F" w14:textId="77777777" w:rsidR="00CD5BA5" w:rsidRDefault="00CD5BA5" w:rsidP="00CD5BA5"/>
    <w:p w14:paraId="1EBA343E" w14:textId="77777777" w:rsidR="00CD5BA5" w:rsidRDefault="00CD5BA5" w:rsidP="00CD5BA5">
      <w:r>
        <w:t>- I have (IRB-safe) testimony from incarcerated activists</w:t>
      </w:r>
    </w:p>
    <w:p w14:paraId="6872E7D7" w14:textId="77777777" w:rsidR="00CD5BA5" w:rsidRDefault="00CD5BA5" w:rsidP="00CD5BA5"/>
    <w:p w14:paraId="1B352196" w14:textId="77777777" w:rsidR="00CD5BA5" w:rsidRDefault="00CD5BA5" w:rsidP="00CD5BA5">
      <w:r>
        <w:t>- Interview AACC + networks in MCI-Norfolk</w:t>
      </w:r>
    </w:p>
    <w:p w14:paraId="60564258" w14:textId="77777777" w:rsidR="00CD5BA5" w:rsidRDefault="00CD5BA5" w:rsidP="00CD5BA5"/>
    <w:p w14:paraId="24C64796" w14:textId="683C156A" w:rsidR="001554D9" w:rsidRDefault="00CD5BA5" w:rsidP="00CD5BA5">
      <w:r>
        <w:t>- Al-Ameen is getting paroled late summer/early fall 2026 – extended interviews with him</w:t>
      </w:r>
    </w:p>
    <w:sectPr w:rsidR="00155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BA5"/>
    <w:rsid w:val="001554D9"/>
    <w:rsid w:val="003A5267"/>
    <w:rsid w:val="00846FC3"/>
    <w:rsid w:val="008C2728"/>
    <w:rsid w:val="00B4476B"/>
    <w:rsid w:val="00CD5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71E63F"/>
  <w15:chartTrackingRefBased/>
  <w15:docId w15:val="{8782A4E3-A000-C24E-86F8-88691808C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BA5"/>
    <w:rPr>
      <w:rFonts w:eastAsiaTheme="majorEastAsia" w:cstheme="majorBidi"/>
      <w:color w:val="272727" w:themeColor="text1" w:themeTint="D8"/>
    </w:rPr>
  </w:style>
  <w:style w:type="paragraph" w:styleId="Title">
    <w:name w:val="Title"/>
    <w:basedOn w:val="Normal"/>
    <w:next w:val="Normal"/>
    <w:link w:val="TitleChar"/>
    <w:uiPriority w:val="10"/>
    <w:qFormat/>
    <w:rsid w:val="00CD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D5BA5"/>
    <w:rPr>
      <w:i/>
      <w:iCs/>
      <w:color w:val="404040" w:themeColor="text1" w:themeTint="BF"/>
    </w:rPr>
  </w:style>
  <w:style w:type="paragraph" w:styleId="ListParagraph">
    <w:name w:val="List Paragraph"/>
    <w:basedOn w:val="Normal"/>
    <w:uiPriority w:val="34"/>
    <w:qFormat/>
    <w:rsid w:val="00CD5BA5"/>
    <w:pPr>
      <w:ind w:left="720"/>
      <w:contextualSpacing/>
    </w:pPr>
  </w:style>
  <w:style w:type="character" w:styleId="IntenseEmphasis">
    <w:name w:val="Intense Emphasis"/>
    <w:basedOn w:val="DefaultParagraphFont"/>
    <w:uiPriority w:val="21"/>
    <w:qFormat/>
    <w:rsid w:val="00CD5BA5"/>
    <w:rPr>
      <w:i/>
      <w:iCs/>
      <w:color w:val="0F4761" w:themeColor="accent1" w:themeShade="BF"/>
    </w:rPr>
  </w:style>
  <w:style w:type="paragraph" w:styleId="IntenseQuote">
    <w:name w:val="Intense Quote"/>
    <w:basedOn w:val="Normal"/>
    <w:next w:val="Normal"/>
    <w:link w:val="IntenseQuoteChar"/>
    <w:uiPriority w:val="30"/>
    <w:qFormat/>
    <w:rsid w:val="00CD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BA5"/>
    <w:rPr>
      <w:i/>
      <w:iCs/>
      <w:color w:val="0F4761" w:themeColor="accent1" w:themeShade="BF"/>
    </w:rPr>
  </w:style>
  <w:style w:type="character" w:styleId="IntenseReference">
    <w:name w:val="Intense Reference"/>
    <w:basedOn w:val="DefaultParagraphFont"/>
    <w:uiPriority w:val="32"/>
    <w:qFormat/>
    <w:rsid w:val="00CD5B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1629</Words>
  <Characters>10054</Characters>
  <Application>Microsoft Office Word</Application>
  <DocSecurity>0</DocSecurity>
  <Lines>205</Lines>
  <Paragraphs>66</Paragraphs>
  <ScaleCrop>false</ScaleCrop>
  <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2026-03-16T14:53:00Z</dcterms:created>
  <dcterms:modified xsi:type="dcterms:W3CDTF">2026-03-16T14:53:00Z</dcterms:modified>
</cp:coreProperties>
</file>