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EF61B" w14:textId="1FDC2202" w:rsidR="001554D9" w:rsidRDefault="00704179">
      <w:r>
        <w:t>Streamline Expectations</w:t>
      </w:r>
    </w:p>
    <w:p w14:paraId="4747C5D3" w14:textId="77777777" w:rsidR="00704179" w:rsidRDefault="00704179"/>
    <w:p w14:paraId="3E41F45B" w14:textId="7CC4E7D4" w:rsidR="00704179" w:rsidRDefault="00704179" w:rsidP="00704179">
      <w:pPr>
        <w:pStyle w:val="p1"/>
      </w:pPr>
      <w:r>
        <w:t xml:space="preserve">Intro - </w:t>
      </w:r>
      <w:r>
        <w:t>Theory</w:t>
      </w:r>
    </w:p>
    <w:p w14:paraId="0348185C" w14:textId="77777777" w:rsidR="00704179" w:rsidRDefault="00704179" w:rsidP="00704179">
      <w:pPr>
        <w:pStyle w:val="p2"/>
      </w:pPr>
      <w:r>
        <w:t>Representation for carcerally-impacted populations may fail across three dimensions: substantive</w:t>
      </w:r>
    </w:p>
    <w:p w14:paraId="7FDB37F7" w14:textId="77777777" w:rsidR="00704179" w:rsidRDefault="00704179" w:rsidP="00704179">
      <w:pPr>
        <w:pStyle w:val="p2"/>
      </w:pPr>
      <w:r>
        <w:rPr>
          <w:rStyle w:val="s1"/>
          <w:rFonts w:eastAsiaTheme="majorEastAsia"/>
        </w:rPr>
        <w:t>responsiveness,symbolicrecognition,andserviceresponsiveness. Whileexistingframeworkstreat</w:t>
      </w:r>
    </w:p>
    <w:p w14:paraId="17FF07EE" w14:textId="77777777" w:rsidR="00704179" w:rsidRDefault="00704179" w:rsidP="00704179">
      <w:pPr>
        <w:pStyle w:val="p3"/>
      </w:pPr>
      <w:r>
        <w:t>these as either collapsed or sequential, they are better understood in relation to epistemic inclusion. (?)</w:t>
      </w:r>
    </w:p>
    <w:p w14:paraId="2DDFEFFB" w14:textId="77777777" w:rsidR="00704179" w:rsidRDefault="00704179" w:rsidP="00704179">
      <w:pPr>
        <w:pStyle w:val="p3"/>
      </w:pPr>
      <w:r>
        <w:rPr>
          <w:rStyle w:val="s2"/>
        </w:rPr>
        <w:t>Inthisprospectus,thetheoreticalinnovationistwofold. First,itextendsthedescriptiverepresentation</w:t>
      </w:r>
    </w:p>
    <w:p w14:paraId="030644B5" w14:textId="77777777" w:rsidR="00704179" w:rsidRDefault="00704179" w:rsidP="00704179">
      <w:pPr>
        <w:pStyle w:val="p2"/>
      </w:pPr>
      <w:r>
        <w:t>literature to treat legislators’ proximity to the carceral state as a dimension of lived experience that</w:t>
      </w:r>
    </w:p>
    <w:p w14:paraId="22868309" w14:textId="77777777" w:rsidR="00704179" w:rsidRDefault="00704179" w:rsidP="00704179">
      <w:pPr>
        <w:pStyle w:val="p4"/>
      </w:pPr>
      <w:r>
        <w:t>2</w:t>
      </w:r>
    </w:p>
    <w:p w14:paraId="1D5DBB5A" w14:textId="77777777" w:rsidR="00704179" w:rsidRDefault="00704179" w:rsidP="00704179">
      <w:pPr>
        <w:pStyle w:val="p5"/>
      </w:pPr>
      <w:r>
        <w:t>APSR Submission Template APSRSubmission Template APSR Submission Template APSR Submission Template APSR Submission Template APSR Submission Template APSR Submission Template APSR Submission TemplateAPSR Submission Template APSR Submission Template APSR Submission Template APSR Submission Template APSR Submission Template APSRSubmissionTemplate APSRSubmissionTemplate APSR Submission Template</w:t>
      </w:r>
    </w:p>
    <w:p w14:paraId="2FE93653" w14:textId="77777777" w:rsidR="00704179" w:rsidRDefault="00704179" w:rsidP="00704179">
      <w:pPr>
        <w:pStyle w:val="p6"/>
      </w:pPr>
      <w:r>
        <w:t>Prospectus Title</w:t>
      </w:r>
    </w:p>
    <w:p w14:paraId="20D5E4B2" w14:textId="77777777" w:rsidR="00704179" w:rsidRDefault="00704179" w:rsidP="00704179">
      <w:pPr>
        <w:pStyle w:val="p4"/>
      </w:pPr>
      <w:r>
        <w:rPr>
          <w:rStyle w:val="s4"/>
        </w:rPr>
        <w:t>shapesrepresentationalbehavior,parallelinghowrace,gender,andclasshavebeenshowntomatter</w:t>
      </w:r>
    </w:p>
    <w:p w14:paraId="48B352A3" w14:textId="77777777" w:rsidR="00704179" w:rsidRDefault="00704179" w:rsidP="00704179">
      <w:pPr>
        <w:pStyle w:val="p2"/>
      </w:pPr>
      <w:r>
        <w:t>and that may open the door for examination of other forms of experience (experiential descriptive</w:t>
      </w:r>
    </w:p>
    <w:p w14:paraId="2276061E" w14:textId="77777777" w:rsidR="00704179" w:rsidRDefault="00704179" w:rsidP="00704179">
      <w:pPr>
        <w:pStyle w:val="p4"/>
      </w:pPr>
      <w:r>
        <w:rPr>
          <w:rStyle w:val="s4"/>
        </w:rPr>
        <w:t>representation,intersectional). Second,followingPottle()andFricker(),thisprospectusintroduces</w:t>
      </w:r>
    </w:p>
    <w:p w14:paraId="24D56AA4" w14:textId="77777777" w:rsidR="00704179" w:rsidRDefault="00704179" w:rsidP="00704179">
      <w:pPr>
        <w:pStyle w:val="p2"/>
      </w:pPr>
      <w:r>
        <w:t>epistemic inclusion as a third tier — distinct from both symbolic, service, and substantive — that</w:t>
      </w:r>
    </w:p>
    <w:p w14:paraId="2A68E2D5" w14:textId="77777777" w:rsidR="00704179" w:rsidRDefault="00704179" w:rsidP="00704179">
      <w:pPr>
        <w:pStyle w:val="p2"/>
      </w:pPr>
      <w:r>
        <w:t>captures whether carcerally-impacted people are not only treated as constituents but constructed</w:t>
      </w:r>
    </w:p>
    <w:p w14:paraId="14D2C346" w14:textId="77777777" w:rsidR="00704179" w:rsidRDefault="00704179" w:rsidP="00704179">
      <w:pPr>
        <w:pStyle w:val="p2"/>
      </w:pPr>
      <w:r>
        <w:t>as knowers whose perspectives are legitimate inputs to governance, or merely as policy objects.</w:t>
      </w:r>
    </w:p>
    <w:p w14:paraId="749A0940" w14:textId="77777777" w:rsidR="00704179" w:rsidRDefault="00704179" w:rsidP="00704179">
      <w:pPr>
        <w:pStyle w:val="p2"/>
      </w:pPr>
      <w:r>
        <w:t>(and/ormayhelpexplainwhat’sgoingonwhenactsofsubstantiveandsymbolicrepresentationare</w:t>
      </w:r>
    </w:p>
    <w:p w14:paraId="5461DEA0" w14:textId="77777777" w:rsidR="00704179" w:rsidRDefault="00704179" w:rsidP="00704179">
      <w:pPr>
        <w:pStyle w:val="p4"/>
      </w:pPr>
      <w:r>
        <w:t>hollow/distancing).</w:t>
      </w:r>
    </w:p>
    <w:p w14:paraId="49A67C10" w14:textId="77777777" w:rsidR="00704179" w:rsidRDefault="00704179" w:rsidP="00704179">
      <w:pPr>
        <w:pStyle w:val="p2"/>
      </w:pPr>
      <w:r>
        <w:t>Building on scholarship that shows carceral contact and membership in race-class subjugated</w:t>
      </w:r>
    </w:p>
    <w:p w14:paraId="12F246C9" w14:textId="77777777" w:rsidR="00704179" w:rsidRDefault="00704179" w:rsidP="00704179">
      <w:pPr>
        <w:pStyle w:val="p3"/>
      </w:pPr>
      <w:r>
        <w:rPr>
          <w:rStyle w:val="s2"/>
        </w:rPr>
        <w:t>communitiesmorebroadlygeneratesaspecificformofpoliticalknowledge(Weaver,Pistorn,*Prowse)</w:t>
      </w:r>
    </w:p>
    <w:p w14:paraId="73923FBE" w14:textId="77777777" w:rsidR="00704179" w:rsidRDefault="00704179" w:rsidP="00704179">
      <w:pPr>
        <w:pStyle w:val="p2"/>
      </w:pPr>
      <w:r>
        <w:t>about the state’s coercive "second face" (Gottschalk 2008, Cohen 2010, Roberts 2012, Lerman and</w:t>
      </w:r>
    </w:p>
    <w:p w14:paraId="4CA45B1A" w14:textId="77777777" w:rsidR="00704179" w:rsidRDefault="00704179" w:rsidP="00704179">
      <w:pPr>
        <w:pStyle w:val="p4"/>
      </w:pPr>
      <w:r>
        <w:rPr>
          <w:rStyle w:val="s4"/>
        </w:rPr>
        <w:t>Weaver2014,SossandWeaver2016)Isuggestthatcarceralconstituenciesshouldbeunderstoodas</w:t>
      </w:r>
    </w:p>
    <w:p w14:paraId="5847D0AE" w14:textId="77777777" w:rsidR="00704179" w:rsidRDefault="00704179" w:rsidP="00704179">
      <w:pPr>
        <w:pStyle w:val="p4"/>
      </w:pPr>
      <w:r>
        <w:rPr>
          <w:rStyle w:val="s4"/>
        </w:rPr>
        <w:t>holdingdistinct,organized,andcoherentpreferencesandknowledgethatwarrantrepresentation. Yet</w:t>
      </w:r>
    </w:p>
    <w:p w14:paraId="561D940D" w14:textId="77777777" w:rsidR="00704179" w:rsidRDefault="00704179" w:rsidP="00704179">
      <w:pPr>
        <w:pStyle w:val="p7"/>
      </w:pPr>
      <w:r>
        <w:t>ongoing marginalization in electoral-representative politics suggests that "descriptive representatives"</w:t>
      </w:r>
    </w:p>
    <w:p w14:paraId="47C5A5B1" w14:textId="77777777" w:rsidR="00704179" w:rsidRDefault="00704179" w:rsidP="00704179">
      <w:pPr>
        <w:pStyle w:val="p2"/>
      </w:pPr>
      <w:r>
        <w:t>fortheseconstituenciesmayrarelybepresent. Whilepoorconstituenciesareprimarilyrepresented</w:t>
      </w:r>
    </w:p>
    <w:p w14:paraId="04725185" w14:textId="77777777" w:rsidR="00704179" w:rsidRDefault="00704179" w:rsidP="00704179">
      <w:pPr>
        <w:pStyle w:val="p4"/>
      </w:pPr>
      <w:r>
        <w:rPr>
          <w:rStyle w:val="s4"/>
        </w:rPr>
        <w:t>(inCongress)by"proxies"(Miler)—legislatorsnotthemselvesfromthelow-incomedistricts,who</w:t>
      </w:r>
    </w:p>
    <w:p w14:paraId="30AE031B" w14:textId="77777777" w:rsidR="00704179" w:rsidRDefault="00704179" w:rsidP="00704179">
      <w:pPr>
        <w:pStyle w:val="p2"/>
      </w:pPr>
      <w:r>
        <w:rPr>
          <w:rStyle w:val="s1"/>
          <w:rFonts w:eastAsiaTheme="majorEastAsia"/>
        </w:rPr>
        <w:t>tendtobewomenandracialminorities—andBlacklegislatorsandlegislatorsofcolorhistorically</w:t>
      </w:r>
    </w:p>
    <w:p w14:paraId="1EB9E798" w14:textId="77777777" w:rsidR="00704179" w:rsidRDefault="00704179" w:rsidP="00704179">
      <w:pPr>
        <w:pStyle w:val="p3"/>
      </w:pPr>
      <w:r>
        <w:rPr>
          <w:rStyle w:val="s2"/>
        </w:rPr>
        <w:t>champion criminal legal reform (Eckhouse), I draw on evidence of stigmatization, social constructions,</w:t>
      </w:r>
    </w:p>
    <w:p w14:paraId="5CF68251" w14:textId="77777777" w:rsidR="00704179" w:rsidRDefault="00704179" w:rsidP="00704179">
      <w:pPr>
        <w:pStyle w:val="p2"/>
      </w:pPr>
      <w:r>
        <w:t>and electoral incentive to suggest that even potential "proxies" may not be immune from pressures</w:t>
      </w:r>
    </w:p>
    <w:p w14:paraId="77F23DEE" w14:textId="77777777" w:rsidR="00704179" w:rsidRDefault="00704179" w:rsidP="00704179">
      <w:pPr>
        <w:pStyle w:val="p2"/>
      </w:pPr>
      <w:r>
        <w:t>to distance or sanitize their representational acts. The result may be not simply absence across</w:t>
      </w:r>
    </w:p>
    <w:p w14:paraId="233ED1DE" w14:textId="77777777" w:rsidR="00704179" w:rsidRDefault="00704179" w:rsidP="00704179">
      <w:pPr>
        <w:pStyle w:val="p7"/>
      </w:pPr>
      <w:r>
        <w:t>dimensions, but qualitatively different forms of substantive or symbolic representation such that when</w:t>
      </w:r>
    </w:p>
    <w:p w14:paraId="3C05F59C" w14:textId="77777777" w:rsidR="00704179" w:rsidRDefault="00704179" w:rsidP="00704179">
      <w:pPr>
        <w:pStyle w:val="p7"/>
      </w:pPr>
      <w:r>
        <w:rPr>
          <w:rStyle w:val="s5"/>
          <w:rFonts w:eastAsiaTheme="majorEastAsia"/>
        </w:rPr>
        <w:t>these acts occur, they "selectively hear" or support problem definitions or policy solutions that diverge</w:t>
      </w:r>
    </w:p>
    <w:p w14:paraId="4BAC31D8" w14:textId="77777777" w:rsidR="00704179" w:rsidRDefault="00704179" w:rsidP="00704179">
      <w:pPr>
        <w:pStyle w:val="p3"/>
      </w:pPr>
      <w:r>
        <w:rPr>
          <w:rStyle w:val="s2"/>
        </w:rPr>
        <w:t>(Weaver and Decker 2014), or that reaffirm their marginalization through hollow or distancing gestures</w:t>
      </w:r>
    </w:p>
    <w:p w14:paraId="280112F2" w14:textId="77777777" w:rsidR="00704179" w:rsidRDefault="00704179" w:rsidP="00704179">
      <w:pPr>
        <w:pStyle w:val="p2"/>
      </w:pPr>
      <w:r>
        <w:t>that maintain constructions of carceral communities’ knowledge and preferences as irrelevant for</w:t>
      </w:r>
    </w:p>
    <w:p w14:paraId="4C40A1D5" w14:textId="77777777" w:rsidR="00704179" w:rsidRDefault="00704179" w:rsidP="00704179">
      <w:pPr>
        <w:pStyle w:val="p2"/>
      </w:pPr>
      <w:r>
        <w:t>governance. Drawing on social epistemology, I argue this exclusion operates through two distinct</w:t>
      </w:r>
    </w:p>
    <w:p w14:paraId="668D5300" w14:textId="77777777" w:rsidR="00704179" w:rsidRDefault="00704179" w:rsidP="00704179">
      <w:pPr>
        <w:pStyle w:val="p7"/>
      </w:pPr>
      <w:r>
        <w:rPr>
          <w:rStyle w:val="s5"/>
          <w:rFonts w:eastAsiaTheme="majorEastAsia"/>
        </w:rPr>
        <w:t>mechanisms: testimonial injustice, in whichcarcerally-impactedpeopleareconstructedasuncredible</w:t>
      </w:r>
    </w:p>
    <w:p w14:paraId="56B6130C" w14:textId="77777777" w:rsidR="00704179" w:rsidRDefault="00704179" w:rsidP="00704179">
      <w:pPr>
        <w:pStyle w:val="p3"/>
      </w:pPr>
      <w:r>
        <w:rPr>
          <w:rStyle w:val="s2"/>
        </w:rPr>
        <w:t>knowerswhoseclaimsarediscountedordismissed;andhermeneuticinjustice,inwhichtheinterpretive</w:t>
      </w:r>
    </w:p>
    <w:p w14:paraId="22058A5A" w14:textId="77777777" w:rsidR="00704179" w:rsidRDefault="00704179" w:rsidP="00704179">
      <w:pPr>
        <w:pStyle w:val="p2"/>
      </w:pPr>
      <w:r>
        <w:t>frameworks governing legislative deliberation lack the resources to make sense of carceral life on</w:t>
      </w:r>
    </w:p>
    <w:p w14:paraId="4999741D" w14:textId="77777777" w:rsidR="00704179" w:rsidRDefault="00704179" w:rsidP="00704179">
      <w:pPr>
        <w:pStyle w:val="p6"/>
      </w:pPr>
      <w:r>
        <w:rPr>
          <w:rStyle w:val="s4"/>
        </w:rPr>
        <w:t>3</w:t>
      </w:r>
      <w:r>
        <w:t>Anonymised Author(s)</w:t>
      </w:r>
    </w:p>
    <w:p w14:paraId="1F085913" w14:textId="77777777" w:rsidR="00704179" w:rsidRDefault="00704179" w:rsidP="00704179">
      <w:pPr>
        <w:pStyle w:val="p2"/>
      </w:pPr>
      <w:r>
        <w:t>its own terms. Directly carcerally-impacted legislators may be distinctively positioned to address</w:t>
      </w:r>
    </w:p>
    <w:p w14:paraId="1E4DEDE5" w14:textId="77777777" w:rsidR="00704179" w:rsidRDefault="00704179" w:rsidP="00704179">
      <w:pPr>
        <w:pStyle w:val="p2"/>
      </w:pPr>
      <w:r>
        <w:t>hermeneutic injustice in particular — not only because they are less susceptible to negative social</w:t>
      </w:r>
    </w:p>
    <w:p w14:paraId="2EAC2250" w14:textId="77777777" w:rsidR="00704179" w:rsidRDefault="00704179" w:rsidP="00704179">
      <w:pPr>
        <w:pStyle w:val="p7"/>
      </w:pPr>
      <w:r>
        <w:rPr>
          <w:rStyle w:val="s5"/>
          <w:rFonts w:eastAsiaTheme="majorEastAsia"/>
        </w:rPr>
        <w:t>constructions of criminality, but because theypossesspractical knowledge mostlegislators lack: how</w:t>
      </w:r>
    </w:p>
    <w:p w14:paraId="1CAD32C7" w14:textId="77777777" w:rsidR="00704179" w:rsidRDefault="00704179" w:rsidP="00704179">
      <w:pPr>
        <w:pStyle w:val="p7"/>
      </w:pPr>
      <w:r>
        <w:rPr>
          <w:rStyle w:val="s5"/>
          <w:rFonts w:eastAsiaTheme="majorEastAsia"/>
        </w:rPr>
        <w:t>to maintain contact with incarcerated constituents, how to read carceral bureaucracy, how to recognize</w:t>
      </w:r>
    </w:p>
    <w:p w14:paraId="3B81BC5B" w14:textId="77777777" w:rsidR="00704179" w:rsidRDefault="00704179" w:rsidP="00704179">
      <w:pPr>
        <w:pStyle w:val="p2"/>
      </w:pPr>
      <w:r>
        <w:t>when policy language obscures rather than reflects carceral realities. Moreover, they may be those</w:t>
      </w:r>
    </w:p>
    <w:p w14:paraId="7B23D482" w14:textId="77777777" w:rsidR="00704179" w:rsidRDefault="00704179" w:rsidP="00704179">
      <w:pPr>
        <w:pStyle w:val="p4"/>
      </w:pPr>
      <w:r>
        <w:t>representatives most likelytoengage with carceralconstituencies asconstituents inthefirst place.</w:t>
      </w:r>
    </w:p>
    <w:p w14:paraId="03BF4E7E" w14:textId="77777777" w:rsidR="00704179" w:rsidRDefault="00704179"/>
    <w:p w14:paraId="793BB603" w14:textId="4AD5A29E" w:rsidR="00704179" w:rsidRDefault="00704179">
      <w:r>
        <w:t>Entire theory section to Expectations:</w:t>
      </w:r>
    </w:p>
    <w:p w14:paraId="61D80B69" w14:textId="77777777" w:rsidR="00704179" w:rsidRDefault="00704179" w:rsidP="00704179"/>
    <w:p w14:paraId="383A9BCE" w14:textId="77777777" w:rsidR="00704179" w:rsidRDefault="00704179" w:rsidP="00704179">
      <w:r>
        <w:t>\section{II. Theory}</w:t>
      </w:r>
    </w:p>
    <w:p w14:paraId="3B77ED73" w14:textId="77777777" w:rsidR="00704179" w:rsidRDefault="00704179" w:rsidP="00704179"/>
    <w:p w14:paraId="02DD36CA" w14:textId="77777777" w:rsidR="00704179" w:rsidRDefault="00704179" w:rsidP="00704179">
      <w:r>
        <w:t>\subsection{Evaluating Democratic Representation}</w:t>
      </w:r>
    </w:p>
    <w:p w14:paraId="7B8B86F8" w14:textId="77777777" w:rsidR="00704179" w:rsidRDefault="00704179" w:rsidP="00704179">
      <w:r>
        <w:t>Representation is the normative core of democratic theory and evaluation. Political scientists have long understood democracy as not just a set of institutions and procedures, but rather as a living system whose legitimacy rests on the degree to which public authority reflects, responds to, and is accountable to the people it represents (Locke p 1980, Pitkin 1967). Yet, there is little consensus about what constitutes a “good” representational environment (Horowitz 2003, Lijphart 2004, 2012), or “good” or even possible representation (Pitkin 1967, Achen and Bartels, Disch) – nor is there consensus on how such things are best measured (Broockman, Mia). One way these debates about democratic representation diverge is over the direction of their evaluative attention. Some scholars look “upstream,” or locate democratic quality in the institutional design of electoral systems, party structures, and incentive environments that regulate access to office and shape political behavior (). Others look “downstream,” and judge representation by its consequences: “substantive” policy outputs, distributive equity, and responsiveness – either to constituent preferences and interests, or to “service responsiveness” to constituent contact. Some dynamics – such as institutional cultures and norms – operate across both “streams.” They function as upstream filters that shape who enters office and as downstream consequences reshaped by who is present. Both perspectives, however, implicate a prior empirical question: who holds office?</w:t>
      </w:r>
    </w:p>
    <w:p w14:paraId="32C5E304" w14:textId="77777777" w:rsidR="00704179" w:rsidRDefault="00704179" w:rsidP="00704179"/>
    <w:p w14:paraId="6CA2D1B7" w14:textId="77777777" w:rsidR="00704179" w:rsidRDefault="00704179" w:rsidP="00704179">
      <w:r>
        <w:t>\subsubsection{What is Descriptive Representation?}</w:t>
      </w:r>
    </w:p>
    <w:p w14:paraId="3D543B56" w14:textId="77777777" w:rsidR="00704179" w:rsidRDefault="00704179" w:rsidP="00704179">
      <w:r>
        <w:t xml:space="preserve">The study of who holds office – and the degree to which their characteristics are congruent with those of the populations they govern – is the domain of descriptive representation: whether “representatives are in their own persons and lives in some sense typical of the larger class of persons whom they represent (Mansbridge 1999, 629). First taken up systematically in the 1950s (Matthews 1954), the concept has since been examined across dimensions including race, gender, ethnicity, occupation, education, wealth, and class background (Carnes \&amp; Lupu 2024). </w:t>
      </w:r>
    </w:p>
    <w:p w14:paraId="6375349F" w14:textId="77777777" w:rsidR="00704179" w:rsidRDefault="00704179" w:rsidP="00704179"/>
    <w:p w14:paraId="2270A48F" w14:textId="77777777" w:rsidR="00704179" w:rsidRDefault="00704179" w:rsidP="00704179">
      <w:r>
        <w:t>\subsubsection{Descriptive Representation in Theory}</w:t>
      </w:r>
    </w:p>
    <w:p w14:paraId="5665D1E6" w14:textId="77777777" w:rsidR="00704179" w:rsidRDefault="00704179" w:rsidP="00704179"/>
    <w:p w14:paraId="1B323721" w14:textId="77777777" w:rsidR="00704179" w:rsidRDefault="00704179" w:rsidP="00704179">
      <w:r>
        <w:lastRenderedPageBreak/>
        <w:t>[\textit{I originally introduced why descriptive representation matters in theory here, but in trying to organize the empirical section in a more streamlined way, held off on this -- it is a bit incorporated throughout the empirical.}]</w:t>
      </w:r>
    </w:p>
    <w:p w14:paraId="7079A6E8" w14:textId="77777777" w:rsidR="00704179" w:rsidRDefault="00704179" w:rsidP="00704179"/>
    <w:p w14:paraId="0604FBC9" w14:textId="77777777" w:rsidR="00704179" w:rsidRDefault="00704179" w:rsidP="00704179">
      <w:r>
        <w:t>\subsection{Patterns and Mechanisms: Empirical Literature on Descriptive Representation}</w:t>
      </w:r>
    </w:p>
    <w:p w14:paraId="083BF7E8" w14:textId="77777777" w:rsidR="00704179" w:rsidRDefault="00704179" w:rsidP="00704179"/>
    <w:p w14:paraId="7FA2475C" w14:textId="77777777" w:rsidR="00704179" w:rsidRDefault="00704179" w:rsidP="00704179">
      <w:r>
        <w:t xml:space="preserve">Indeed, a large empirical literature has employed descriptive representation as a core indicator of democratic inclusion and institutional performance.  Across geographic contexts and various levels of government (), scholars have established evidence on who representatives tend to be, when these compositions change, and both what produces them and their consequences. </w:t>
      </w:r>
    </w:p>
    <w:p w14:paraId="0F988A96" w14:textId="77777777" w:rsidR="00704179" w:rsidRDefault="00704179" w:rsidP="00704179"/>
    <w:p w14:paraId="6A096133" w14:textId="77777777" w:rsidR="00704179" w:rsidRDefault="00704179" w:rsidP="00704179">
      <w:r>
        <w:t>\subsubsection{Who Governs: Persistent Gaps in Legislative Composition}</w:t>
      </w:r>
    </w:p>
    <w:p w14:paraId="04E2D106" w14:textId="77777777" w:rsidR="00704179" w:rsidRDefault="00704179" w:rsidP="00704179"/>
    <w:p w14:paraId="0C799173" w14:textId="77777777" w:rsidR="00704179" w:rsidRDefault="00704179" w:rsidP="00704179">
      <w:r>
        <w:t>The composition of who holds elected office shows that formal equality has not produced equality of representation. In general, women are unrepresented in political office; across state legislatures, gender representation varies considerably, from a third in some states to “less than one in 10 female legislators in other states” (Atkeson and Carillo 2007). Although black and minority descriptive representation has made gains since the passage of the Voting Rights Act, Congress and state legislatures fall well short of proportional representation (McClain \&amp; Carew 2017; Pew 2023) - Black representatives constitute only 10.5 \% of state legislatures, and Hispanic representatives 6.3\%. Moreover, elected officials in Congress and state legislatures are “almost always wealthier, more educated, and more likely to come from white-collar jobs than the citizens who elect them” (Carnes 2012). In Congress, less than 2\% of the average representative's pre-congressional career was spent in working-class jobs, contrasting sharply with the over 50\% working-class composition of the U.S. labor force (Carnes and Lupu 2015). Moreover, these disparities tend to be exacerbated in positions of leadership (footnote: though not always for women, proportions in leadership positions roughly reflect overall proportions (Whicker and Jewell 1998).</w:t>
      </w:r>
    </w:p>
    <w:p w14:paraId="2ECD9A15" w14:textId="77777777" w:rsidR="00704179" w:rsidRDefault="00704179" w:rsidP="00704179"/>
    <w:p w14:paraId="209CDF0A" w14:textId="77777777" w:rsidR="00704179" w:rsidRDefault="00704179" w:rsidP="00704179">
      <w:r>
        <w:lastRenderedPageBreak/>
        <w:t>"UPSTREAM" + INTERACTIONS - A dedicated literature explains these enduring gaps with "upstream" or institutional causes. Party gatekeeping, gendered and racialized candidate recruitment, masculinized institutional cultures, and persistent bias have been shown to contribute to what sociologists Melvin Oliver and Thomas Shapiro term "sedimented inequality" that elections alone do not correct (Carnes \&amp; Lupu 2023; Clayton 2021). Other scholars focus instead on the interactions between these matters of institutional design and descriptive representation, and their downstream effects. One area of literature, for example, debates the impact of apportionment and the presence of minority candidates on minority political participation (Campbell et al. 1960; Rosenstone \&amp; Hansen 1993). Another literature shows racialized legislative institutional culture, persistant bias or hostility, and unequal resource and position distribution within legislative bodies stymie Black representatives in passing legislation (Bratton and Haynie, 1999; Hawkesworth 2003; Haider-Markel 2007; Preuhs 2006).  Institutional design like that facilitating direct democracy, moreover, can influence how legislators perceive policy preferences - Caron (2021) finds that the presence of ballot referenda  is associated with legislators' perceptions of their district's punitiveness as closer to a median voter’s.</w:t>
      </w:r>
    </w:p>
    <w:p w14:paraId="3D253A15" w14:textId="77777777" w:rsidR="00704179" w:rsidRDefault="00704179" w:rsidP="00704179"/>
    <w:p w14:paraId="5831FAFD" w14:textId="77777777" w:rsidR="00704179" w:rsidRDefault="00704179" w:rsidP="00704179"/>
    <w:p w14:paraId="1076A111" w14:textId="77777777" w:rsidR="00704179" w:rsidRDefault="00704179" w:rsidP="00704179">
      <w:r>
        <w:t>DOWNSTREAM</w:t>
      </w:r>
    </w:p>
    <w:p w14:paraId="320DC4E5" w14:textId="77777777" w:rsidR="00704179" w:rsidRDefault="00704179" w:rsidP="00704179">
      <w:r>
        <w:t xml:space="preserve">Clearly, then legislators' characteristics matter because they are associated with "downstream" consequences of descriptive representation. Here, scholars have found that descriptive representation shapes four groups of outcomes: "substantive" representation, "symbolic" representation, service responsiveness, and constituency effects. </w:t>
      </w:r>
    </w:p>
    <w:p w14:paraId="5547561D" w14:textId="77777777" w:rsidR="00704179" w:rsidRDefault="00704179" w:rsidP="00704179"/>
    <w:p w14:paraId="2CBF76F8" w14:textId="77777777" w:rsidR="00704179" w:rsidRDefault="00704179" w:rsidP="00704179">
      <w:r>
        <w:t>\subsubsection{\textbf{Substantive Representation}}</w:t>
      </w:r>
    </w:p>
    <w:p w14:paraId="4843D92A" w14:textId="77777777" w:rsidR="00704179" w:rsidRDefault="00704179" w:rsidP="00704179">
      <w:r>
        <w:t>\textit{Substantive} responsiveness - the degree to which legislative behavior reflects the policy interests of constituents-  is the most prevalent focus. Two primary models of representation structure this literature.  "Dyadic" representation evaluates the congruence between  individual legislators' policy actions and  their districts' preferences (Miller and Stockes 1963), while "aggregative" or "collective" representation examines the extent to which legislative bodies as a whole or policy landscapes reflect macro-level public opinion.</w:t>
      </w:r>
    </w:p>
    <w:p w14:paraId="6DEF0EA0" w14:textId="77777777" w:rsidR="00704179" w:rsidRDefault="00704179" w:rsidP="00704179"/>
    <w:p w14:paraId="0710FF53" w14:textId="77777777" w:rsidR="00704179" w:rsidRDefault="00704179" w:rsidP="00704179">
      <w:r>
        <w:lastRenderedPageBreak/>
        <w:t>A first cluster of findings illustrates that descriptive representatives do not merely speak for their "descriptive" constituencies, but tend to share their orientations. Wealthy legislators hold views that are congruent with wealthy constituents, and this alignment shapes policy advocacy even independent of electoral incentives (Carnes \&amp; Lupu 2023; Meltzer \&amp; Richard 1981; Piketty 1995); and it is worth noting that legislators' tendency to assume their constituencies are more conservative on fiscal and social issues than they are in actuality may further inflate such perceptions (Broockman and Skovron 2018, Krimmel, Lax and Phillips 2016). On racial and ethnic dimensions, the pattern holds particularly across distributive policy domains, where legislators' identities shape their preferences in ways that again persist beyond what electoral incentives alone can explain (Reingold 2000; Broockman 2013; Hakhverdian 2015; Lupu \&amp; Warner 2022). Despite debates over measurement of preference congruence (Lax and Phillips 2012, Gilens 2012, Broockman 2016), it is clear that descriptive composition of legislatures can structure whose interests are represented in the room before any single vote is cast.</w:t>
      </w:r>
    </w:p>
    <w:p w14:paraId="321FB58C" w14:textId="77777777" w:rsidR="00704179" w:rsidRDefault="00704179" w:rsidP="00704179"/>
    <w:p w14:paraId="05847DA6" w14:textId="77777777" w:rsidR="00704179" w:rsidRDefault="00704179" w:rsidP="00704179">
      <w:r>
        <w:t>A second cluster of findings focuses on legislative action. Representatives are more likely to sponsor, cosponsor, and vote for legislation benefiting the groups they descriptively represent ((Bratton and Haynie 1999; Reingold 2008; Rouse 2013; Barnello and Bratton 2007; Saraceno, Hansen, and Treul 2021; Grose 2011). That these patterns are not only dyadic - the overall share of minority legislators within a chamber explains shifts in substantive representation for Latino and Black constituencies, particularly at the state level - suggests that in some contexts a critical mass is necessary to produce responsiveness (Preuhs 2006, 2007; Haynie 2001; Owens 2005) or that collective representation is "necessary for translating descriptive representation into substantive policy outcomes,” (Rocha et al. 2010 page). In particular, those contexts include racialized legislative cultures, which may diminish the rate at which Black-sponsored legislation is passed (Bratton and Haynie 1999). The gender-to-substantive-outcome-pipeline is contested (Crowley 2004, Rolbert and Steurnagel 2001, Weldon 2002). These findings direct attention towards the conditions under which policy action translates to outcomes, and necessatates attention to descriptive representation's impact on matters of the policy process and agenda change - a third cluster.</w:t>
      </w:r>
    </w:p>
    <w:p w14:paraId="46D50F36" w14:textId="77777777" w:rsidR="00704179" w:rsidRDefault="00704179" w:rsidP="00704179"/>
    <w:p w14:paraId="76B57683" w14:textId="77777777" w:rsidR="00704179" w:rsidRDefault="00704179" w:rsidP="00704179">
      <w:r>
        <w:t xml:space="preserve">Here, scholars have shown that descriptive representation shapes what makes it onto issue agendas and how problems are framed. Bills backed by civil rights organizations, for example, are more likely to receive committee attention when those committees include greater proportions of Black and Latino members (Minta 2011), and when the entry of Black </w:t>
      </w:r>
      <w:r>
        <w:lastRenderedPageBreak/>
        <w:t xml:space="preserve">women into Congress has facilitated the institutional articulation of interests that previously lacked legislative voice - were excluded (Brown 2014; Brown, Clark, Mahoney, and Strawbridge 2023). Moreover, evidence that gender and racial/ethnic descriptive representatives spend more political capital on such legislation suggests not only salience, but acts of substantive representation should be understood as qualitatively distinct (Burrell 1997, Murphy 1997, Minta 2009, Butler and Broockman 2011). Such agenda-setting and deliberative effects help explain why descriptive representation is particularly likely to lead to substantive policy gains for underrepresented groups in moments of policy innovation or when issues are in early stages of redress (Bratton and Ray 2002), and are consequential in their own right, including their connection to constituent effects, which we will turn to later. </w:t>
      </w:r>
    </w:p>
    <w:p w14:paraId="2A906F03" w14:textId="77777777" w:rsidR="00704179" w:rsidRDefault="00704179" w:rsidP="00704179"/>
    <w:p w14:paraId="01FF7D77" w14:textId="77777777" w:rsidR="00704179" w:rsidRDefault="00704179" w:rsidP="00704179">
      <w:r>
        <w:t xml:space="preserve">But what explains these patterns? One area of scholarship has answered that descriptive representatives and constituents may intrinsically share preferences; that legislators' identities shape their political orientations in ways that go beyond strategic responsiveness to district demographics, which influenced a legislators' election (Broockman 2013; Reingold 2000 ). Another explanation focuses on legislators' relational worlds. In his foundational ethnography of 18 House members, Fenno (1978) finds that  of legislators' understand their districts as constituted by a "nest of concentric circles," or subconstituencies whose visibility and influence on the legislators' behavior is conditioned on both their perceived relevance for re-election, but also the degree to which they are "visible" to and interact with the legislator.  “The greater proportion of two-way communication,” he writes “the more likely is there to be both electoral accountability and responsiveness on the part of the representative” (Fenno 1979). Christina Miler's work on legislator perceptions extends Fenno's model. In addition to showing that descriptive representation should consider legislators and also their staff, Miler's “dyadic theory of subconstituency representation,” draws out particular relational mechanisms that explain constituent salience: legislators' informational environments, familiarity with constituency groups and their issue preferences, frequency of contact and campaign contributions, and the presence of other constituency groups with whom a constituency's interests compete (2016). Thus, while some suggest descriptive representation translation to responsiveness boils down to partisan identity,  who a legislator perceives as their core, re-election, and primary constituencies -- whose concerns register as politically salient -- is itself is partly a function of shared experience and identity. Moreover, party identification and orientation themselves may be downstream of social identities and experiences that descriptive representation indexes, rather than independent alternatives to them. </w:t>
      </w:r>
    </w:p>
    <w:p w14:paraId="417CFA9F" w14:textId="77777777" w:rsidR="00704179" w:rsidRDefault="00704179" w:rsidP="00704179"/>
    <w:p w14:paraId="72A78F09" w14:textId="77777777" w:rsidR="00704179" w:rsidRDefault="00704179" w:rsidP="00704179">
      <w:r>
        <w:t>To summarize: descriptive representation influences policy outcomes, and before that who receives institutional attention. This may be in part because descriptive representation influences who legislators perceive as politically relevant. Here, then, the question of when descriptive representation matters most becomes a question about whether constituencies are visible or invisible without descriptive representation. Literature on the connection between descriptive and symbolic representation helps answer it and explain another dimension.</w:t>
      </w:r>
    </w:p>
    <w:p w14:paraId="212744FB" w14:textId="77777777" w:rsidR="00704179" w:rsidRDefault="00704179" w:rsidP="00704179"/>
    <w:p w14:paraId="7A8E1CA2" w14:textId="77777777" w:rsidR="00704179" w:rsidRDefault="00704179" w:rsidP="00704179">
      <w:r>
        <w:t>\subsubsection{\textbf{Symbolic Representation}}</w:t>
      </w:r>
    </w:p>
    <w:p w14:paraId="38ED6FAF" w14:textId="77777777" w:rsidR="00704179" w:rsidRDefault="00704179" w:rsidP="00704179">
      <w:r>
        <w:t xml:space="preserve">Scholars interested in \textit{symbolic} responsiveness more often approach representation through dyadic models or "surrogate" models of representation "wherein a legislator represents constituents beyond his own district" (Miler 2018, 131). While some emphasize surrogate representation's substantive function of allowing for the representation of interests and preferences that, according to Saward (2010), may be "widely held, but, due to formal territorial representation, do not have the political voice that their numbers of significance merit" (22), it is particularly important to literature on symbolic representation. </w:t>
      </w:r>
    </w:p>
    <w:p w14:paraId="07E25795" w14:textId="77777777" w:rsidR="00704179" w:rsidRDefault="00704179" w:rsidP="00704179"/>
    <w:p w14:paraId="11469BCA" w14:textId="77777777" w:rsidR="00704179" w:rsidRDefault="00704179" w:rsidP="00704179">
      <w:r>
        <w:t xml:space="preserve">Broadly, symbolic representation is understood as aiming to "forge links between individual and group concerns… transforming ‘What have you done for me lately?’ into ‘What have you done for us lately?’” (Popkin 1996, 12), or speech and gestures that signal inclusion and political membership of groups and shared interpretive frames. These gestures may be diffuse and embedded in everyday political communication beyond floor speeches and mailers. Early empirical work often relied on indicators like commemorative legislation or reference to specific historic symbols (e.g. Tate 2003, Sinclair-Chapman 2002). Advances in large scale text analysis, however, have made it possible to study symbolic representation systematically through much larger quantities of legislators’ speech. Notably, Vishwanath’s (2025) analysis of congressional newsletters and floor speeches operationalizes symbolic representation as speech that invokes minority groups either by name or via symbols, and provides the most comprehensive empirical examination of symbolic representation to date. His findings -- that white legislators are more likely to symbolically reference racial minority groups when those groups comprise a larger share of their constituency – adds to evidence that symbolic representation is structured by incentives: legislators speak more about groups with whom they associate clear policy </w:t>
      </w:r>
      <w:r>
        <w:lastRenderedPageBreak/>
        <w:t xml:space="preserve">interests and are in greater contact (Fenno 1978), and who are electorally visible (Miler 2010, Gillion 2013, Enos et al 2019), suggesting that symbolic representation is like other forms of responsiveness that are conditioned by the degree to which a group is seen as valuable for re-election, and as deserving (Mayhew 1974, Schneider and Ingram 1992). </w:t>
      </w:r>
    </w:p>
    <w:p w14:paraId="5CD351BF" w14:textId="77777777" w:rsidR="00704179" w:rsidRDefault="00704179" w:rsidP="00704179"/>
    <w:p w14:paraId="31F40386" w14:textId="77777777" w:rsidR="00704179" w:rsidRDefault="00704179" w:rsidP="00704179">
      <w:r>
        <w:t xml:space="preserve">Symbolic representation literature builds on Popkin’s (1994) interest in how voters internalize symbolic cues like Gerald Ford’s widely-cited husk-biting tamale incident to form political judgements. Such moments function as “tests” of recognition and shape voters’ perceptions of whether a candidate understands or cares about their community (and political outcomes in turn) underscoring an epistemic dimension of symbolic recognition. These moments can signal whether – or not – a representative possesses the  resources necessary to articulate a group’s experiences within political discourse and frame political problems and solutions in resonant ways (Pottle 2025). Moreover, while symbolic representation as communicative practice can be observed, coded, and analyzed through legislative speech, Popkin’s example obviates that not all symbolic gestures are alike (Eulau and Karps, 1977). </w:t>
      </w:r>
    </w:p>
    <w:p w14:paraId="7937FE2C" w14:textId="77777777" w:rsidR="00704179" w:rsidRDefault="00704179" w:rsidP="00704179"/>
    <w:p w14:paraId="741EDDA9" w14:textId="77777777" w:rsidR="00704179" w:rsidRDefault="00704179" w:rsidP="00704179">
      <w:r>
        <w:t>\textbf{Service Responsiveness and Constituency Effects}</w:t>
      </w:r>
    </w:p>
    <w:p w14:paraId="5F2A8A03" w14:textId="77777777" w:rsidR="00704179" w:rsidRDefault="00704179" w:rsidP="00704179"/>
    <w:p w14:paraId="7DFD8B66" w14:textId="77777777" w:rsidR="00704179" w:rsidRDefault="00704179" w:rsidP="00704179">
      <w:r>
        <w:t>[\textit{Brief findings on service responsiveness: descriptive representation appears to matter because legislators descriminate/are more responsive to constituents of shared racial identity}. ]</w:t>
      </w:r>
    </w:p>
    <w:p w14:paraId="02D9C0FE" w14:textId="77777777" w:rsidR="00704179" w:rsidRDefault="00704179" w:rsidP="00704179"/>
    <w:p w14:paraId="76CD8A31" w14:textId="77777777" w:rsidR="00704179" w:rsidRDefault="00704179" w:rsidP="00704179">
      <w:r>
        <w:t>\begin{itemize}</w:t>
      </w:r>
    </w:p>
    <w:p w14:paraId="463B634D" w14:textId="77777777" w:rsidR="00704179" w:rsidRDefault="00704179" w:rsidP="00704179">
      <w:r>
        <w:t xml:space="preserve">    \item Descriptive representation also shapes legislative responsiveness more broadly: legislators discriminate in constituent service on the basis of race (Butler \&amp; Broockman 2011) .</w:t>
      </w:r>
    </w:p>
    <w:p w14:paraId="6F5D6825" w14:textId="77777777" w:rsidR="00704179" w:rsidRDefault="00704179" w:rsidP="00704179">
      <w:r>
        <w:t xml:space="preserve">These matters may compound -- note Minta example. Thus, scholars have also shown that descriptive representation can influence trust, rates of participation, and even for example whether racial minority constituents run for office. </w:t>
      </w:r>
    </w:p>
    <w:p w14:paraId="6D715836" w14:textId="77777777" w:rsidR="00704179" w:rsidRDefault="00704179" w:rsidP="00704179">
      <w:r>
        <w:t xml:space="preserve">\item Black constituents consistently report feeling better represented — having a stronger say in government actions — when represented by Black legislators (Gleason \&amp; Stout 2014). </w:t>
      </w:r>
    </w:p>
    <w:p w14:paraId="30520ABA" w14:textId="77777777" w:rsidR="00704179" w:rsidRDefault="00704179" w:rsidP="00704179">
      <w:r>
        <w:lastRenderedPageBreak/>
        <w:t>\end{itemize}</w:t>
      </w:r>
    </w:p>
    <w:p w14:paraId="567245D4" w14:textId="77777777" w:rsidR="00704179" w:rsidRDefault="00704179" w:rsidP="00704179"/>
    <w:p w14:paraId="78EDC20F" w14:textId="77777777" w:rsidR="00704179" w:rsidRDefault="00704179" w:rsidP="00704179">
      <w:r>
        <w:t xml:space="preserve">A third category of effects extends beyond policy and process to what might be termed constituency effects, or relational dimensions: the ways in which who governs shapes perceptions of institutional legitimacy, political trust, and civic inclusion. Black descriptive representation generates political empowerment and participation among Black citizens -- even leading constituents to be more likely to run for office themselves (Bobo \&amp; Gilliam 1990; Clark 2019; run-for-office). Greater presence of working-class legislators is associated with increased trust in political institutions in Latin American contexts (Carnes \&amp; Lupu 2023), and women's descriptive representation is linked to trust in democratic institutions among women (Clayton 2021). These effects — trust, engagement, perceived standing — are central to democratic functioning yet are neither automatic nor uniform. They interact with sedimented institutional cultures and norms, and they vary by context in ways that motivate closer attention to when and for whom descriptive representation matters most. It is to this variation that the theory now turns. </w:t>
      </w:r>
    </w:p>
    <w:p w14:paraId="543AB6CE" w14:textId="77777777" w:rsidR="00704179" w:rsidRDefault="00704179" w:rsidP="00704179"/>
    <w:p w14:paraId="6B83D254" w14:textId="77777777" w:rsidR="00704179" w:rsidRDefault="00704179" w:rsidP="00704179">
      <w:r>
        <w:t>\subsection{When Descriptive Representation Matters: A Contingent Framework}</w:t>
      </w:r>
    </w:p>
    <w:p w14:paraId="3B28C405" w14:textId="77777777" w:rsidR="00704179" w:rsidRDefault="00704179" w:rsidP="00704179"/>
    <w:p w14:paraId="25F4D60D" w14:textId="77777777" w:rsidR="00704179" w:rsidRDefault="00704179" w:rsidP="00704179">
      <w:r>
        <w:t xml:space="preserve">The relatively narrow set of characteristics of representatives taken up by descriptive representation scholarship reflects, in part, that not all social categories merit scrutiny for congruence or indicate representational failure when absent. Moreover, characteristics that merit descriptive representation in some policymaking contexts may not merit scrutiny in others. As Mansbridge (1999) famously notes, the representation of left-handed individuals is probably not a critical measure of democratic health, except in “deliberation when their perspectives are relevant to a decision (e.g., in decisions regarding the design of surgical instruments” (635). The question, then, is not whether descriptive representation is universally required, but the conditions under which it becomes particularly important – and for whom. </w:t>
      </w:r>
    </w:p>
    <w:p w14:paraId="3CC46938" w14:textId="77777777" w:rsidR="00704179" w:rsidRDefault="00704179" w:rsidP="00704179"/>
    <w:p w14:paraId="56056189" w14:textId="77777777" w:rsidR="00704179" w:rsidRDefault="00704179" w:rsidP="00704179">
      <w:r>
        <w:t>\subsubsection{Four Contexts and Criteria: Mansbridge's Foundation}</w:t>
      </w:r>
    </w:p>
    <w:p w14:paraId="277B9698" w14:textId="77777777" w:rsidR="00704179" w:rsidRDefault="00704179" w:rsidP="00704179">
      <w:r>
        <w:t xml:space="preserve">Mansbridge (1999) offers a foundational contingent framework that identifies four historically specific contexts. Two enhance substantive representation – downstream process and policy effects - by improving the quality of deliberation. Namely, in contexts of communicative distrust between dominant and subordinate groups, histories of </w:t>
      </w:r>
      <w:r>
        <w:lastRenderedPageBreak/>
        <w:t>dominance breed inattention from the powerful and distrust from the marginalized, such that non-descriptive representatives may be unable to serve as effective surrogates. Here, shared experience facilitates the vertical communication between representatives and constituents on which responsiveness depends. In contexts of uncrystallized interests – where issues are new to the political agenda and parties and candidates have not organized around them – descriptive representatives draw on shared experiences to navigate unpredictable issues through horizontal communication among legislators. Mansbridge also notes upstream causes of representational congruence. First, when a group’s “ability to rule” has been historically questioned, particularly through legal exclusion from voting or governing, the absence of group members from office reinforces the social meaning that such persons are unfit to rule; proportional presence disrupts that message, and Mansbridge argues this matters more for changing the psychology of dominant groups than for providing role models to subordinate ones. Finally, in contexts of low de facto legitimacy, seeing members of one’s group – for constituents – governing enhances the empirical legitimacy of the polity itself: the sense that one’s voice was present in deliberation, even if policy outcomes do not mirror their preferences or interests.</w:t>
      </w:r>
    </w:p>
    <w:p w14:paraId="4B4D062E" w14:textId="77777777" w:rsidR="00704179" w:rsidRDefault="00704179" w:rsidP="00704179"/>
    <w:p w14:paraId="64F2FF0E" w14:textId="77777777" w:rsidR="00704179" w:rsidRDefault="00704179" w:rsidP="00704179">
      <w:r>
        <w:t xml:space="preserve">More narrowly, Mansbridge offers four criteria: groups that are proportionally underrepresented relatie to their population share, whose members consider themselves unable to be adequately represented by non-group members, and where evidence indicates that dominant groups have historically made it difficult or impossible for the group to represent itself. Here, a history of legal exclusion from the vote is a particularly strong indicator, which scholars of racial congruence have underscored (UNC, Brown). Similarly, scholars of gender politics have produced a burgeoning literature, and both have also supported Mansbridge’s position that descriptive representation helps to mollify communicative distrust (Gay 1996, Haynes 1997). </w:t>
      </w:r>
    </w:p>
    <w:p w14:paraId="592FAEF3" w14:textId="77777777" w:rsidR="00704179" w:rsidRDefault="00704179" w:rsidP="00704179"/>
    <w:p w14:paraId="15578B94" w14:textId="77777777" w:rsidR="00704179" w:rsidRDefault="00704179" w:rsidP="00704179">
      <w:r>
        <w:t>\subsubsection{Deepening the Framework: From Distrust to Cyclical and Incentivized Exclusion}</w:t>
      </w:r>
    </w:p>
    <w:p w14:paraId="5A926470" w14:textId="77777777" w:rsidR="00704179" w:rsidRDefault="00704179" w:rsidP="00704179"/>
    <w:p w14:paraId="3D23F4F4" w14:textId="77777777" w:rsidR="00704179" w:rsidRDefault="00704179" w:rsidP="00704179">
      <w:r>
        <w:t xml:space="preserve">Feminist and comparative scholars have extended this framework. Clayton (2021) Clayton (2021) argues that descriptive representation is normatively defensible for women even before we reach the question of policy effects. When equality of formal opportunity does not produce equality of presence — because of sedimented institutional cultures, persistent bias, and structural gatekeeping — that absence is itself an indicator of </w:t>
      </w:r>
      <w:r>
        <w:lastRenderedPageBreak/>
        <w:t>representational distortion, not merely a precondition for it. This reframing, echoed in arguments about racial and class underrepresentation (Carnes \&amp; Lupu 2023; Phillips 1995; Dahlerup 2007), positions the inclusion of structurally sidelined groups as a matter of representative justice: procedural democracy does not self-correct when institutional norms and cultures systematically filter who is seen as a viable candidate, whose concerns are treated as politically relevant, and whose presence is perceived as legitimate.</w:t>
      </w:r>
    </w:p>
    <w:p w14:paraId="27790D6F" w14:textId="77777777" w:rsidR="00704179" w:rsidRDefault="00704179" w:rsidP="00704179"/>
    <w:p w14:paraId="6A05182A" w14:textId="77777777" w:rsidR="00704179" w:rsidRDefault="00704179" w:rsidP="00704179">
      <w:r>
        <w:t xml:space="preserve">Recent scholarship presses further, suggesting that the conditions Mansbridge identifies may be deeper and more structurally entrenched than her framework alone implies. Pottle (2025) develops Fricker (2018’s) the concept of \textit{testimonial injustice} to policymaking contexts. Where Mansbridge describes communicative distrust as a product of historical dominance — a residue that shared experience can bridge — this concept allows Pottle to argue that the communicative breakdown is not merely inherited but actively reproduced due to electoral incentives\href{https://www.overleaf.com/project/69ade731cbbfe61d20be7dd0\#_msocom_1}{[KM1]} . Legislators face structural pressure to anchor their messaging in the understandings of strategically valuable constituencies — moderate white voters, affluent donors — and the infrastructure of legislative responsiveness (constituent communications processing, meeting access, staff gatekeeping) grants these constituencies disproportionate epistemic authority. Groups constructed as uncredible within this economy of strategic value find their testimony filtered or discounted not because individual legislators are inattentive, but because the electoral connection itself incentivizes inattention. </w:t>
      </w:r>
    </w:p>
    <w:p w14:paraId="607CEFFA" w14:textId="77777777" w:rsidR="00704179" w:rsidRDefault="00704179" w:rsidP="00704179"/>
    <w:p w14:paraId="340F392A" w14:textId="77777777" w:rsidR="00704179" w:rsidRDefault="00704179" w:rsidP="00704179">
      <w:r>
        <w:t xml:space="preserve">Pottle's employs \textit{hermeneutic injustice} to similarly deepen Mansbridge's account of uncrystallized interests. Mansbridge treats uncrystallized interests as a relatively benign feature of the political landscape — some issues simply have not yet made it onto the agenda, and descriptive representatives are uniquely positioned to introduce them. Viewed from this [term] standpoint, we can understand that some interests \textit{appear} uncrystallized not because they are genuinely new, but because the hermeneutic resources needed to articulate them have been systematically excluded from mainstream political vocabulary — a "mainstream" that is itself defined by the epistemic preferences of advantaged constituencies. Communities facing sustained contact with punitive or redistributive state institutions, for instance, may have developed rich, internally coherent understandings of state power and their relationship to it — articulated political knowledge, shared vocabularies, theories of the state "from below" (Weaver, Prowse, \&amp; </w:t>
      </w:r>
      <w:r>
        <w:lastRenderedPageBreak/>
        <w:t>Piston 2020) — that are not granted standing in elite or even dominant policy discourse. These interests appear uncrystallized [to whom?] because a “\textit{resonance imperative”} — the incentive for legislators to articulate problems and solutions in terms that cohere with high-value constituencies' existing understandings — gives policymakers no reason to adopt or legitimate the vocabularies through which those experiences are understood. The result is a form of epistemic exclusion that is structurally produced rather than merely incidental: a group's efforts to articulate or intervene with their knowledge are sidelined or denied because that knowledge was already outside the political mainstream.</w:t>
      </w:r>
    </w:p>
    <w:p w14:paraId="4710D6F3" w14:textId="77777777" w:rsidR="00704179" w:rsidRDefault="00704179" w:rsidP="00704179"/>
    <w:p w14:paraId="6C13082F" w14:textId="77777777" w:rsidR="00704179" w:rsidRDefault="00704179" w:rsidP="00704179">
      <w:r>
        <w:t>This epistemic dimension also extends Mansbridge's third and fourth contexts. Her arguments about "ability to rule" and \textit{de facto} legitimacy are fundamentally about who is perceived as a legitimate political actor — and she argues that these perceptions are goods in their own right, beyond their implications for substantive representation. But Pottle's framework suggests the question is not only whether a group is seen as able to \textit{rule} but whether it is seen as able to \textit{know} — whether its members' experiences count as politically relevant knowledge at all. Hermeneutic and testimonial injustice do not merely exclude groups from governing; they exclude groups from the epistemic community whose understandings shape policy. This constitutes a deeper form of the second-class citizenship Mansbridge describes, because it means that even when members of a group are physically present in deliberative spaces, their experiential knowledge may not be granted epistemic standing. Presence without epistemic authority is a hollow form of inclusion.</w:t>
      </w:r>
    </w:p>
    <w:p w14:paraId="312DE019" w14:textId="77777777" w:rsidR="00704179" w:rsidRDefault="00704179" w:rsidP="00704179"/>
    <w:p w14:paraId="47FADDA6" w14:textId="77777777" w:rsidR="00704179" w:rsidRDefault="00704179" w:rsidP="00704179">
      <w:r>
        <w:t xml:space="preserve">Taken together, these theoretical developments sharpen the conditions under which descriptive representation is most analytically consequential. If subordinate groups' interests are merely uncrystallized — awaiting articulation on a gradually expanding political agenda — then descriptive representation is instrumentally useful: it brings new information and perspectives into deliberation. But if those interests are hermeneutically suppressed, and if the groups that hold them face testimonial injustice within the structures of legislative responsiveness, then the absence of descriptive representation is not merely an informational loss. It is an active form of epistemic exclusion that reproduces the conditions of its own perpetuation — a feedback loop in which the political knowledge of marginalized communities is excluded from elite discourse, that exclusion shapes what counts as "common sense" in policymaking, and those distorted common-sense understandings further justify the marginalization of the excluded group's knowledge. Moreover, likely surrogate representatives and descriptive representatives may </w:t>
      </w:r>
      <w:r>
        <w:lastRenderedPageBreak/>
        <w:t>not be immune from such pressures. Descriptive representation is most critical, then, for groups whose voices are filtered, discounted, or systematically absent in ordinary democratic practice — groups whose absence from political institutions is itself an indicator of representational distortion, and for whom inclusion carries implications not only for policy outcomes but for the epistemic terms on which democratic judgment is formed: whose experiences are heard, whose claims are treated as politically relevant, and whose vocabulary is politically intelligible.   \href{https://www.overleaf.com/project/69ade731cbbfe61d20be7dd0\#_msoanchor_1}{[KM1]}tho intrinsic motivation of descriptive representatives to represent group (Broockman 2013, Reingold 2000) could interrupt?</w:t>
      </w:r>
    </w:p>
    <w:p w14:paraId="7E15F67A" w14:textId="77777777" w:rsidR="00704179" w:rsidRDefault="00704179" w:rsidP="00704179"/>
    <w:p w14:paraId="2B9DA9F9" w14:textId="77777777" w:rsidR="00704179" w:rsidRDefault="00704179" w:rsidP="00704179">
      <w:r>
        <w:t>\subsection{Representational Stakes of the Carceral State: A Case for Descriptive Representation}</w:t>
      </w:r>
    </w:p>
    <w:p w14:paraId="5A8E6E7A" w14:textId="77777777" w:rsidR="00704179" w:rsidRDefault="00704179" w:rsidP="00704179">
      <w:r>
        <w:t>\subsubsection{The Scale and Reach of the Carceral State}</w:t>
      </w:r>
    </w:p>
    <w:p w14:paraId="253120EE" w14:textId="77777777" w:rsidR="00704179" w:rsidRDefault="00704179" w:rsidP="00704179">
      <w:r>
        <w:t xml:space="preserve">Carnes and Lupu (2024) call for heightened attention to descriptive representation across various categories and their intersection. The expansion of the penal state provides strong theoretical and empirical reason to treat carceral citizens – those directly incarcerated, under community supervision, and those proximally impacted through family, neighborhood, repeated police contact, and victimization – as a group that fits established criteria for heightened representational relevance. Over the past four decades, the carceral state has grown into one of the most expansive governing institutions in American life, touching nearly 7 million people at any given time and millions more through arrest, surveillance, and conviction (Western 2006; Wildeman \&amp; Muller 2012). As Lerman and Weaver argue (2014), carceral contact has become a central, visible point of contact that produces myriad negative and accumulating feedback effects. Confinement, exposure to violence and stress inside facilities, disrupted access to care, and post-release instability generates myriad physical and mental health problems (Massoglia \&amp; Pridemore 2015, Lee at al 2014, Johnson \&amp; Rapheal 2009); stigma, disrupted earnings, and time out of the work force reduces callback rates, lowers wages, and reduces overall lifetime earnings (Western 2006, Western \&amp; Pettit 2005, Pager 2003, 2007). Carceral contact produces housing instability (Geller \&amp; Curtis) that, compounded with legal and financial extraction (Harris 2016) maintain financial precarity and generate increased public assistance needs just as carceral contact removes access to public benefits ). </w:t>
      </w:r>
    </w:p>
    <w:p w14:paraId="68C8FF6F" w14:textId="77777777" w:rsidR="00704179" w:rsidRDefault="00704179" w:rsidP="00704179"/>
    <w:p w14:paraId="01FC2F47" w14:textId="77777777" w:rsidR="00704179" w:rsidRDefault="00704179" w:rsidP="00704179">
      <w:r>
        <w:t>\subsubsection{Four Contexts and Criteria: Mansbridge's Foundation}</w:t>
      </w:r>
    </w:p>
    <w:p w14:paraId="42AE6420" w14:textId="77777777" w:rsidR="00704179" w:rsidRDefault="00704179" w:rsidP="00704179">
      <w:r>
        <w:lastRenderedPageBreak/>
        <w:t>These effects are not confined to those formally incarcerated. The political science, sociological, and economic literatures on collateral consequences document how incarceration reverberates through intimate partners, children, and communities—depressing wealth accumulation, destabilizing housing, disrupting education, eroding health, and weakening social ties (Wakefield \&amp; Wildeman 2013; Wildeman \&amp; Lee 2021; Brew, Alani, \&amp; Wildeman 2022). Nearly one in four Black children will experience parental incarceration before adolescence; millions of women experience incarceration indirectly through partners or sons; and entire neighborhoods cycle residents through surveillance and confinement. Even victims of crime are governed primarily through punitive institutions and encounter the state through carceral channels, placing them within the same governing architecture.</w:t>
      </w:r>
    </w:p>
    <w:p w14:paraId="3743F559" w14:textId="77777777" w:rsidR="00704179" w:rsidRDefault="00704179" w:rsidP="00704179"/>
    <w:p w14:paraId="45281A05" w14:textId="77777777" w:rsidR="00704179" w:rsidRDefault="00704179" w:rsidP="00704179">
      <w:r>
        <w:t>\subsubsection{A Structurally Bounded Constituency}</w:t>
      </w:r>
    </w:p>
    <w:p w14:paraId="2E7AFE9F" w14:textId="77777777" w:rsidR="00704179" w:rsidRDefault="00704179" w:rsidP="00704179">
      <w:r>
        <w:t xml:space="preserve">Moreover, the effects of the carceral state are not evenly distributed across the population but are highly concentrated by race, class, age, and place, rendering carceral citizenship a structurally bounded constituency rather than a diffuse condition. Race, age, and class are all highly predictive of being subject to aggressive surveillance and punishment, with Black and Latino Americans—especially young men—vastly more likely to experience policing, arrest, detention, incarceration, and supervision (Gelman, Fagan, and Kiss 2007; Baumgartner, Epp, and Shoub 2018; Davenport, Soule, and Armstrong 2011). More than one quarter of Black men from prison-boom cohorts have been incarcerated, and among Black male high school dropouts born after the mid-1970s, nearly 68 \% have been imprisoned (Western and Pettit 2010). Nearly one in four Black children will experience parental incarceration before age fourteen (Wildeman 2009), and 44 percent of Black women report having an immediate family member incarcerated, compared to 12 percent of white women (Lee et al. 2015). </w:t>
      </w:r>
    </w:p>
    <w:p w14:paraId="3F86D435" w14:textId="77777777" w:rsidR="00704179" w:rsidRDefault="00704179" w:rsidP="00704179"/>
    <w:p w14:paraId="3287C2CE" w14:textId="77777777" w:rsidR="00704179" w:rsidRDefault="00704179" w:rsidP="00704179">
      <w:r>
        <w:t xml:space="preserve">These patterns are layered onto existing class stratification: the nearly two million people incarcerated in the United States are almost uniformly working class and disproportionately Black or Latino/a—groups already least represented in state and federal government (Carnes 2013, 2015, 2018). The “punitive turn” (Wacquant 2009) and mass incarceration thus do not merely reflect preexisting inequality—they compound and institutionalize it. Because incarceration and supervision are spatially clustered, these harms are collective and place-based: the collateral damage to African American communities cannot be captured by aggregating individual effects (Roberts 2004), as </w:t>
      </w:r>
      <w:r>
        <w:lastRenderedPageBreak/>
        <w:t>neighborhoods saturated by imprisonment may lose political power, economic stability, and social capital. Moreover, these disparities reflect a broader racialized political culture in which crime coverage privileges white victims and penalizes Black Americans (Dixon and Linz 2000a; Bjornstrom et al. 2011), juries seek mitigating information for white but not Black defendants (Levinson 2007), Black defendants are assumed more culpable and sentenced more harshly (Rehavi and Starr 2014), and even Black victims are assigned greater responsibility for their own harm (Donovan 2007; Israel-Trummel and Streeter 2021). Across policy domains—from welfare to policing—race shapes perceptions of deservingness and culpability (Gilens 1996; Soss et al. 2011; Israel-Trummel 2022), embedding punishment within longstanding narratives that criminalize Blackness (Alexander 2010; Smiley 2017). Carceral citizenship may in turn be best understood as part a racialized and spatially concentrated regime of governance that layers carceral exposure atop existing inequalities in representation and political voice.</w:t>
      </w:r>
    </w:p>
    <w:p w14:paraId="1D49329A" w14:textId="77777777" w:rsidR="00704179" w:rsidRDefault="00704179" w:rsidP="00704179"/>
    <w:p w14:paraId="1C2708A7" w14:textId="77777777" w:rsidR="00704179" w:rsidRDefault="00704179" w:rsidP="00704179">
      <w:r>
        <w:t>\subsubsection{Political Exclusion and Custodial Citizenship}</w:t>
      </w:r>
    </w:p>
    <w:p w14:paraId="2083A5D1" w14:textId="77777777" w:rsidR="00704179" w:rsidRDefault="00704179" w:rsidP="00704179"/>
    <w:p w14:paraId="757D10C6" w14:textId="77777777" w:rsidR="00704179" w:rsidRDefault="00704179" w:rsidP="00704179">
      <w:r>
        <w:t xml:space="preserve">These groups are likely unrepresented in governing institutions. At the most basic level, millions of Americans are formally excluded from electoral participation. An estimated four million people were excluded from the 2024 elections through de jure disenfranchisement while incarcerated on felony convictions, or while on probation or parole — a figure that does not include the unknown number who fear or mistakenly believe they have been permanently disenfranchised (Uggen, Willen, \&amp; Larson 2024). Scholars have demonstrated that these disenfranchisement policies disproportionately target Black political power (Hinton \&amp; Cook 2021) and function as a component of mass incarceration's broader distortion of American democracy and racialized social control (Beckett \&amp; Western 2001; Simon 2007; Wacquant 2010). Even where the law formally permits participation, the state frequently fails to make participation possible: in September 2024, California's governor vetoed legislation aimed at ending the de facto disenfranchisement of eligible incarcerated voters, who lack any meaningful or systematized means of casting a counted ballot from jail. These Californians comprised the largest share of an estimated 500,000 people nationally who were unconstitutionally kept from participating in the subsequent elections (Wang 2024). Beyond the ballot, prisons and jails impose direct restrictions on the capacities that democratic participation requires — constraining movement, speech, association, and communication through censored mail, restricted phone access, and exclusion from public or legislative forums. These are not incidental features of incarceration; they are constitutive of institutions that, </w:t>
      </w:r>
      <w:r>
        <w:lastRenderedPageBreak/>
        <w:t>as Lerman and Weaver (2014) argue, have "broken significantly with the fundamental norms that define democratic institutions" by restricting citizen voice, undermining equality, and insulating state actors from accountability.</w:t>
      </w:r>
    </w:p>
    <w:p w14:paraId="59F97191" w14:textId="77777777" w:rsidR="00704179" w:rsidRDefault="00704179" w:rsidP="00704179"/>
    <w:p w14:paraId="5186A842" w14:textId="77777777" w:rsidR="00704179" w:rsidRDefault="00704179" w:rsidP="00704179">
      <w:r>
        <w:t>\subsubsection{\textit{Proximal} Political Exclusion and Custodial Citizenship}</w:t>
      </w:r>
    </w:p>
    <w:p w14:paraId="35F1CAFD" w14:textId="77777777" w:rsidR="00704179" w:rsidRDefault="00704179" w:rsidP="00704179">
      <w:r>
        <w:t>Contact with criminal justice institutions also generates powerful negative policy feedbacks that extend democratic exclusion well beyond the prison walls. Lerman and Weaver (2014) demonstrate that carceral contact “produces extreme mistrust of political institutions and public officials,” diminishes citizens’ sense that they can influence politics, and teaches them “to stay in the shadows and to be wary of public authority.” Rather than cultivating efficacy or civic incorporation, as benefits-conferring programs may do, the punitive face of the state socializes individuals toward alienation, withdrawal, and redefined expectations of state authority — what Lerman and Weaver term “custodial citizenship.” While scholars have identified important exceptions, particularly in mobilization through proximal contact and perceptions of injustice (Walker 2020; Walker \&amp; García-Castañón 2017; Owens \&amp; Walker 2018), the predominant finding is that criminal legal contact depresses political participation across a range of behaviors (Burch 2011; Gerber et al. 2017; Haselswerdt 2009; Weaver \&amp; Lerman 2010; White \&amp; Nguyen 2021). Like others, these effects are not confined to those who are or have been incarcerated. They extend to families, social networks, and communities disproportionately targeted by policing and surveillance, where incarceration weakens social ties, collective efficacy, and organizational capacity (White 2019; Burch 2013; Clear 2009) – although scholarship increasingly highlights that proximal or community contact or targeting can generate mobilization (Anoll, Walker). Still, the cumulative result may be that carceral citizens are rendered systematically unlikely to appear in the channels that legislators rely on to perceive and respond to constituencies — voting, organized advocacy, routine constituent contact, or interest group representation — even as they are among those most governed by the state.</w:t>
      </w:r>
    </w:p>
    <w:p w14:paraId="18050BAD" w14:textId="77777777" w:rsidR="00704179" w:rsidRDefault="00704179" w:rsidP="00704179"/>
    <w:p w14:paraId="149DB56E" w14:textId="77777777" w:rsidR="00704179" w:rsidRDefault="00704179" w:rsidP="00704179">
      <w:r>
        <w:t>\subsubsection{Meeting or Exceeding Mansbridge's Criteria}</w:t>
      </w:r>
    </w:p>
    <w:p w14:paraId="0145FEAD" w14:textId="77777777" w:rsidR="00704179" w:rsidRDefault="00704179" w:rsidP="00704179"/>
    <w:p w14:paraId="7547F1C9" w14:textId="77777777" w:rsidR="00704179" w:rsidRDefault="00704179" w:rsidP="00704179">
      <w:r>
        <w:t xml:space="preserve">This combination of formal exclusion, negative policy feedback, and spatially concentrated political suppression maps directly onto the conditions under which descriptive representation is most consequential to Mansbridge. Carceral citizens satisfy each of her criteria: they are proportionally underrepresented relative to their population share; they </w:t>
      </w:r>
      <w:r>
        <w:lastRenderedPageBreak/>
        <w:t>face historical and ongoing legal exclusion from voting and self-governance; and dominant groups have actively made it difficult for them to represent themselves.</w:t>
      </w:r>
    </w:p>
    <w:p w14:paraId="64139C09" w14:textId="77777777" w:rsidR="00704179" w:rsidRDefault="00704179" w:rsidP="00704179"/>
    <w:p w14:paraId="5F55FFC7" w14:textId="77777777" w:rsidR="00704179" w:rsidRDefault="00704179" w:rsidP="00704179">
      <w:r>
        <w:t xml:space="preserve">However, custodial citizenship also produces bidirectional communicative distrust. Carceral contact is a form of engagement with the state that generates the alienation and wariness that Mansbridge argues shared experience can bridge on the part of citizens. But carceral contact also tags these citizens with an identity social constructions of incarcerated people as unrepentant, unredeemable, and dangerous (Schneider \&amp; Ingram 1993; Maltby \&amp; Kreitzer 2023) function as challenges to "ability to rule" in Mansbridge's sense — reinforcing the message that such persons are unfit not merely for self-governance but for full citizenship, a message whose disruption may require the visible presence of those who have been so marked. And the exclusion of those most governed by the punitive state from the democratic processes that shape that state constitutes a legitimacy deficit of the kind Mansbridge's fourth context describes: a polity that systematically excludes the people most directly affected by one of its most coercive functions cannot credibly claim that all voices were present in deliberation. Here, the absence of carcertal citizens from policymaking bodies may reflect not a failure of individual ambition but the accumulated weight of institutional barriers, sedimented cultures of exclusion, and persistent bias, that absence is itself an indicator of representational distortion (Clayton). </w:t>
      </w:r>
    </w:p>
    <w:p w14:paraId="01424E76" w14:textId="77777777" w:rsidR="00704179" w:rsidRDefault="00704179" w:rsidP="00704179"/>
    <w:p w14:paraId="67C8BE2F" w14:textId="77777777" w:rsidR="00704179" w:rsidRDefault="00704179" w:rsidP="00704179">
      <w:r>
        <w:t>\subsection{Towards a Knowledge-Based or "Epistemic" Account of Carceral Representation}</w:t>
      </w:r>
    </w:p>
    <w:p w14:paraId="1B350F8F" w14:textId="77777777" w:rsidR="00704179" w:rsidRDefault="00704179" w:rsidP="00704179"/>
    <w:p w14:paraId="5DA290E7" w14:textId="77777777" w:rsidR="00704179" w:rsidRDefault="00704179" w:rsidP="00704179">
      <w:r>
        <w:t xml:space="preserve">The depth of the representational challenge facing carceral citizens may exceed Mansbridge's framework, applied straightforwardly, for three reasons. </w:t>
      </w:r>
    </w:p>
    <w:p w14:paraId="409DD159" w14:textId="77777777" w:rsidR="00704179" w:rsidRDefault="00704179" w:rsidP="00704179"/>
    <w:p w14:paraId="01751E99" w14:textId="77777777" w:rsidR="00704179" w:rsidRDefault="00704179" w:rsidP="00704179">
      <w:r>
        <w:t>\subsubsection{Unorganized Preferences or a Coherent Constituency?}</w:t>
      </w:r>
    </w:p>
    <w:p w14:paraId="05239034" w14:textId="77777777" w:rsidR="00704179" w:rsidRDefault="00704179" w:rsidP="00704179">
      <w:r>
        <w:t xml:space="preserve">First, rather than understood as "uncrystalized" or  awaiting a political entrepreneur to organize disorganized preferences into coherent interests, the preferences of people impacted by the carceral state may be better understood as structurally and "epistemically" excluded. While foundational representation literature sees the representation of group interests as mattering over the representation of group preferences (Pitkin 1967), this approach interacts with a problematic set of assumptions, including that </w:t>
      </w:r>
      <w:r>
        <w:lastRenderedPageBreak/>
        <w:t xml:space="preserve">groups like carceral constituencies do not have organized, coherent preferences or sufficient political knowledge to legitimate those preferences (Achen and Bartels). Recent scholarship clearly contests that assumption (Perez). Moreover,  there is reason to think communities facing sustained contact with the carceral state have developed rich, internally coherent political knowledge. Weaver, Prowse, and Piston (2020) demonstrate that carcerally-impacted communities have clearly articulated understandings of state power, shared vocabularies for making sense of punishment and citizenship, and what they describe as theories of the state "from below." </w:t>
      </w:r>
    </w:p>
    <w:p w14:paraId="405FCC58" w14:textId="77777777" w:rsidR="00704179" w:rsidRDefault="00704179" w:rsidP="00704179"/>
    <w:p w14:paraId="362F2CD1" w14:textId="77777777" w:rsidR="00704179" w:rsidRDefault="00704179" w:rsidP="00704179">
      <w:r>
        <w:t>However, and second, this knowledge is not granted standing in elite political discourse. It may appear "uncrystallized" because the resonance imperative — the structural incentive for legislators to articulate problems and solutions in terms that cohere with strategically valuable constituencies' existing understandings — gives policymakers no reason to adopt or legitimate the vocabularies through which carceral experiences are understood. Incarcerated people, who cannot vote, face barriers to other forms of political expression, and are racially and otherwise stigmatized, sit at the bottom of what Pottle (2025) calls the hermeneutic economy of legislative communication. Moreover, the stigmatization of carceral citizens gives reason for communicative distrust to run not just from these groups towards the state, but also from policymakers in what social epistemologists term "testimonial injustice." The same social constructions that mark incarcerated people as undeserving of policy generosity may also mark them as untrustworthy narrators of their own political experience — their testimony about conditions of confinement, about the effects of punishment on families and communities, about what justice requires, is filtered through credibility judgments shaped by the political vocabulary that constructs them as dangerous, deviant, or dishonest. While some might challenge the degree to which this is prejudicial within Fricker's conception, the point remains that within the infrastructure of legislative responsiveness, their communications may not receive the same epistemic weight as those of strategically valuable constituencies. Findings that democratic lawmakers "selectively hear," or discount the problem definitions and bundles supported by Black constituencies and instead only take up Black policy preferences when they converge with the preferences of white constituences supports this claim (Eckhouse).</w:t>
      </w:r>
    </w:p>
    <w:p w14:paraId="4AD70BD1" w14:textId="77777777" w:rsidR="00704179" w:rsidRDefault="00704179" w:rsidP="00704179"/>
    <w:p w14:paraId="36ED2C1D" w14:textId="77777777" w:rsidR="00704179" w:rsidRDefault="00704179" w:rsidP="00704179">
      <w:r>
        <w:t xml:space="preserve">That is, if the knowledge or preferences of carceral citizens is heard to begin with. Instead (and third), their knowledge may be "hermeneutically" suppressed: sidelined not because it lacks coherence or political relevance, but because it was already outside a mainstream political vocabulary defined by the  political orientations of advantaged constituencies who </w:t>
      </w:r>
      <w:r>
        <w:lastRenderedPageBreak/>
        <w:t>are descriptively over-represented. The result is that even well-intentioned legislators may avoid invoking incarcerated residents as constituents because doing so risks antagonizing moderate white voters — and when they do engage criminal legal reform, they may do so through vocabularies engineered for advantaged audiences, emphasizing efficiency, cost savings, or redemption narratives rather than centering the perspectives of those who have lived inside the system. This is what Pottle terms hollow signaling: symbolic gestures toward reform that coexist with a refusal to integrate the knowledge, experiences, or political claims of directly impacted communities.</w:t>
      </w:r>
    </w:p>
    <w:p w14:paraId="43C2308C" w14:textId="77777777" w:rsidR="00704179" w:rsidRDefault="00704179" w:rsidP="00704179"/>
    <w:p w14:paraId="0BCD46CD" w14:textId="77777777" w:rsidR="00704179" w:rsidRDefault="00704179" w:rsidP="00704179"/>
    <w:p w14:paraId="5D21D514" w14:textId="77777777" w:rsidR="00704179" w:rsidRDefault="00704179" w:rsidP="00704179">
      <w:r>
        <w:t>\subsubsection{Selective Hearing and the Limits of Partisan Linkages}</w:t>
      </w:r>
    </w:p>
    <w:p w14:paraId="75F8395A" w14:textId="77777777" w:rsidR="00704179" w:rsidRDefault="00704179" w:rsidP="00704179">
      <w:r>
        <w:t>Moreover, descriptive representatives may not be immune to these pressures. Legislators of color, who might be expected to bring experiential proximity to carceral communities, may face even greater pressure toward deracialization and distancing from stigmatized issues — pressure to signal, implicitly or explicitly, that they will not disrupt the racial hierarchy (Stephens-Dougan 2020). Descriptive congruence does not straightforwardly translate into discursive recognition when the electoral connection itself incentivizes silence about the communities most affected by state punishment. The representational slope for carceral citizens is thus steep not only because they lack electoral power, but because electoral structures distribute epistemic authority in ways that determine whose experiences count as politically relevant knowledge, whose claims are treated as legitimate testimony, and whose vocabulary is politically intelligible — and on each dimension, those most impacted by the carceral state are systematically disadvantaged.</w:t>
      </w:r>
    </w:p>
    <w:p w14:paraId="4EBD30C6" w14:textId="77777777" w:rsidR="00704179" w:rsidRDefault="00704179" w:rsidP="00704179"/>
    <w:p w14:paraId="4B04F82B" w14:textId="77777777" w:rsidR="00704179" w:rsidRDefault="00704179" w:rsidP="00704179">
      <w:r>
        <w:t>\subsection{Expectations}</w:t>
      </w:r>
    </w:p>
    <w:p w14:paraId="18B1541A" w14:textId="77777777" w:rsidR="00704179" w:rsidRDefault="00704179" w:rsidP="00704179"/>
    <w:p w14:paraId="65F4320D" w14:textId="77777777" w:rsidR="00704179" w:rsidRDefault="00704179" w:rsidP="00704179">
      <w:r>
        <w:t xml:space="preserve">[Pithy unified question?] The literature chapter suggests X things. </w:t>
      </w:r>
    </w:p>
    <w:p w14:paraId="6430F6EF" w14:textId="77777777" w:rsidR="00704179" w:rsidRDefault="00704179" w:rsidP="00704179"/>
    <w:p w14:paraId="457E2356" w14:textId="77777777" w:rsidR="00704179" w:rsidRDefault="00704179" w:rsidP="00704179">
      <w:r>
        <w:t>First, I expect to show that carceral constituencies have organized policy preferences and political orientations that are distinct from those of unimpacted constituences.</w:t>
      </w:r>
    </w:p>
    <w:p w14:paraId="131E8565" w14:textId="77777777" w:rsidR="00704179" w:rsidRDefault="00704179" w:rsidP="00704179"/>
    <w:p w14:paraId="14F01D6E" w14:textId="77777777" w:rsidR="00704179" w:rsidRDefault="00704179" w:rsidP="00704179">
      <w:r>
        <w:t xml:space="preserve">Second, I expect that carceral constituencies are descriptively underrepresented. </w:t>
      </w:r>
    </w:p>
    <w:p w14:paraId="5AA5BF1B" w14:textId="77777777" w:rsidR="00704179" w:rsidRDefault="00704179" w:rsidP="00704179"/>
    <w:p w14:paraId="23A146DA" w14:textId="77777777" w:rsidR="00704179" w:rsidRDefault="00704179" w:rsidP="00704179">
      <w:r>
        <w:t>In anticipation of also finding that establishing descriptive representation requires also xyz, I propose test three.</w:t>
      </w:r>
    </w:p>
    <w:p w14:paraId="7D27DD14" w14:textId="77777777" w:rsidR="00704179" w:rsidRDefault="00704179" w:rsidP="00704179"/>
    <w:p w14:paraId="7D5937D5" w14:textId="77777777" w:rsidR="00704179" w:rsidRDefault="00704179" w:rsidP="00704179">
      <w:r>
        <w:t>Here, I expect to show that legislators who are \textit{identifiable} descriptive representatives -- formerly incarcerated or convicted and who self-identify as such. . .</w:t>
      </w:r>
    </w:p>
    <w:p w14:paraId="62BFD20D" w14:textId="77777777" w:rsidR="00704179" w:rsidRDefault="00704179" w:rsidP="00704179"/>
    <w:p w14:paraId="73EA174F" w14:textId="77777777" w:rsidR="00704179" w:rsidRDefault="00704179" w:rsidP="00704179">
      <w:r>
        <w:t xml:space="preserve">Proximally impacted may be equally important in this framework.  </w:t>
      </w:r>
    </w:p>
    <w:p w14:paraId="768D22B0" w14:textId="77777777" w:rsidR="00704179" w:rsidRDefault="00704179" w:rsidP="00704179"/>
    <w:p w14:paraId="3DD79A85" w14:textId="1F78B6D8" w:rsidR="00704179" w:rsidRDefault="00704179" w:rsidP="00704179">
      <w:r>
        <w:t>\newpage</w:t>
      </w:r>
    </w:p>
    <w:sectPr w:rsidR="007041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179"/>
    <w:rsid w:val="001554D9"/>
    <w:rsid w:val="003A5267"/>
    <w:rsid w:val="00704179"/>
    <w:rsid w:val="00846FC3"/>
    <w:rsid w:val="008C2728"/>
    <w:rsid w:val="00B447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F2DD46"/>
  <w15:chartTrackingRefBased/>
  <w15:docId w15:val="{19BBD1B9-C54A-0449-927B-398C4680D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41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41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41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41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41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41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1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1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1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1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41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41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41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41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41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1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1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179"/>
    <w:rPr>
      <w:rFonts w:eastAsiaTheme="majorEastAsia" w:cstheme="majorBidi"/>
      <w:color w:val="272727" w:themeColor="text1" w:themeTint="D8"/>
    </w:rPr>
  </w:style>
  <w:style w:type="paragraph" w:styleId="Title">
    <w:name w:val="Title"/>
    <w:basedOn w:val="Normal"/>
    <w:next w:val="Normal"/>
    <w:link w:val="TitleChar"/>
    <w:uiPriority w:val="10"/>
    <w:qFormat/>
    <w:rsid w:val="007041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1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1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1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179"/>
    <w:pPr>
      <w:spacing w:before="160"/>
      <w:jc w:val="center"/>
    </w:pPr>
    <w:rPr>
      <w:i/>
      <w:iCs/>
      <w:color w:val="404040" w:themeColor="text1" w:themeTint="BF"/>
    </w:rPr>
  </w:style>
  <w:style w:type="character" w:customStyle="1" w:styleId="QuoteChar">
    <w:name w:val="Quote Char"/>
    <w:basedOn w:val="DefaultParagraphFont"/>
    <w:link w:val="Quote"/>
    <w:uiPriority w:val="29"/>
    <w:rsid w:val="00704179"/>
    <w:rPr>
      <w:i/>
      <w:iCs/>
      <w:color w:val="404040" w:themeColor="text1" w:themeTint="BF"/>
    </w:rPr>
  </w:style>
  <w:style w:type="paragraph" w:styleId="ListParagraph">
    <w:name w:val="List Paragraph"/>
    <w:basedOn w:val="Normal"/>
    <w:uiPriority w:val="34"/>
    <w:qFormat/>
    <w:rsid w:val="00704179"/>
    <w:pPr>
      <w:ind w:left="720"/>
      <w:contextualSpacing/>
    </w:pPr>
  </w:style>
  <w:style w:type="character" w:styleId="IntenseEmphasis">
    <w:name w:val="Intense Emphasis"/>
    <w:basedOn w:val="DefaultParagraphFont"/>
    <w:uiPriority w:val="21"/>
    <w:qFormat/>
    <w:rsid w:val="00704179"/>
    <w:rPr>
      <w:i/>
      <w:iCs/>
      <w:color w:val="0F4761" w:themeColor="accent1" w:themeShade="BF"/>
    </w:rPr>
  </w:style>
  <w:style w:type="paragraph" w:styleId="IntenseQuote">
    <w:name w:val="Intense Quote"/>
    <w:basedOn w:val="Normal"/>
    <w:next w:val="Normal"/>
    <w:link w:val="IntenseQuoteChar"/>
    <w:uiPriority w:val="30"/>
    <w:qFormat/>
    <w:rsid w:val="007041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4179"/>
    <w:rPr>
      <w:i/>
      <w:iCs/>
      <w:color w:val="0F4761" w:themeColor="accent1" w:themeShade="BF"/>
    </w:rPr>
  </w:style>
  <w:style w:type="character" w:styleId="IntenseReference">
    <w:name w:val="Intense Reference"/>
    <w:basedOn w:val="DefaultParagraphFont"/>
    <w:uiPriority w:val="32"/>
    <w:qFormat/>
    <w:rsid w:val="00704179"/>
    <w:rPr>
      <w:b/>
      <w:bCs/>
      <w:smallCaps/>
      <w:color w:val="0F4761" w:themeColor="accent1" w:themeShade="BF"/>
      <w:spacing w:val="5"/>
    </w:rPr>
  </w:style>
  <w:style w:type="paragraph" w:customStyle="1" w:styleId="p1">
    <w:name w:val="p1"/>
    <w:basedOn w:val="Normal"/>
    <w:rsid w:val="00704179"/>
    <w:pPr>
      <w:spacing w:after="0" w:line="240" w:lineRule="auto"/>
    </w:pPr>
    <w:rPr>
      <w:rFonts w:ascii="Helvetica" w:eastAsia="Times New Roman" w:hAnsi="Helvetica" w:cs="Times New Roman"/>
      <w:color w:val="000000"/>
      <w:kern w:val="0"/>
      <w:sz w:val="20"/>
      <w:szCs w:val="20"/>
      <w14:ligatures w14:val="none"/>
    </w:rPr>
  </w:style>
  <w:style w:type="paragraph" w:customStyle="1" w:styleId="p2">
    <w:name w:val="p2"/>
    <w:basedOn w:val="Normal"/>
    <w:rsid w:val="00704179"/>
    <w:pPr>
      <w:spacing w:after="0" w:line="240" w:lineRule="auto"/>
    </w:pPr>
    <w:rPr>
      <w:rFonts w:ascii="Helvetica" w:eastAsia="Times New Roman" w:hAnsi="Helvetica" w:cs="Times New Roman"/>
      <w:color w:val="000000"/>
      <w:kern w:val="0"/>
      <w:sz w:val="18"/>
      <w:szCs w:val="18"/>
      <w14:ligatures w14:val="none"/>
    </w:rPr>
  </w:style>
  <w:style w:type="paragraph" w:customStyle="1" w:styleId="p3">
    <w:name w:val="p3"/>
    <w:basedOn w:val="Normal"/>
    <w:rsid w:val="00704179"/>
    <w:pPr>
      <w:spacing w:after="0" w:line="240" w:lineRule="auto"/>
    </w:pPr>
    <w:rPr>
      <w:rFonts w:ascii="Helvetica" w:eastAsia="Times New Roman" w:hAnsi="Helvetica" w:cs="Times New Roman"/>
      <w:color w:val="000000"/>
      <w:kern w:val="0"/>
      <w:sz w:val="18"/>
      <w:szCs w:val="18"/>
      <w14:ligatures w14:val="none"/>
    </w:rPr>
  </w:style>
  <w:style w:type="paragraph" w:customStyle="1" w:styleId="p4">
    <w:name w:val="p4"/>
    <w:basedOn w:val="Normal"/>
    <w:rsid w:val="00704179"/>
    <w:pPr>
      <w:spacing w:after="0" w:line="240" w:lineRule="auto"/>
    </w:pPr>
    <w:rPr>
      <w:rFonts w:ascii="Helvetica" w:eastAsia="Times New Roman" w:hAnsi="Helvetica" w:cs="Times New Roman"/>
      <w:color w:val="000000"/>
      <w:kern w:val="0"/>
      <w:sz w:val="18"/>
      <w:szCs w:val="18"/>
      <w14:ligatures w14:val="none"/>
    </w:rPr>
  </w:style>
  <w:style w:type="paragraph" w:customStyle="1" w:styleId="p5">
    <w:name w:val="p5"/>
    <w:basedOn w:val="Normal"/>
    <w:rsid w:val="00704179"/>
    <w:pPr>
      <w:spacing w:after="0" w:line="240" w:lineRule="auto"/>
    </w:pPr>
    <w:rPr>
      <w:rFonts w:ascii="Helvetica" w:eastAsia="Times New Roman" w:hAnsi="Helvetica" w:cs="Times New Roman"/>
      <w:color w:val="EFEFEF"/>
      <w:kern w:val="0"/>
      <w:sz w:val="12"/>
      <w:szCs w:val="12"/>
      <w14:ligatures w14:val="none"/>
    </w:rPr>
  </w:style>
  <w:style w:type="paragraph" w:customStyle="1" w:styleId="p6">
    <w:name w:val="p6"/>
    <w:basedOn w:val="Normal"/>
    <w:rsid w:val="00704179"/>
    <w:pPr>
      <w:spacing w:after="0" w:line="240" w:lineRule="auto"/>
    </w:pPr>
    <w:rPr>
      <w:rFonts w:ascii="Helvetica" w:eastAsia="Times New Roman" w:hAnsi="Helvetica" w:cs="Times New Roman"/>
      <w:color w:val="000000"/>
      <w:kern w:val="0"/>
      <w:sz w:val="15"/>
      <w:szCs w:val="15"/>
      <w14:ligatures w14:val="none"/>
    </w:rPr>
  </w:style>
  <w:style w:type="paragraph" w:customStyle="1" w:styleId="p7">
    <w:name w:val="p7"/>
    <w:basedOn w:val="Normal"/>
    <w:rsid w:val="00704179"/>
    <w:pPr>
      <w:spacing w:after="0" w:line="240" w:lineRule="auto"/>
    </w:pPr>
    <w:rPr>
      <w:rFonts w:ascii="Helvetica" w:eastAsia="Times New Roman" w:hAnsi="Helvetica" w:cs="Times New Roman"/>
      <w:color w:val="000000"/>
      <w:kern w:val="0"/>
      <w:sz w:val="18"/>
      <w:szCs w:val="18"/>
      <w14:ligatures w14:val="none"/>
    </w:rPr>
  </w:style>
  <w:style w:type="character" w:customStyle="1" w:styleId="s1">
    <w:name w:val="s1"/>
    <w:basedOn w:val="DefaultParagraphFont"/>
    <w:rsid w:val="00704179"/>
    <w:rPr>
      <w:rFonts w:ascii="Helvetica" w:hAnsi="Helvetica" w:hint="default"/>
      <w:sz w:val="18"/>
      <w:szCs w:val="18"/>
    </w:rPr>
  </w:style>
  <w:style w:type="character" w:customStyle="1" w:styleId="s2">
    <w:name w:val="s2"/>
    <w:basedOn w:val="DefaultParagraphFont"/>
    <w:rsid w:val="00704179"/>
    <w:rPr>
      <w:rFonts w:ascii="Helvetica" w:hAnsi="Helvetica" w:hint="default"/>
      <w:sz w:val="18"/>
      <w:szCs w:val="18"/>
    </w:rPr>
  </w:style>
  <w:style w:type="character" w:customStyle="1" w:styleId="s4">
    <w:name w:val="s4"/>
    <w:basedOn w:val="DefaultParagraphFont"/>
    <w:rsid w:val="00704179"/>
    <w:rPr>
      <w:rFonts w:ascii="Helvetica" w:hAnsi="Helvetica" w:hint="default"/>
      <w:sz w:val="18"/>
      <w:szCs w:val="18"/>
    </w:rPr>
  </w:style>
  <w:style w:type="character" w:customStyle="1" w:styleId="s5">
    <w:name w:val="s5"/>
    <w:basedOn w:val="DefaultParagraphFont"/>
    <w:rsid w:val="00704179"/>
    <w:rPr>
      <w:rFonts w:ascii="Helvetica" w:hAnsi="Helvetica"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4986</Words>
  <Characters>46221</Characters>
  <Application>Microsoft Office Word</Application>
  <DocSecurity>0</DocSecurity>
  <Lines>600</Lines>
  <Paragraphs>609</Paragraphs>
  <ScaleCrop>false</ScaleCrop>
  <Company/>
  <LinksUpToDate>false</LinksUpToDate>
  <CharactersWithSpaces>50598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1</cp:revision>
  <dcterms:created xsi:type="dcterms:W3CDTF">2026-03-16T14:40:00Z</dcterms:created>
  <dcterms:modified xsi:type="dcterms:W3CDTF">2026-03-16T14:41:00Z</dcterms:modified>
</cp:coreProperties>
</file>