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4599" w14:textId="77777777" w:rsidR="003C2CFA" w:rsidRPr="00F2333F" w:rsidRDefault="003C2CFA" w:rsidP="003C2CFA">
      <w:pPr>
        <w:spacing w:line="360" w:lineRule="auto"/>
        <w:rPr>
          <w:b/>
          <w:bCs/>
          <w:sz w:val="23"/>
          <w:szCs w:val="23"/>
        </w:rPr>
      </w:pPr>
      <w:r w:rsidRPr="00F2333F">
        <w:rPr>
          <w:rFonts w:ascii="Arial" w:hAnsi="Arial" w:cs="Arial"/>
          <w:b/>
          <w:bCs/>
          <w:sz w:val="23"/>
          <w:szCs w:val="23"/>
        </w:rPr>
        <w:t xml:space="preserve">II. Literature Review </w:t>
      </w:r>
    </w:p>
    <w:p w14:paraId="2609F86B" w14:textId="77777777" w:rsidR="003C2CFA" w:rsidRDefault="003C2CFA" w:rsidP="003C2CFA">
      <w:pPr>
        <w:spacing w:line="360" w:lineRule="auto"/>
        <w:rPr>
          <w:sz w:val="23"/>
          <w:szCs w:val="23"/>
        </w:rPr>
      </w:pPr>
      <w:r w:rsidRPr="008010B8">
        <w:rPr>
          <w:sz w:val="23"/>
          <w:szCs w:val="23"/>
        </w:rPr>
        <w:t xml:space="preserve">Two converging research streams examine how perceptions of group deservingness shape public policy preferences and outcomes. First, </w:t>
      </w:r>
      <w:r>
        <w:rPr>
          <w:sz w:val="23"/>
          <w:szCs w:val="23"/>
        </w:rPr>
        <w:t xml:space="preserve">policy scholars who rely on a theory of </w:t>
      </w:r>
      <w:r w:rsidRPr="008010B8">
        <w:rPr>
          <w:sz w:val="23"/>
          <w:szCs w:val="23"/>
        </w:rPr>
        <w:t>social construction</w:t>
      </w:r>
      <w:r>
        <w:rPr>
          <w:sz w:val="23"/>
          <w:szCs w:val="23"/>
        </w:rPr>
        <w:t>s</w:t>
      </w:r>
      <w:r w:rsidRPr="008010B8">
        <w:rPr>
          <w:sz w:val="23"/>
          <w:szCs w:val="23"/>
        </w:rPr>
        <w:t xml:space="preserve"> examine how institutional power and discourse shape which groups in society are perceived to deserve help, and</w:t>
      </w:r>
      <w:r>
        <w:rPr>
          <w:sz w:val="23"/>
          <w:szCs w:val="23"/>
        </w:rPr>
        <w:t xml:space="preserve"> how</w:t>
      </w:r>
      <w:r w:rsidRPr="008010B8">
        <w:rPr>
          <w:sz w:val="23"/>
          <w:szCs w:val="23"/>
        </w:rPr>
        <w:t xml:space="preserve"> inequality is maintained and tolerated (Smith and Kreitzer, Schneider and Ingram). </w:t>
      </w:r>
      <w:r>
        <w:rPr>
          <w:sz w:val="23"/>
          <w:szCs w:val="23"/>
        </w:rPr>
        <w:t xml:space="preserve">According to </w:t>
      </w:r>
      <w:r w:rsidRPr="008010B8">
        <w:rPr>
          <w:sz w:val="23"/>
          <w:szCs w:val="23"/>
        </w:rPr>
        <w:t>Schneider and Ingram’s (1993) foundational typology</w:t>
      </w:r>
      <w:r>
        <w:rPr>
          <w:sz w:val="23"/>
          <w:szCs w:val="23"/>
        </w:rPr>
        <w:t xml:space="preserve">, policymakers </w:t>
      </w:r>
      <w:r w:rsidRPr="009A1DBD">
        <w:rPr>
          <w:sz w:val="23"/>
          <w:szCs w:val="23"/>
        </w:rPr>
        <w:t xml:space="preserve">are incentivized </w:t>
      </w:r>
      <w:r>
        <w:rPr>
          <w:sz w:val="23"/>
          <w:szCs w:val="23"/>
        </w:rPr>
        <w:t xml:space="preserve">by electoral politics </w:t>
      </w:r>
      <w:r w:rsidRPr="009A1DBD">
        <w:rPr>
          <w:sz w:val="23"/>
          <w:szCs w:val="23"/>
        </w:rPr>
        <w:t>to produce policy that helps some groups and punishes others</w:t>
      </w:r>
      <w:r>
        <w:rPr>
          <w:sz w:val="23"/>
          <w:szCs w:val="23"/>
        </w:rPr>
        <w:t xml:space="preserve">, and that these incentives hinge on two interacting axes. First, policymakers consider the extent to which their constituencies’ perceive a group – say, unionized workers or college students </w:t>
      </w:r>
      <w:proofErr w:type="gramStart"/>
      <w:r>
        <w:rPr>
          <w:sz w:val="23"/>
          <w:szCs w:val="23"/>
        </w:rPr>
        <w:t>–  to</w:t>
      </w:r>
      <w:proofErr w:type="gramEnd"/>
      <w:r>
        <w:rPr>
          <w:sz w:val="23"/>
          <w:szCs w:val="23"/>
        </w:rPr>
        <w:t xml:space="preserve"> be socially constructed as “deserving.”  Their objective is ensuring their constituencies will broadly approve of policy directed toward that group. Second, they consider that groups’ political power – the ability of a group to access, reward, and/or retaliate against policymakers. </w:t>
      </w:r>
    </w:p>
    <w:p w14:paraId="678BE1D5" w14:textId="77777777" w:rsidR="003C2CFA" w:rsidRDefault="003C2CFA" w:rsidP="003C2CFA">
      <w:pPr>
        <w:spacing w:line="360" w:lineRule="auto"/>
        <w:rPr>
          <w:sz w:val="23"/>
          <w:szCs w:val="23"/>
        </w:rPr>
      </w:pPr>
    </w:p>
    <w:p w14:paraId="7C6394B9" w14:textId="4006EB79" w:rsidR="003C2CFA" w:rsidRPr="008010B8" w:rsidRDefault="003C2CFA" w:rsidP="003C2CFA">
      <w:pPr>
        <w:spacing w:line="360" w:lineRule="auto"/>
        <w:rPr>
          <w:sz w:val="23"/>
          <w:szCs w:val="23"/>
        </w:rPr>
      </w:pPr>
      <w:r>
        <w:rPr>
          <w:sz w:val="23"/>
          <w:szCs w:val="23"/>
        </w:rPr>
        <w:t>As consequence, groups in society and policy that have a disproportionate effect on them fall into four categories.  Policymakers are incentivized to</w:t>
      </w:r>
      <w:r w:rsidRPr="008010B8">
        <w:rPr>
          <w:sz w:val="23"/>
          <w:szCs w:val="23"/>
        </w:rPr>
        <w:t xml:space="preserve"> help</w:t>
      </w:r>
      <w:r>
        <w:rPr>
          <w:sz w:val="23"/>
          <w:szCs w:val="23"/>
        </w:rPr>
        <w:t xml:space="preserve"> groups who are</w:t>
      </w:r>
      <w:r w:rsidRPr="008010B8">
        <w:rPr>
          <w:sz w:val="23"/>
          <w:szCs w:val="23"/>
        </w:rPr>
        <w:t xml:space="preserve"> “advantaged” </w:t>
      </w:r>
      <w:r>
        <w:rPr>
          <w:sz w:val="23"/>
          <w:szCs w:val="23"/>
        </w:rPr>
        <w:t>– both powerful and perceived as deserving -- and</w:t>
      </w:r>
      <w:r w:rsidRPr="008010B8">
        <w:rPr>
          <w:sz w:val="23"/>
          <w:szCs w:val="23"/>
        </w:rPr>
        <w:t xml:space="preserve"> “contender” groups</w:t>
      </w:r>
      <w:r>
        <w:rPr>
          <w:sz w:val="23"/>
          <w:szCs w:val="23"/>
        </w:rPr>
        <w:t xml:space="preserve">, or those who are powerful but constructed as undeserving. </w:t>
      </w:r>
      <w:r w:rsidRPr="008010B8">
        <w:rPr>
          <w:sz w:val="23"/>
          <w:szCs w:val="23"/>
        </w:rPr>
        <w:t xml:space="preserve"> </w:t>
      </w:r>
      <w:r>
        <w:rPr>
          <w:sz w:val="23"/>
          <w:szCs w:val="23"/>
        </w:rPr>
        <w:t>In contrast, policymakers</w:t>
      </w:r>
      <w:r w:rsidRPr="008010B8">
        <w:rPr>
          <w:sz w:val="23"/>
          <w:szCs w:val="23"/>
        </w:rPr>
        <w:t xml:space="preserve"> offer burdensome policy to “dependents”</w:t>
      </w:r>
      <w:r>
        <w:rPr>
          <w:sz w:val="23"/>
          <w:szCs w:val="23"/>
        </w:rPr>
        <w:t xml:space="preserve"> – those who are seen as deserving but who are not politically powerful,</w:t>
      </w:r>
      <w:r w:rsidRPr="008010B8">
        <w:rPr>
          <w:sz w:val="23"/>
          <w:szCs w:val="23"/>
        </w:rPr>
        <w:t xml:space="preserve"> and punish “deviants</w:t>
      </w:r>
      <w:r>
        <w:rPr>
          <w:sz w:val="23"/>
          <w:szCs w:val="23"/>
        </w:rPr>
        <w:t xml:space="preserve">,” who are seen as neither deserving nor powerful. </w:t>
      </w:r>
      <w:r w:rsidRPr="008010B8">
        <w:rPr>
          <w:sz w:val="23"/>
          <w:szCs w:val="23"/>
        </w:rPr>
        <w:t xml:space="preserve"> </w:t>
      </w:r>
      <w:r>
        <w:rPr>
          <w:sz w:val="23"/>
          <w:szCs w:val="23"/>
        </w:rPr>
        <w:t>Political representatives’ policy design</w:t>
      </w:r>
      <w:r w:rsidRPr="008010B8">
        <w:rPr>
          <w:sz w:val="23"/>
          <w:szCs w:val="23"/>
        </w:rPr>
        <w:t xml:space="preserve"> is also driven by “anticipatory” feedback</w:t>
      </w:r>
      <w:r w:rsidR="007602DA">
        <w:rPr>
          <w:sz w:val="23"/>
          <w:szCs w:val="23"/>
        </w:rPr>
        <w:t>:</w:t>
      </w:r>
      <w:r w:rsidRPr="008010B8">
        <w:rPr>
          <w:sz w:val="23"/>
          <w:szCs w:val="23"/>
        </w:rPr>
        <w:t xml:space="preserve"> </w:t>
      </w:r>
      <w:r w:rsidR="007602DA">
        <w:rPr>
          <w:sz w:val="23"/>
          <w:szCs w:val="23"/>
        </w:rPr>
        <w:t>p</w:t>
      </w:r>
      <w:r w:rsidRPr="008010B8">
        <w:rPr>
          <w:sz w:val="23"/>
          <w:szCs w:val="23"/>
        </w:rPr>
        <w:t>olicymakers respond to both their perception of groups</w:t>
      </w:r>
      <w:r>
        <w:rPr>
          <w:sz w:val="23"/>
          <w:szCs w:val="23"/>
        </w:rPr>
        <w:t>’</w:t>
      </w:r>
      <w:r w:rsidRPr="008010B8">
        <w:rPr>
          <w:sz w:val="23"/>
          <w:szCs w:val="23"/>
        </w:rPr>
        <w:t xml:space="preserve"> political power and social constructions in terms of electoral consequences – for example, by providing “hidden” benefits to contenders, who </w:t>
      </w:r>
      <w:r>
        <w:rPr>
          <w:sz w:val="23"/>
          <w:szCs w:val="23"/>
        </w:rPr>
        <w:t xml:space="preserve">are </w:t>
      </w:r>
      <w:r w:rsidRPr="008010B8">
        <w:rPr>
          <w:sz w:val="23"/>
          <w:szCs w:val="23"/>
        </w:rPr>
        <w:t>constructed as undeserving but powerful</w:t>
      </w:r>
      <w:r>
        <w:rPr>
          <w:sz w:val="23"/>
          <w:szCs w:val="23"/>
        </w:rPr>
        <w:t xml:space="preserve">, </w:t>
      </w:r>
      <w:r w:rsidRPr="00E47705">
        <w:rPr>
          <w:sz w:val="23"/>
          <w:szCs w:val="23"/>
        </w:rPr>
        <w:t xml:space="preserve">policymakers can </w:t>
      </w:r>
      <w:r w:rsidR="00E47705">
        <w:rPr>
          <w:sz w:val="23"/>
          <w:szCs w:val="23"/>
        </w:rPr>
        <w:t>avoid political blowback for helping an “undeserving” group while strengthen their own political position.</w:t>
      </w:r>
      <w:r w:rsidRPr="008010B8">
        <w:rPr>
          <w:sz w:val="23"/>
          <w:szCs w:val="23"/>
        </w:rPr>
        <w:t xml:space="preserve"> (Schneider and Ingram 2019, Ellis and </w:t>
      </w:r>
      <w:proofErr w:type="spellStart"/>
      <w:r w:rsidRPr="008010B8">
        <w:rPr>
          <w:sz w:val="23"/>
          <w:szCs w:val="23"/>
        </w:rPr>
        <w:t>Faricy</w:t>
      </w:r>
      <w:proofErr w:type="spellEnd"/>
      <w:r w:rsidRPr="008010B8">
        <w:rPr>
          <w:sz w:val="23"/>
          <w:szCs w:val="23"/>
        </w:rPr>
        <w:t xml:space="preserve"> </w:t>
      </w:r>
      <w:commentRangeStart w:id="0"/>
      <w:r w:rsidRPr="008010B8">
        <w:rPr>
          <w:sz w:val="23"/>
          <w:szCs w:val="23"/>
        </w:rPr>
        <w:t>2020</w:t>
      </w:r>
      <w:commentRangeEnd w:id="0"/>
      <w:r>
        <w:rPr>
          <w:rStyle w:val="CommentReference"/>
        </w:rPr>
        <w:commentReference w:id="0"/>
      </w:r>
      <w:r w:rsidRPr="008010B8">
        <w:rPr>
          <w:sz w:val="23"/>
          <w:szCs w:val="23"/>
        </w:rPr>
        <w:t>).</w:t>
      </w:r>
      <w:r>
        <w:rPr>
          <w:sz w:val="23"/>
          <w:szCs w:val="23"/>
        </w:rPr>
        <w:t xml:space="preserve"> </w:t>
      </w:r>
    </w:p>
    <w:p w14:paraId="134D7013" w14:textId="77777777" w:rsidR="003C2CFA" w:rsidRPr="008010B8" w:rsidRDefault="003C2CFA" w:rsidP="003C2CFA">
      <w:pPr>
        <w:spacing w:line="360" w:lineRule="auto"/>
        <w:rPr>
          <w:sz w:val="23"/>
          <w:szCs w:val="23"/>
        </w:rPr>
      </w:pPr>
    </w:p>
    <w:p w14:paraId="1CD14DEA" w14:textId="130E171E" w:rsidR="003C2CFA" w:rsidRPr="008010B8" w:rsidRDefault="003C2CFA" w:rsidP="003C2CFA">
      <w:pPr>
        <w:spacing w:line="360" w:lineRule="auto"/>
        <w:rPr>
          <w:sz w:val="23"/>
          <w:szCs w:val="23"/>
        </w:rPr>
      </w:pPr>
      <w:r>
        <w:rPr>
          <w:sz w:val="23"/>
          <w:szCs w:val="23"/>
        </w:rPr>
        <w:t xml:space="preserve">In responding to social constructions, policies also reinforce them.  </w:t>
      </w:r>
      <w:r w:rsidRPr="008010B8">
        <w:rPr>
          <w:sz w:val="23"/>
          <w:szCs w:val="23"/>
        </w:rPr>
        <w:t>These group social constructions</w:t>
      </w:r>
      <w:r>
        <w:rPr>
          <w:sz w:val="23"/>
          <w:szCs w:val="23"/>
        </w:rPr>
        <w:t>, which</w:t>
      </w:r>
      <w:r w:rsidRPr="008010B8">
        <w:rPr>
          <w:sz w:val="23"/>
          <w:szCs w:val="23"/>
        </w:rPr>
        <w:t xml:space="preserve"> are “value-laden components, including stereotypes, dominant ideologies, and assumptions” about groups operate in dialectic with existing policy</w:t>
      </w:r>
      <w:r>
        <w:rPr>
          <w:sz w:val="23"/>
          <w:szCs w:val="23"/>
        </w:rPr>
        <w:t xml:space="preserve">. </w:t>
      </w:r>
      <w:r w:rsidRPr="008010B8">
        <w:rPr>
          <w:sz w:val="23"/>
          <w:szCs w:val="23"/>
        </w:rPr>
        <w:t xml:space="preserve"> </w:t>
      </w:r>
      <w:r>
        <w:rPr>
          <w:sz w:val="23"/>
          <w:szCs w:val="23"/>
        </w:rPr>
        <w:t>“[P]</w:t>
      </w:r>
      <w:proofErr w:type="spellStart"/>
      <w:r w:rsidRPr="008010B8">
        <w:rPr>
          <w:sz w:val="23"/>
          <w:szCs w:val="23"/>
        </w:rPr>
        <w:t>olicy</w:t>
      </w:r>
      <w:proofErr w:type="spellEnd"/>
      <w:r w:rsidRPr="008010B8">
        <w:rPr>
          <w:sz w:val="23"/>
          <w:szCs w:val="23"/>
        </w:rPr>
        <w:t xml:space="preserve"> telegraphs to the public about how target groups should be treated” (Smith and Kreitzer, 2024). As consequence,</w:t>
      </w:r>
      <w:r w:rsidR="00886ECC">
        <w:rPr>
          <w:sz w:val="23"/>
          <w:szCs w:val="23"/>
        </w:rPr>
        <w:t xml:space="preserve"> </w:t>
      </w:r>
      <w:commentRangeStart w:id="1"/>
      <w:r w:rsidR="00886ECC">
        <w:rPr>
          <w:sz w:val="23"/>
          <w:szCs w:val="23"/>
        </w:rPr>
        <w:t>social constructions</w:t>
      </w:r>
      <w:r w:rsidRPr="008010B8">
        <w:rPr>
          <w:sz w:val="23"/>
          <w:szCs w:val="23"/>
        </w:rPr>
        <w:t xml:space="preserve"> </w:t>
      </w:r>
      <w:commentRangeEnd w:id="1"/>
      <w:r>
        <w:rPr>
          <w:rStyle w:val="CommentReference"/>
        </w:rPr>
        <w:commentReference w:id="1"/>
      </w:r>
      <w:r w:rsidR="00886ECC">
        <w:rPr>
          <w:sz w:val="23"/>
          <w:szCs w:val="23"/>
        </w:rPr>
        <w:t>are</w:t>
      </w:r>
      <w:r w:rsidRPr="008010B8">
        <w:rPr>
          <w:sz w:val="23"/>
          <w:szCs w:val="23"/>
        </w:rPr>
        <w:t xml:space="preserve"> contingent – for example, on local, state, and political and cultural contexts </w:t>
      </w:r>
      <w:proofErr w:type="gramStart"/>
      <w:r w:rsidRPr="008010B8">
        <w:rPr>
          <w:sz w:val="23"/>
          <w:szCs w:val="23"/>
        </w:rPr>
        <w:t>and also</w:t>
      </w:r>
      <w:proofErr w:type="gramEnd"/>
      <w:r w:rsidRPr="008010B8">
        <w:rPr>
          <w:sz w:val="23"/>
          <w:szCs w:val="23"/>
        </w:rPr>
        <w:t xml:space="preserve"> the identity and ideology held by the ‘perceiver’ (Smith and Kreitzer 2018). Further, recent work demonstrates policymakers strategically differentiate </w:t>
      </w:r>
      <w:r w:rsidRPr="008010B8">
        <w:rPr>
          <w:i/>
          <w:iCs/>
          <w:sz w:val="23"/>
          <w:szCs w:val="23"/>
        </w:rPr>
        <w:t xml:space="preserve">within </w:t>
      </w:r>
      <w:r w:rsidRPr="008010B8">
        <w:rPr>
          <w:sz w:val="23"/>
          <w:szCs w:val="23"/>
        </w:rPr>
        <w:t xml:space="preserve">target populations, recognizing political expediency in providing benefits to some subsets and not to others. For example, Smith and Kreitzer (2018) show </w:t>
      </w:r>
      <w:r w:rsidRPr="008010B8">
        <w:rPr>
          <w:sz w:val="23"/>
          <w:szCs w:val="23"/>
        </w:rPr>
        <w:lastRenderedPageBreak/>
        <w:t xml:space="preserve">that </w:t>
      </w:r>
      <w:proofErr w:type="spellStart"/>
      <w:r w:rsidRPr="008010B8">
        <w:rPr>
          <w:sz w:val="23"/>
          <w:szCs w:val="23"/>
        </w:rPr>
        <w:t>DREAMers</w:t>
      </w:r>
      <w:proofErr w:type="spellEnd"/>
      <w:r w:rsidRPr="008010B8">
        <w:rPr>
          <w:sz w:val="23"/>
          <w:szCs w:val="23"/>
        </w:rPr>
        <w:t xml:space="preserve"> are constructed as more deserving than their parents, mirroring the DREAM Act’s protections of immigrant children, but not their parents. Criminal legal reform’s prioritization of drug offenses</w:t>
      </w:r>
      <w:r>
        <w:rPr>
          <w:sz w:val="23"/>
          <w:szCs w:val="23"/>
        </w:rPr>
        <w:t xml:space="preserve"> over violent crime, for instance,</w:t>
      </w:r>
      <w:r w:rsidRPr="008010B8">
        <w:rPr>
          <w:sz w:val="23"/>
          <w:szCs w:val="23"/>
        </w:rPr>
        <w:t xml:space="preserve"> may reflect similar </w:t>
      </w:r>
      <w:commentRangeStart w:id="2"/>
      <w:r>
        <w:rPr>
          <w:sz w:val="23"/>
          <w:szCs w:val="23"/>
        </w:rPr>
        <w:t>differentiation</w:t>
      </w:r>
      <w:commentRangeEnd w:id="2"/>
      <w:r>
        <w:rPr>
          <w:rStyle w:val="CommentReference"/>
        </w:rPr>
        <w:commentReference w:id="2"/>
      </w:r>
      <w:r w:rsidRPr="008010B8">
        <w:rPr>
          <w:sz w:val="23"/>
          <w:szCs w:val="23"/>
        </w:rPr>
        <w:t xml:space="preserve">. </w:t>
      </w:r>
    </w:p>
    <w:p w14:paraId="24A6C8A6" w14:textId="77777777" w:rsidR="003C2CFA" w:rsidRPr="008010B8" w:rsidRDefault="003C2CFA" w:rsidP="003C2CFA">
      <w:pPr>
        <w:spacing w:line="360" w:lineRule="auto"/>
        <w:rPr>
          <w:sz w:val="23"/>
          <w:szCs w:val="23"/>
        </w:rPr>
      </w:pPr>
    </w:p>
    <w:p w14:paraId="2D6C5C73" w14:textId="77777777" w:rsidR="003C2CFA" w:rsidRDefault="003C2CFA" w:rsidP="003C2CFA">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w:t>
      </w:r>
    </w:p>
    <w:p w14:paraId="312380F1" w14:textId="77777777" w:rsidR="003C2CFA" w:rsidRDefault="003C2CFA" w:rsidP="003C2CFA">
      <w:pPr>
        <w:spacing w:line="360" w:lineRule="auto"/>
        <w:rPr>
          <w:sz w:val="23"/>
          <w:szCs w:val="23"/>
        </w:rPr>
      </w:pPr>
    </w:p>
    <w:p w14:paraId="3A167D3C" w14:textId="77777777" w:rsidR="003C2CFA" w:rsidRPr="008010B8" w:rsidRDefault="003C2CFA" w:rsidP="003C2CFA">
      <w:pPr>
        <w:spacing w:line="360" w:lineRule="auto"/>
        <w:rPr>
          <w:sz w:val="23"/>
          <w:szCs w:val="23"/>
        </w:rPr>
      </w:pPr>
      <w:r w:rsidRPr="008010B8">
        <w:rPr>
          <w:sz w:val="23"/>
          <w:szCs w:val="23"/>
        </w:rPr>
        <w:t xml:space="preserve">Five ‘CARIN’ </w:t>
      </w:r>
      <w:r>
        <w:rPr>
          <w:sz w:val="23"/>
          <w:szCs w:val="23"/>
        </w:rPr>
        <w:t>dimensions compose</w:t>
      </w:r>
      <w:r w:rsidRPr="008010B8">
        <w:rPr>
          <w:sz w:val="23"/>
          <w:szCs w:val="23"/>
        </w:rPr>
        <w:t xml:space="preserve"> these evaluations: </w:t>
      </w:r>
      <w:r w:rsidRPr="008010B8">
        <w:rPr>
          <w:i/>
          <w:iCs/>
          <w:sz w:val="23"/>
          <w:szCs w:val="23"/>
        </w:rPr>
        <w:t>control</w:t>
      </w:r>
      <w:r>
        <w:rPr>
          <w:i/>
          <w:iCs/>
          <w:sz w:val="23"/>
          <w:szCs w:val="23"/>
        </w:rPr>
        <w:t>,</w:t>
      </w:r>
      <w:r w:rsidRPr="008010B8">
        <w:rPr>
          <w:sz w:val="23"/>
          <w:szCs w:val="23"/>
        </w:rPr>
        <w:t xml:space="preserve"> in its original conception</w:t>
      </w:r>
      <w:r>
        <w:rPr>
          <w:sz w:val="23"/>
          <w:szCs w:val="23"/>
        </w:rPr>
        <w:t>,</w:t>
      </w:r>
      <w:r w:rsidRPr="008010B8">
        <w:rPr>
          <w:sz w:val="23"/>
          <w:szCs w:val="23"/>
        </w:rPr>
        <w:t xml:space="preserve">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the degree to which they are responsible (</w:t>
      </w:r>
      <w:proofErr w:type="spellStart"/>
      <w:r w:rsidRPr="008010B8">
        <w:rPr>
          <w:sz w:val="23"/>
          <w:szCs w:val="23"/>
        </w:rPr>
        <w:t>SoRelle</w:t>
      </w:r>
      <w:proofErr w:type="spellEnd"/>
      <w:r w:rsidRPr="008010B8">
        <w:rPr>
          <w:sz w:val="23"/>
          <w:szCs w:val="23"/>
        </w:rPr>
        <w:t xml:space="preserv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0BCF3EEB" w14:textId="77777777" w:rsidR="003C2CFA" w:rsidRPr="008010B8" w:rsidRDefault="003C2CFA" w:rsidP="003C2CFA">
      <w:pPr>
        <w:spacing w:line="360" w:lineRule="auto"/>
        <w:rPr>
          <w:sz w:val="23"/>
          <w:szCs w:val="23"/>
        </w:rPr>
      </w:pPr>
    </w:p>
    <w:p w14:paraId="28AD61DD" w14:textId="05A97B31" w:rsidR="003C2CFA" w:rsidRDefault="00E47705" w:rsidP="003C2CFA">
      <w:pPr>
        <w:spacing w:line="360" w:lineRule="auto"/>
        <w:rPr>
          <w:sz w:val="23"/>
          <w:szCs w:val="23"/>
        </w:rPr>
      </w:pPr>
      <w:r>
        <w:rPr>
          <w:sz w:val="23"/>
          <w:szCs w:val="23"/>
        </w:rPr>
        <w:t>It</w:t>
      </w:r>
      <w:r w:rsidR="003C2CFA" w:rsidRPr="008010B8">
        <w:rPr>
          <w:sz w:val="23"/>
          <w:szCs w:val="23"/>
        </w:rPr>
        <w:t xml:space="preserve"> is understood these characteristics have varying degrees of salience in -- and thus should not be presumed to operate identically across -- different applications.</w:t>
      </w:r>
      <w:r w:rsidR="003C2CFA" w:rsidRPr="008010B8">
        <w:rPr>
          <w:rStyle w:val="FootnoteReference"/>
          <w:sz w:val="23"/>
          <w:szCs w:val="23"/>
        </w:rPr>
        <w:footnoteReference w:id="1"/>
      </w:r>
      <w:r w:rsidR="003C2CFA" w:rsidRPr="008010B8">
        <w:rPr>
          <w:sz w:val="23"/>
          <w:szCs w:val="23"/>
        </w:rPr>
        <w:t xml:space="preserve"> And while studies of deservingness have found CARIN mechanisms are well supported in the context of healthcare, immigration, and student loan relief (Meuleman, </w:t>
      </w:r>
      <w:proofErr w:type="spellStart"/>
      <w:r w:rsidR="003C2CFA" w:rsidRPr="008010B8">
        <w:rPr>
          <w:sz w:val="23"/>
          <w:szCs w:val="23"/>
        </w:rPr>
        <w:t>Roosma</w:t>
      </w:r>
      <w:proofErr w:type="spellEnd"/>
      <w:r w:rsidR="003C2CFA" w:rsidRPr="008010B8">
        <w:rPr>
          <w:sz w:val="23"/>
          <w:szCs w:val="23"/>
        </w:rPr>
        <w:t xml:space="preserve">, and Abts 2020), these settings still are akin to perceptions of welfare desert where the primary question invoked is whether to </w:t>
      </w:r>
      <w:r w:rsidR="003C2CFA" w:rsidRPr="008010B8">
        <w:rPr>
          <w:i/>
          <w:iCs/>
          <w:sz w:val="23"/>
          <w:szCs w:val="23"/>
        </w:rPr>
        <w:t>help</w:t>
      </w:r>
      <w:r w:rsidR="003C2CFA" w:rsidRPr="008010B8">
        <w:rPr>
          <w:sz w:val="23"/>
          <w:szCs w:val="23"/>
        </w:rPr>
        <w:t xml:space="preserve"> and offer economic resources to a target group. To my knowledge no/few recent studies apply this framework to “deviant” groups </w:t>
      </w:r>
      <w:r w:rsidR="003C2CFA" w:rsidRPr="008010B8">
        <w:rPr>
          <w:sz w:val="23"/>
          <w:szCs w:val="23"/>
        </w:rPr>
        <w:lastRenderedPageBreak/>
        <w:t>and matters of democratic rights. Recent work also suggests that perceptions of policy beneficiary deservingness may not linearly translate into support for policy overall (</w:t>
      </w:r>
      <w:proofErr w:type="spellStart"/>
      <w:r w:rsidR="003C2CFA" w:rsidRPr="008010B8">
        <w:rPr>
          <w:sz w:val="23"/>
          <w:szCs w:val="23"/>
        </w:rPr>
        <w:t>SoRelle</w:t>
      </w:r>
      <w:proofErr w:type="spellEnd"/>
      <w:r w:rsidR="003C2CFA" w:rsidRPr="008010B8">
        <w:rPr>
          <w:sz w:val="23"/>
          <w:szCs w:val="23"/>
        </w:rPr>
        <w:t xml:space="preserv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p>
    <w:p w14:paraId="1E90205F" w14:textId="77777777" w:rsidR="003C2CFA" w:rsidRDefault="003C2CFA" w:rsidP="003C2CFA">
      <w:pPr>
        <w:spacing w:line="360" w:lineRule="auto"/>
        <w:rPr>
          <w:sz w:val="23"/>
          <w:szCs w:val="23"/>
        </w:rPr>
      </w:pPr>
    </w:p>
    <w:p w14:paraId="3E1ABECD" w14:textId="3501011A" w:rsidR="00886ECC" w:rsidRDefault="003C2CFA" w:rsidP="003C2CFA">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 xml:space="preserve">at </w:t>
      </w:r>
      <w:r w:rsidR="00E47705">
        <w:rPr>
          <w:sz w:val="23"/>
          <w:szCs w:val="23"/>
        </w:rPr>
        <w:t>two</w:t>
      </w:r>
      <w:r>
        <w:rPr>
          <w:sz w:val="23"/>
          <w:szCs w:val="23"/>
        </w:rPr>
        <w:t xml:space="preserve"> </w:t>
      </w:r>
      <w:r w:rsidRPr="000E7B35">
        <w:rPr>
          <w:sz w:val="23"/>
          <w:szCs w:val="23"/>
        </w:rPr>
        <w:t xml:space="preserve">complicating factors with regards to identity. </w:t>
      </w:r>
    </w:p>
    <w:p w14:paraId="34039090" w14:textId="77777777" w:rsidR="00886ECC" w:rsidRDefault="00886ECC" w:rsidP="003C2CFA">
      <w:pPr>
        <w:spacing w:line="360" w:lineRule="auto"/>
        <w:rPr>
          <w:sz w:val="23"/>
          <w:szCs w:val="23"/>
        </w:rPr>
      </w:pPr>
    </w:p>
    <w:p w14:paraId="1A36A21F" w14:textId="0291B6BD" w:rsidR="003C2CFA" w:rsidRDefault="003C2CFA" w:rsidP="003C2CFA">
      <w:pPr>
        <w:spacing w:line="360" w:lineRule="auto"/>
        <w:rPr>
          <w:sz w:val="23"/>
          <w:szCs w:val="23"/>
        </w:rPr>
      </w:pPr>
      <w:commentRangeStart w:id="3"/>
      <w:r w:rsidRPr="000E7B35">
        <w:rPr>
          <w:sz w:val="23"/>
          <w:szCs w:val="23"/>
        </w:rPr>
        <w:t>First, no group is homogenous. Consequently, even as people evaluate groups, there are subsets of a group, which may be more aligned with one’s on than other subsets of the group.</w:t>
      </w:r>
      <w:r w:rsidR="00935A74">
        <w:rPr>
          <w:sz w:val="23"/>
          <w:szCs w:val="23"/>
        </w:rPr>
        <w:t xml:space="preserve"> </w:t>
      </w:r>
      <w:r w:rsidR="00791391">
        <w:rPr>
          <w:sz w:val="23"/>
          <w:szCs w:val="23"/>
        </w:rPr>
        <w:t xml:space="preserve">Second, identities operate differently in differently policy contexts. That is, both a </w:t>
      </w:r>
      <w:proofErr w:type="gramStart"/>
      <w:r w:rsidR="00791391">
        <w:rPr>
          <w:sz w:val="23"/>
          <w:szCs w:val="23"/>
        </w:rPr>
        <w:t>target’s</w:t>
      </w:r>
      <w:proofErr w:type="gramEnd"/>
      <w:r w:rsidR="00791391">
        <w:rPr>
          <w:sz w:val="23"/>
          <w:szCs w:val="23"/>
        </w:rPr>
        <w:t xml:space="preserve"> and “evaluators’” own identity might mean different things depending on the policy in question, in in relation to one another. For example, one might perceive a carceral citizen in another state as deserving of parole, but an incarcerated person in one’s own county as undeserving.</w:t>
      </w:r>
      <w:r w:rsidR="00935A74">
        <w:rPr>
          <w:sz w:val="23"/>
          <w:szCs w:val="23"/>
        </w:rPr>
        <w:t xml:space="preserve"> </w:t>
      </w:r>
      <w:r w:rsidR="00791391">
        <w:rPr>
          <w:sz w:val="23"/>
          <w:szCs w:val="23"/>
        </w:rPr>
        <w:t>Third</w:t>
      </w:r>
      <w:r w:rsidRPr="000E7B35">
        <w:rPr>
          <w:sz w:val="23"/>
          <w:szCs w:val="23"/>
        </w:rPr>
        <w:t xml:space="preserve">, within the context of the United States, race is not only an identity but an organizing mechanism of society; as such, the dynamics of race and racism, </w:t>
      </w:r>
      <w:r w:rsidR="006730A2" w:rsidRPr="000E7B35">
        <w:rPr>
          <w:sz w:val="23"/>
          <w:szCs w:val="23"/>
        </w:rPr>
        <w:t>must</w:t>
      </w:r>
      <w:r w:rsidRPr="000E7B35">
        <w:rPr>
          <w:sz w:val="23"/>
          <w:szCs w:val="23"/>
        </w:rPr>
        <w:t xml:space="preserve"> be called to special attention. </w:t>
      </w:r>
      <w:commentRangeEnd w:id="3"/>
      <w:r>
        <w:rPr>
          <w:rStyle w:val="CommentReference"/>
        </w:rPr>
        <w:commentReference w:id="3"/>
      </w:r>
      <w:r w:rsidR="006730A2">
        <w:rPr>
          <w:sz w:val="23"/>
          <w:szCs w:val="23"/>
        </w:rPr>
        <w:t xml:space="preserve">As an organizing identity, race also shapes dynamics of policy contexts. </w:t>
      </w:r>
      <w:proofErr w:type="spellStart"/>
      <w:r w:rsidR="00935A74">
        <w:rPr>
          <w:sz w:val="23"/>
          <w:szCs w:val="23"/>
        </w:rPr>
        <w:t>ß</w:t>
      </w:r>
      <w:r>
        <w:rPr>
          <w:sz w:val="23"/>
          <w:szCs w:val="23"/>
        </w:rPr>
        <w:t>Finally</w:t>
      </w:r>
      <w:proofErr w:type="spellEnd"/>
      <w:r>
        <w:rPr>
          <w:sz w:val="23"/>
          <w:szCs w:val="23"/>
        </w:rPr>
        <w:t>, CARIN is assessed in a rather abstract way; the policy context that people are making assessments is likely to influence the way people evaluate CARIN. I address insights from a wider array of literatures, which enrich the theory and hypotheses I offer here.</w:t>
      </w:r>
    </w:p>
    <w:p w14:paraId="3CF64F49" w14:textId="77777777" w:rsidR="003C2CFA" w:rsidRDefault="003C2CFA" w:rsidP="003C2CFA">
      <w:pPr>
        <w:spacing w:line="360" w:lineRule="auto"/>
        <w:rPr>
          <w:sz w:val="23"/>
          <w:szCs w:val="23"/>
        </w:rPr>
      </w:pPr>
    </w:p>
    <w:p w14:paraId="504C7D0F" w14:textId="77777777" w:rsidR="003C2CFA" w:rsidRPr="005D5C09" w:rsidRDefault="003C2CFA" w:rsidP="003C2CFA">
      <w:pPr>
        <w:spacing w:line="360" w:lineRule="auto"/>
        <w:rPr>
          <w:b/>
          <w:bCs/>
          <w:sz w:val="23"/>
          <w:szCs w:val="23"/>
        </w:rPr>
      </w:pPr>
      <w:r w:rsidRPr="005D5C09">
        <w:rPr>
          <w:b/>
          <w:bCs/>
          <w:sz w:val="23"/>
          <w:szCs w:val="23"/>
        </w:rPr>
        <w:t>Affect &amp; Dehumanization</w:t>
      </w:r>
    </w:p>
    <w:p w14:paraId="2166849D" w14:textId="77777777" w:rsidR="003C2CFA" w:rsidRDefault="003C2CFA" w:rsidP="003C2CFA">
      <w:pPr>
        <w:spacing w:line="360" w:lineRule="auto"/>
        <w:rPr>
          <w:sz w:val="23"/>
          <w:szCs w:val="23"/>
        </w:rPr>
      </w:pPr>
      <w:r>
        <w:rPr>
          <w:sz w:val="23"/>
          <w:szCs w:val="23"/>
        </w:rPr>
        <w:t xml:space="preserve">Affect – emotional valence – shapes political judgements (Lodge and Taber 2013) and views about what groups deserve (Fiske, Cuddy, Glick &amp; Xu 2002, Glick and Fiske 1996). Kahneman (2011) frames this readiness of emotional disposition towards an object to both shape and justify opinions as the “affect heuristic” (139), and notes that it is especially pronounced in complicated policy domains, </w:t>
      </w:r>
      <w:r>
        <w:rPr>
          <w:sz w:val="23"/>
          <w:szCs w:val="23"/>
        </w:rPr>
        <w:lastRenderedPageBreak/>
        <w:t xml:space="preserve">where “the answer to an easy question (How do I feel about it?) serves as an answer to a much harder question (What do I think about it)?” </w:t>
      </w:r>
    </w:p>
    <w:p w14:paraId="74FA3E8B" w14:textId="77777777" w:rsidR="003C2CFA" w:rsidRDefault="003C2CFA" w:rsidP="003C2CFA">
      <w:pPr>
        <w:spacing w:line="360" w:lineRule="auto"/>
        <w:rPr>
          <w:sz w:val="23"/>
          <w:szCs w:val="23"/>
        </w:rPr>
      </w:pPr>
    </w:p>
    <w:p w14:paraId="3F3E4D96" w14:textId="77777777" w:rsidR="003C2CFA" w:rsidRDefault="003C2CFA" w:rsidP="003C2CFA">
      <w:pPr>
        <w:spacing w:line="360" w:lineRule="auto"/>
        <w:rPr>
          <w:sz w:val="23"/>
          <w:szCs w:val="23"/>
        </w:rPr>
      </w:pPr>
      <w:r>
        <w:rPr>
          <w:sz w:val="23"/>
          <w:szCs w:val="23"/>
        </w:rPr>
        <w:t xml:space="preserve">Where various emotions are important in shaping perceptions of </w:t>
      </w:r>
      <w:r w:rsidRPr="008010B8">
        <w:rPr>
          <w:sz w:val="23"/>
          <w:szCs w:val="23"/>
        </w:rPr>
        <w:t>welfare beneficiary deservingness</w:t>
      </w:r>
      <w:r>
        <w:rPr>
          <w:sz w:val="23"/>
          <w:szCs w:val="23"/>
        </w:rPr>
        <w:t xml:space="preserve"> – a process rooted in </w:t>
      </w:r>
      <w:r w:rsidRPr="008010B8">
        <w:rPr>
          <w:sz w:val="23"/>
          <w:szCs w:val="23"/>
        </w:rPr>
        <w:t xml:space="preserve"> the evolutionary impulse to help reciprocators and avoid cheaters – or differentiate between the two</w:t>
      </w:r>
      <w:r>
        <w:rPr>
          <w:sz w:val="23"/>
          <w:szCs w:val="23"/>
        </w:rPr>
        <w:t xml:space="preserve"> (Feather 2009), disgust appears to be particularly salient in contexts like immigration or interactions with strangers, where perceptions of deservingness could hinge on, and justifications for deservingness judgements can leverage, claims about personal safety (Petersen 2017). </w:t>
      </w:r>
    </w:p>
    <w:p w14:paraId="54334D55" w14:textId="77777777" w:rsidR="003C2CFA" w:rsidRDefault="003C2CFA" w:rsidP="003C2CFA">
      <w:pPr>
        <w:spacing w:line="360" w:lineRule="auto"/>
        <w:rPr>
          <w:sz w:val="23"/>
          <w:szCs w:val="23"/>
        </w:rPr>
      </w:pPr>
    </w:p>
    <w:p w14:paraId="4F2A878D" w14:textId="77777777" w:rsidR="003C2CFA" w:rsidRDefault="003C2CFA" w:rsidP="003C2CFA">
      <w:pPr>
        <w:spacing w:line="360" w:lineRule="auto"/>
        <w:rPr>
          <w:sz w:val="23"/>
          <w:szCs w:val="23"/>
        </w:rPr>
      </w:pPr>
      <w:r w:rsidRPr="008010B8">
        <w:rPr>
          <w:sz w:val="23"/>
          <w:szCs w:val="23"/>
        </w:rPr>
        <w:t xml:space="preserve">The evolutionary roots of this process </w:t>
      </w:r>
      <w:r>
        <w:rPr>
          <w:sz w:val="23"/>
          <w:szCs w:val="23"/>
        </w:rPr>
        <w:t>suggest</w:t>
      </w:r>
      <w:r w:rsidRPr="008010B8">
        <w:rPr>
          <w:sz w:val="23"/>
          <w:szCs w:val="23"/>
        </w:rPr>
        <w:t xml:space="preserve"> its salience</w:t>
      </w:r>
      <w:r>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w:t>
      </w:r>
      <w:r>
        <w:rPr>
          <w:sz w:val="23"/>
          <w:szCs w:val="23"/>
        </w:rPr>
        <w:t>”</w:t>
      </w:r>
      <w:r w:rsidRPr="008010B8">
        <w:rPr>
          <w:sz w:val="23"/>
          <w:szCs w:val="23"/>
        </w:rPr>
        <w:t xml:space="preserve">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r>
        <w:rPr>
          <w:sz w:val="23"/>
          <w:szCs w:val="23"/>
        </w:rPr>
        <w:t xml:space="preserve">further </w:t>
      </w:r>
      <w:r w:rsidRPr="008010B8">
        <w:rPr>
          <w:sz w:val="23"/>
          <w:szCs w:val="23"/>
        </w:rPr>
        <w:t>intensifies disgust (Fincher and Tetlock 2016)</w:t>
      </w:r>
    </w:p>
    <w:p w14:paraId="2D9F059D" w14:textId="77777777" w:rsidR="003C2CFA" w:rsidRDefault="003C2CFA" w:rsidP="003C2CFA">
      <w:pPr>
        <w:spacing w:line="360" w:lineRule="auto"/>
        <w:rPr>
          <w:sz w:val="23"/>
          <w:szCs w:val="23"/>
        </w:rPr>
      </w:pPr>
    </w:p>
    <w:p w14:paraId="48A72643" w14:textId="77777777" w:rsidR="003C2CFA" w:rsidRDefault="003C2CFA" w:rsidP="003C2CFA">
      <w:pPr>
        <w:spacing w:line="360" w:lineRule="auto"/>
        <w:rPr>
          <w:sz w:val="23"/>
          <w:szCs w:val="23"/>
        </w:rPr>
      </w:pPr>
      <w:r>
        <w:rPr>
          <w:sz w:val="23"/>
          <w:szCs w:val="23"/>
        </w:rPr>
        <w:t>Disgust and dehumanization appear to change how groups are perceived in both broader and specific ways than in terms of moral character. Dehumanized groups are viewed as belonging to a different moral category, or “outside the boundary in which moral values, rules, and considerations of fairness apply” (</w:t>
      </w:r>
      <w:proofErr w:type="spellStart"/>
      <w:r>
        <w:rPr>
          <w:sz w:val="23"/>
          <w:szCs w:val="23"/>
        </w:rPr>
        <w:t>Opotow</w:t>
      </w:r>
      <w:proofErr w:type="spellEnd"/>
      <w:r>
        <w:rPr>
          <w:sz w:val="23"/>
          <w:szCs w:val="23"/>
        </w:rPr>
        <w:t xml:space="preserve"> 1990, 1, Bar-Tal 1989).  This is clearly illustrated in the context of mass violence (Kelman 1976, Staub 1989). Mechanistically, Harris and Fiske (2006) find in a neuroimaging study that people do not perceive and think about individuals who are dehumanized, or “extreme out-groups” as they would otherwise, and instead primarily neurologically react with disgust; this is particularly true when prompted with Black rather than white individuals as cues. Further, dehumanization and disgust can both produce </w:t>
      </w:r>
      <w:r w:rsidRPr="005D5C09">
        <w:rPr>
          <w:i/>
          <w:iCs/>
          <w:sz w:val="23"/>
          <w:szCs w:val="23"/>
        </w:rPr>
        <w:t>specific</w:t>
      </w:r>
      <w:r>
        <w:rPr>
          <w:sz w:val="23"/>
          <w:szCs w:val="23"/>
        </w:rPr>
        <w:t xml:space="preserve"> assumptions about the traits of targets, including higher levels of aggression </w:t>
      </w:r>
      <w:r w:rsidRPr="008010B8">
        <w:rPr>
          <w:sz w:val="23"/>
          <w:szCs w:val="23"/>
        </w:rPr>
        <w:t>(Rozin et al 2008), incompetence,</w:t>
      </w:r>
      <w:r>
        <w:rPr>
          <w:sz w:val="23"/>
          <w:szCs w:val="23"/>
        </w:rPr>
        <w:t xml:space="preserve"> and</w:t>
      </w:r>
      <w:r w:rsidRPr="008010B8">
        <w:rPr>
          <w:sz w:val="23"/>
          <w:szCs w:val="23"/>
        </w:rPr>
        <w:t xml:space="preserve"> coldness (Fiske, Cuddy, </w:t>
      </w:r>
      <w:proofErr w:type="spellStart"/>
      <w:r w:rsidRPr="008010B8">
        <w:rPr>
          <w:sz w:val="23"/>
          <w:szCs w:val="23"/>
        </w:rPr>
        <w:t>Glix</w:t>
      </w:r>
      <w:proofErr w:type="spellEnd"/>
      <w:r w:rsidRPr="008010B8">
        <w:rPr>
          <w:sz w:val="23"/>
          <w:szCs w:val="23"/>
        </w:rPr>
        <w:t xml:space="preserve"> and Xu 2002).</w:t>
      </w:r>
      <w:r>
        <w:rPr>
          <w:sz w:val="23"/>
          <w:szCs w:val="23"/>
        </w:rPr>
        <w:t xml:space="preserve"> Whether automatically or deliberately, affect can strengthen or validate already-</w:t>
      </w:r>
      <w:r>
        <w:rPr>
          <w:sz w:val="23"/>
          <w:szCs w:val="23"/>
        </w:rPr>
        <w:lastRenderedPageBreak/>
        <w:t>held prejudicial views (Harris and Fiske 2006), implicit biases (</w:t>
      </w:r>
      <w:r w:rsidRPr="008010B8">
        <w:rPr>
          <w:sz w:val="23"/>
          <w:szCs w:val="23"/>
        </w:rPr>
        <w:t>Dasgupta, DeSteno, Williams and Hunsinger 2009</w:t>
      </w:r>
      <w:r>
        <w:rPr>
          <w:sz w:val="23"/>
          <w:szCs w:val="23"/>
        </w:rPr>
        <w:t>).</w:t>
      </w:r>
    </w:p>
    <w:p w14:paraId="4F73A417" w14:textId="77777777" w:rsidR="003C2CFA" w:rsidRDefault="003C2CFA" w:rsidP="003C2CFA">
      <w:pPr>
        <w:spacing w:line="360" w:lineRule="auto"/>
        <w:rPr>
          <w:sz w:val="23"/>
          <w:szCs w:val="23"/>
        </w:rPr>
      </w:pPr>
    </w:p>
    <w:p w14:paraId="226AF8B3" w14:textId="77777777" w:rsidR="003C2CFA" w:rsidRDefault="003C2CFA" w:rsidP="003C2CFA">
      <w:pPr>
        <w:spacing w:line="360" w:lineRule="auto"/>
        <w:rPr>
          <w:sz w:val="23"/>
          <w:szCs w:val="23"/>
        </w:rPr>
      </w:pPr>
      <w:r>
        <w:rPr>
          <w:sz w:val="23"/>
          <w:szCs w:val="23"/>
        </w:rPr>
        <w:t>In turn, dehumanization and disgust both enable toleration by evaluators of treatment towards the 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xml:space="preserve">). This affect actively generates aggressive behavior and punitiveness, particularly in the US to racial minorities (Bandura 1975, 1999, Bandura, </w:t>
      </w:r>
      <w:proofErr w:type="spellStart"/>
      <w:r>
        <w:rPr>
          <w:sz w:val="23"/>
          <w:szCs w:val="23"/>
        </w:rPr>
        <w:t>Kteily</w:t>
      </w:r>
      <w:proofErr w:type="spellEnd"/>
      <w:r>
        <w:rPr>
          <w:sz w:val="23"/>
          <w:szCs w:val="23"/>
        </w:rPr>
        <w:t xml:space="preserve"> and Bruneau 2017). </w:t>
      </w:r>
      <w:r w:rsidRPr="008010B8">
        <w:rPr>
          <w:sz w:val="23"/>
          <w:szCs w:val="23"/>
        </w:rPr>
        <w:t xml:space="preserve">Coupled with cultural conditioning, disgust motivates people to attribute blame to moral character akin to Kant’s (1790) “internal wickedness” (Nisbett and Ross 1980). This </w:t>
      </w:r>
      <w:r>
        <w:rPr>
          <w:sz w:val="23"/>
          <w:szCs w:val="23"/>
        </w:rPr>
        <w:t xml:space="preserve">tendency in criminal legal contexts is especially </w:t>
      </w:r>
      <w:r w:rsidRPr="008010B8">
        <w:rPr>
          <w:sz w:val="23"/>
          <w:szCs w:val="23"/>
        </w:rPr>
        <w:t>well-established</w:t>
      </w:r>
      <w:r>
        <w:rPr>
          <w:sz w:val="23"/>
          <w:szCs w:val="23"/>
        </w:rPr>
        <w:t>:</w:t>
      </w:r>
      <w:r w:rsidRPr="008010B8">
        <w:rPr>
          <w:sz w:val="23"/>
          <w:szCs w:val="23"/>
        </w:rPr>
        <w:t xml:space="preserve"> overassessment of individual culpability and purposeful harm, or </w:t>
      </w:r>
      <w:proofErr w:type="spellStart"/>
      <w:r w:rsidRPr="008010B8">
        <w:rPr>
          <w:i/>
          <w:iCs/>
          <w:sz w:val="23"/>
          <w:szCs w:val="23"/>
        </w:rPr>
        <w:t>mens</w:t>
      </w:r>
      <w:proofErr w:type="spellEnd"/>
      <w:r w:rsidRPr="008010B8">
        <w:rPr>
          <w:i/>
          <w:iCs/>
          <w:sz w:val="23"/>
          <w:szCs w:val="23"/>
        </w:rPr>
        <w:t xml:space="preserve"> rea</w:t>
      </w:r>
      <w:r w:rsidRPr="008010B8">
        <w:rPr>
          <w:sz w:val="23"/>
          <w:szCs w:val="23"/>
        </w:rPr>
        <w:t xml:space="preserve"> in court contexts, appears not just among survey participants (Shen et al 2011) but also among jurists (Severance and Loftus 1982) and trial judges (</w:t>
      </w:r>
      <w:proofErr w:type="spellStart"/>
      <w:r w:rsidRPr="008010B8">
        <w:rPr>
          <w:sz w:val="23"/>
          <w:szCs w:val="23"/>
        </w:rPr>
        <w:t>Fondacaro</w:t>
      </w:r>
      <w:proofErr w:type="spellEnd"/>
      <w:r w:rsidRPr="008010B8">
        <w:rPr>
          <w:sz w:val="23"/>
          <w:szCs w:val="23"/>
        </w:rPr>
        <w:t xml:space="preserve"> and O’Toole 2015). </w:t>
      </w:r>
    </w:p>
    <w:p w14:paraId="7CD3A58B" w14:textId="77777777" w:rsidR="003C2CFA" w:rsidRDefault="003C2CFA" w:rsidP="003C2CFA">
      <w:pPr>
        <w:spacing w:line="360" w:lineRule="auto"/>
        <w:rPr>
          <w:sz w:val="23"/>
          <w:szCs w:val="23"/>
        </w:rPr>
      </w:pPr>
    </w:p>
    <w:p w14:paraId="5E82C060" w14:textId="77777777" w:rsidR="003C2CFA" w:rsidRDefault="003C2CFA" w:rsidP="003C2CFA">
      <w:pPr>
        <w:spacing w:line="360" w:lineRule="auto"/>
        <w:rPr>
          <w:sz w:val="23"/>
          <w:szCs w:val="23"/>
        </w:rPr>
      </w:pPr>
      <w:r>
        <w:rPr>
          <w:sz w:val="23"/>
          <w:szCs w:val="23"/>
        </w:rPr>
        <w:t xml:space="preserve">Such outcomes are products, in part, of disgust’s ability to </w:t>
      </w:r>
      <w:r w:rsidRPr="008010B8">
        <w:rPr>
          <w:sz w:val="23"/>
          <w:szCs w:val="23"/>
        </w:rPr>
        <w:t>inhibit or constrain subsequent deliberative processes (</w:t>
      </w:r>
      <w:proofErr w:type="spellStart"/>
      <w:r w:rsidRPr="008010B8">
        <w:rPr>
          <w:sz w:val="23"/>
          <w:szCs w:val="23"/>
        </w:rPr>
        <w:t>Carlsmith</w:t>
      </w:r>
      <w:proofErr w:type="spellEnd"/>
      <w:r w:rsidRPr="008010B8">
        <w:rPr>
          <w:sz w:val="23"/>
          <w:szCs w:val="23"/>
        </w:rPr>
        <w:t xml:space="preserve"> and Darley 2008</w:t>
      </w:r>
      <w:r>
        <w:rPr>
          <w:sz w:val="23"/>
          <w:szCs w:val="23"/>
        </w:rPr>
        <w:t xml:space="preserve">, </w:t>
      </w:r>
      <w:r w:rsidRPr="008010B8">
        <w:rPr>
          <w:sz w:val="23"/>
          <w:szCs w:val="23"/>
        </w:rPr>
        <w:t xml:space="preserve">Petersen 2014) and make people </w:t>
      </w:r>
      <w:r>
        <w:rPr>
          <w:sz w:val="23"/>
          <w:szCs w:val="23"/>
        </w:rPr>
        <w:t xml:space="preserve">either </w:t>
      </w:r>
      <w:r w:rsidRPr="008010B8">
        <w:rPr>
          <w:sz w:val="23"/>
          <w:szCs w:val="23"/>
        </w:rPr>
        <w:t>uninterested in or override mitigating information (Fincher and Tetlock 2016, Nisbett and Ross 1980)</w:t>
      </w:r>
      <w:r>
        <w:rPr>
          <w:sz w:val="23"/>
          <w:szCs w:val="23"/>
        </w:rPr>
        <w:t xml:space="preserve"> --</w:t>
      </w:r>
      <w:r w:rsidRPr="008010B8">
        <w:rPr>
          <w:sz w:val="23"/>
          <w:szCs w:val="23"/>
        </w:rPr>
        <w:t xml:space="preserve"> particularly </w:t>
      </w:r>
      <w:r>
        <w:rPr>
          <w:sz w:val="23"/>
          <w:szCs w:val="23"/>
        </w:rPr>
        <w:t xml:space="preserve">information </w:t>
      </w:r>
      <w:r w:rsidRPr="008010B8">
        <w:rPr>
          <w:sz w:val="23"/>
          <w:szCs w:val="23"/>
        </w:rPr>
        <w:t xml:space="preserve">that challenges already </w:t>
      </w:r>
      <w:r>
        <w:rPr>
          <w:sz w:val="23"/>
          <w:szCs w:val="23"/>
        </w:rPr>
        <w:t>established</w:t>
      </w:r>
      <w:r w:rsidRPr="008010B8">
        <w:rPr>
          <w:sz w:val="23"/>
          <w:szCs w:val="23"/>
        </w:rPr>
        <w:t xml:space="preserve"> beliefs (Bishops 2009). </w:t>
      </w:r>
      <w:r>
        <w:rPr>
          <w:sz w:val="23"/>
          <w:szCs w:val="23"/>
        </w:rPr>
        <w:t xml:space="preserve">Further, </w:t>
      </w:r>
      <w:r w:rsidRPr="008010B8">
        <w:rPr>
          <w:sz w:val="23"/>
          <w:szCs w:val="23"/>
        </w:rPr>
        <w:t>disgust and dehumanization can prompt feelings of moral superiority</w:t>
      </w:r>
      <w:r>
        <w:rPr>
          <w:sz w:val="23"/>
          <w:szCs w:val="23"/>
        </w:rPr>
        <w:t xml:space="preserve"> for the perceiver</w:t>
      </w:r>
      <w:r w:rsidRPr="008010B8">
        <w:rPr>
          <w:sz w:val="23"/>
          <w:szCs w:val="23"/>
        </w:rPr>
        <w:t xml:space="preserve"> (Pizarro Detweiler-Bedell and Bloom 2006), and the punitive impulse </w:t>
      </w:r>
      <w:r>
        <w:rPr>
          <w:sz w:val="23"/>
          <w:szCs w:val="23"/>
        </w:rPr>
        <w:t>appears to be</w:t>
      </w:r>
      <w:r w:rsidRPr="008010B8">
        <w:rPr>
          <w:sz w:val="23"/>
          <w:szCs w:val="23"/>
        </w:rPr>
        <w:t xml:space="preserve"> psychological</w:t>
      </w:r>
      <w:r>
        <w:rPr>
          <w:sz w:val="23"/>
          <w:szCs w:val="23"/>
        </w:rPr>
        <w:t xml:space="preserve">ly rewarding </w:t>
      </w:r>
      <w:r w:rsidRPr="008010B8">
        <w:rPr>
          <w:sz w:val="23"/>
          <w:szCs w:val="23"/>
        </w:rPr>
        <w:t>(</w:t>
      </w:r>
      <w:proofErr w:type="spellStart"/>
      <w:r w:rsidRPr="008010B8">
        <w:rPr>
          <w:sz w:val="23"/>
          <w:szCs w:val="23"/>
        </w:rPr>
        <w:t>Ellemers</w:t>
      </w:r>
      <w:proofErr w:type="spellEnd"/>
      <w:r w:rsidRPr="008010B8">
        <w:rPr>
          <w:sz w:val="23"/>
          <w:szCs w:val="23"/>
        </w:rPr>
        <w:t xml:space="preserve"> 2017, Tajfel and Turner 1979).</w:t>
      </w:r>
    </w:p>
    <w:p w14:paraId="591B1EE1" w14:textId="77777777" w:rsidR="003C2CFA" w:rsidRDefault="003C2CFA" w:rsidP="003C2CFA">
      <w:pPr>
        <w:spacing w:line="360" w:lineRule="auto"/>
        <w:rPr>
          <w:sz w:val="23"/>
          <w:szCs w:val="23"/>
        </w:rPr>
      </w:pPr>
    </w:p>
    <w:p w14:paraId="458DB1B3" w14:textId="2B1C23D6" w:rsidR="003C2CFA" w:rsidRPr="00935A74" w:rsidRDefault="003C2CFA" w:rsidP="00935A74">
      <w:pPr>
        <w:spacing w:line="360" w:lineRule="auto"/>
        <w:rPr>
          <w:i/>
          <w:iCs/>
          <w:sz w:val="23"/>
          <w:szCs w:val="23"/>
        </w:rPr>
      </w:pPr>
      <w:proofErr w:type="spellStart"/>
      <w:r w:rsidRPr="005D5C09">
        <w:rPr>
          <w:b/>
          <w:bCs/>
          <w:sz w:val="23"/>
          <w:szCs w:val="23"/>
        </w:rPr>
        <w:t>Subsetting</w:t>
      </w:r>
      <w:proofErr w:type="spellEnd"/>
      <w:r w:rsidRPr="005D5C09">
        <w:rPr>
          <w:b/>
          <w:bCs/>
          <w:sz w:val="23"/>
          <w:szCs w:val="23"/>
        </w:rPr>
        <w:t xml:space="preserve"> </w:t>
      </w:r>
      <w:proofErr w:type="spellStart"/>
      <w:r w:rsidRPr="005D5C09">
        <w:rPr>
          <w:b/>
          <w:bCs/>
          <w:sz w:val="23"/>
          <w:szCs w:val="23"/>
        </w:rPr>
        <w:t>Identities</w:t>
      </w:r>
      <w:r>
        <w:rPr>
          <w:sz w:val="23"/>
          <w:szCs w:val="23"/>
        </w:rPr>
        <w:t>Public</w:t>
      </w:r>
      <w:proofErr w:type="spellEnd"/>
      <w:r>
        <w:rPr>
          <w:sz w:val="23"/>
          <w:szCs w:val="23"/>
        </w:rPr>
        <w:t xml:space="preserve">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w:t>
      </w:r>
      <w:commentRangeStart w:id="4"/>
      <w:r>
        <w:rPr>
          <w:sz w:val="23"/>
          <w:szCs w:val="23"/>
        </w:rPr>
        <w:t xml:space="preserve">variation in deservingness assessments </w:t>
      </w:r>
      <w:proofErr w:type="gramStart"/>
      <w:r>
        <w:rPr>
          <w:sz w:val="23"/>
          <w:szCs w:val="23"/>
        </w:rPr>
        <w:t>of  “</w:t>
      </w:r>
      <w:proofErr w:type="gramEnd"/>
      <w:r>
        <w:rPr>
          <w:sz w:val="23"/>
          <w:szCs w:val="23"/>
        </w:rPr>
        <w:t xml:space="preserve">groups within groups,” or subsets of groups. For instance, private school teachers, public high school teachers, and special education teachers may be assessed differently. Still more, policy discourse often frames subgroups differently. </w:t>
      </w:r>
      <w:commentRangeEnd w:id="4"/>
      <w:r>
        <w:rPr>
          <w:rStyle w:val="CommentReference"/>
        </w:rPr>
        <w:commentReference w:id="4"/>
      </w:r>
    </w:p>
    <w:p w14:paraId="67E6FFA3" w14:textId="77777777" w:rsidR="003C2CFA" w:rsidRDefault="003C2CFA" w:rsidP="003C2CFA">
      <w:pPr>
        <w:pStyle w:val="whitespace-pre-wrap"/>
        <w:spacing w:line="360" w:lineRule="auto"/>
        <w:rPr>
          <w:sz w:val="23"/>
          <w:szCs w:val="23"/>
        </w:rPr>
      </w:pPr>
      <w:r>
        <w:rPr>
          <w:sz w:val="23"/>
          <w:szCs w:val="23"/>
        </w:rPr>
        <w:t xml:space="preserve">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 Matos (2019) asks how broad bipartisan support for the DREAM Act – protections for people who were brought to the US without documentation as minors – can coexist with stringent punitiveness </w:t>
      </w:r>
      <w:r>
        <w:rPr>
          <w:sz w:val="23"/>
          <w:szCs w:val="23"/>
        </w:rPr>
        <w:lastRenderedPageBreak/>
        <w:t xml:space="preserve">towards migrants more broadly. Further, she shows that perceptions of what subsets of immigrants deserve is conditioned on frames and characteristics particular to both the subset and the evaluating group. She finds that particularly among Democrats, this differentiation between </w:t>
      </w:r>
      <w:proofErr w:type="spellStart"/>
      <w:r>
        <w:rPr>
          <w:sz w:val="23"/>
          <w:szCs w:val="23"/>
        </w:rPr>
        <w:t>DREAMers</w:t>
      </w:r>
      <w:proofErr w:type="spellEnd"/>
      <w:r>
        <w:rPr>
          <w:sz w:val="23"/>
          <w:szCs w:val="23"/>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Pr>
          <w:sz w:val="23"/>
          <w:szCs w:val="23"/>
        </w:rPr>
        <w:t>DREAMer’s</w:t>
      </w:r>
      <w:proofErr w:type="spellEnd"/>
      <w:r>
        <w:rPr>
          <w:sz w:val="23"/>
          <w:szCs w:val="23"/>
        </w:rPr>
        <w:t xml:space="preserve"> when the military service of that subgroup is highlighted.</w:t>
      </w:r>
    </w:p>
    <w:p w14:paraId="23E9ECD4" w14:textId="5BA40198" w:rsidR="003C2CFA" w:rsidRDefault="003C2CFA" w:rsidP="003C2CFA">
      <w:pPr>
        <w:pStyle w:val="whitespace-pre-wrap"/>
        <w:spacing w:line="360" w:lineRule="auto"/>
        <w:rPr>
          <w:sz w:val="23"/>
          <w:szCs w:val="23"/>
        </w:rPr>
      </w:pPr>
      <w:r>
        <w:rPr>
          <w:sz w:val="23"/>
          <w:szCs w:val="23"/>
        </w:rPr>
        <w:t xml:space="preserve">Within-group differentiation or </w:t>
      </w:r>
      <w:proofErr w:type="spellStart"/>
      <w:r>
        <w:rPr>
          <w:sz w:val="23"/>
          <w:szCs w:val="23"/>
        </w:rPr>
        <w:t>subsetting</w:t>
      </w:r>
      <w:proofErr w:type="spellEnd"/>
      <w:r>
        <w:rPr>
          <w:sz w:val="23"/>
          <w:szCs w:val="23"/>
        </w:rPr>
        <w:t xml:space="preserve"> of groups is also a product of “othering.” Grove and </w:t>
      </w:r>
      <w:proofErr w:type="spellStart"/>
      <w:r>
        <w:rPr>
          <w:sz w:val="23"/>
          <w:szCs w:val="23"/>
        </w:rPr>
        <w:t>Zwi</w:t>
      </w:r>
      <w:proofErr w:type="spellEnd"/>
      <w:r>
        <w:rPr>
          <w:sz w:val="23"/>
          <w:szCs w:val="23"/>
        </w:rPr>
        <w:t xml:space="preserve"> (2006) also illuminate this point in the context of the treatment of immigrants. Discourses involving threat and order, and of policies that enforce boundaries and symbolize unbelonging are discerning in which subsets are both “set” and held apart from dominant communities. Like punitiveness and moral differentiation, Grove and </w:t>
      </w:r>
      <w:proofErr w:type="spellStart"/>
      <w:r>
        <w:rPr>
          <w:sz w:val="23"/>
          <w:szCs w:val="23"/>
        </w:rPr>
        <w:t>Zwi</w:t>
      </w:r>
      <w:proofErr w:type="spellEnd"/>
      <w:r>
        <w:rPr>
          <w:sz w:val="23"/>
          <w:szCs w:val="23"/>
        </w:rPr>
        <w:t xml:space="preserve"> note that ‘othering’ both defines the deservingness of the target, and in contrast, the deservingness or belonging (in-</w:t>
      </w:r>
      <w:proofErr w:type="gramStart"/>
      <w:r>
        <w:rPr>
          <w:sz w:val="23"/>
          <w:szCs w:val="23"/>
        </w:rPr>
        <w:t>group-ness</w:t>
      </w:r>
      <w:proofErr w:type="gramEnd"/>
      <w:r>
        <w:rPr>
          <w:sz w:val="23"/>
          <w:szCs w:val="23"/>
        </w:rPr>
        <w:t xml:space="preserve">) of oneself. </w:t>
      </w:r>
      <w:r w:rsidR="00E47705">
        <w:rPr>
          <w:sz w:val="23"/>
          <w:szCs w:val="23"/>
        </w:rPr>
        <w:t>Conversely, huma</w:t>
      </w:r>
      <w:r>
        <w:rPr>
          <w:sz w:val="23"/>
          <w:szCs w:val="23"/>
        </w:rPr>
        <w:t xml:space="preserve">nization – in discourse and policy – can </w:t>
      </w:r>
      <w:r w:rsidRPr="008010B8">
        <w:rPr>
          <w:sz w:val="23"/>
          <w:szCs w:val="23"/>
        </w:rPr>
        <w:t xml:space="preserve">generate sympathy </w:t>
      </w:r>
      <w:r>
        <w:rPr>
          <w:sz w:val="23"/>
          <w:szCs w:val="23"/>
        </w:rPr>
        <w:t>and inclusivity.</w:t>
      </w:r>
    </w:p>
    <w:p w14:paraId="10E8F5D3" w14:textId="2F782BAA" w:rsidR="003C2CFA" w:rsidRPr="00791391" w:rsidRDefault="003C2CFA" w:rsidP="00791391">
      <w:pPr>
        <w:pStyle w:val="whitespace-pre-wrap"/>
        <w:spacing w:line="360" w:lineRule="auto"/>
        <w:rPr>
          <w:sz w:val="23"/>
          <w:szCs w:val="23"/>
        </w:rPr>
      </w:pPr>
      <w:r>
        <w:rPr>
          <w:sz w:val="23"/>
          <w:szCs w:val="23"/>
        </w:rPr>
        <w:t>Such ‘</w:t>
      </w:r>
      <w:proofErr w:type="spellStart"/>
      <w:r>
        <w:rPr>
          <w:sz w:val="23"/>
          <w:szCs w:val="23"/>
        </w:rPr>
        <w:t>subsetting</w:t>
      </w:r>
      <w:proofErr w:type="spellEnd"/>
      <w:r>
        <w:rPr>
          <w:sz w:val="23"/>
          <w:szCs w:val="23"/>
        </w:rPr>
        <w:t xml:space="preserve">’ also appears the criminal legal domain. </w:t>
      </w:r>
      <w:r w:rsidRPr="008010B8">
        <w:rPr>
          <w:sz w:val="23"/>
          <w:szCs w:val="23"/>
        </w:rPr>
        <w:t xml:space="preserve">Support for incarcerated political rights idiosyncratically decreases with specificity of sentence and then seriousness of offense type – meaning </w:t>
      </w:r>
      <w:r>
        <w:rPr>
          <w:sz w:val="23"/>
          <w:szCs w:val="23"/>
        </w:rPr>
        <w:t>that among respondents who say they support voting rights for “all” incarcerated people, these same respondents go on to say they would exclude extending voting rights to incarcerated “felons,” or people convicted of violent offenses.</w:t>
      </w:r>
      <w:r w:rsidRPr="008010B8">
        <w:rPr>
          <w:sz w:val="23"/>
          <w:szCs w:val="23"/>
        </w:rPr>
        <w:t xml:space="preserve">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 </w:t>
      </w:r>
      <w:proofErr w:type="spellStart"/>
      <w:r w:rsidRPr="008010B8">
        <w:rPr>
          <w:sz w:val="23"/>
          <w:szCs w:val="23"/>
        </w:rPr>
        <w:t>Uggen</w:t>
      </w:r>
      <w:proofErr w:type="spellEnd"/>
      <w:r w:rsidRPr="008010B8">
        <w:rPr>
          <w:sz w:val="23"/>
          <w:szCs w:val="23"/>
        </w:rPr>
        <w:t xml:space="preserve"> 2023). </w:t>
      </w:r>
      <w:proofErr w:type="spellStart"/>
      <w:r>
        <w:rPr>
          <w:sz w:val="23"/>
          <w:szCs w:val="23"/>
        </w:rPr>
        <w:t>Thielo</w:t>
      </w:r>
      <w:proofErr w:type="spellEnd"/>
      <w:r>
        <w:rPr>
          <w:sz w:val="23"/>
          <w:szCs w:val="23"/>
        </w:rPr>
        <w:t xml:space="preserve"> and colleagues (2019) find that the public differentiates between incarcerated types – “non-violent offenders” versus “violent offenders.” </w:t>
      </w:r>
      <w:r w:rsidR="00791391">
        <w:rPr>
          <w:sz w:val="23"/>
          <w:szCs w:val="23"/>
        </w:rPr>
        <w:t xml:space="preserve">In a different study, </w:t>
      </w:r>
      <w:proofErr w:type="spellStart"/>
      <w:r w:rsidR="00791391" w:rsidRPr="008010B8">
        <w:rPr>
          <w:sz w:val="23"/>
          <w:szCs w:val="23"/>
        </w:rPr>
        <w:t>Thielo</w:t>
      </w:r>
      <w:proofErr w:type="spellEnd"/>
      <w:r w:rsidR="00791391" w:rsidRPr="008010B8">
        <w:rPr>
          <w:sz w:val="23"/>
          <w:szCs w:val="23"/>
        </w:rPr>
        <w:t xml:space="preserve"> et al (2015) find</w:t>
      </w:r>
      <w:r w:rsidR="00791391">
        <w:rPr>
          <w:sz w:val="23"/>
          <w:szCs w:val="23"/>
        </w:rPr>
        <w:t>s that information about redeemability or rehabilitation can</w:t>
      </w:r>
      <w:r w:rsidR="00791391" w:rsidRPr="008010B8">
        <w:rPr>
          <w:sz w:val="23"/>
          <w:szCs w:val="23"/>
        </w:rPr>
        <w:t xml:space="preserve"> decrease support for punitive policies</w:t>
      </w:r>
      <w:r w:rsidR="00791391">
        <w:rPr>
          <w:sz w:val="23"/>
          <w:szCs w:val="23"/>
        </w:rPr>
        <w:t xml:space="preserve"> – suggesting that perceptions of innate culpability and affective reactions may </w:t>
      </w:r>
      <w:r w:rsidR="00791391">
        <w:rPr>
          <w:sz w:val="23"/>
          <w:szCs w:val="23"/>
        </w:rPr>
        <w:t xml:space="preserve">drive differentiation, including in perceptions of who does and does not deserve democratic rights. </w:t>
      </w:r>
      <w:commentRangeStart w:id="5"/>
    </w:p>
    <w:p w14:paraId="542B5560" w14:textId="77777777" w:rsidR="003C2CFA" w:rsidRPr="00935A74" w:rsidRDefault="003C2CFA" w:rsidP="003C2CFA">
      <w:pPr>
        <w:spacing w:line="360" w:lineRule="auto"/>
        <w:rPr>
          <w:b/>
          <w:bCs/>
          <w:sz w:val="23"/>
          <w:szCs w:val="23"/>
        </w:rPr>
      </w:pPr>
      <w:r w:rsidRPr="00935A74">
        <w:rPr>
          <w:b/>
          <w:bCs/>
          <w:sz w:val="23"/>
          <w:szCs w:val="23"/>
        </w:rPr>
        <w:t xml:space="preserve">Policy Context </w:t>
      </w:r>
      <w:commentRangeEnd w:id="5"/>
      <w:r w:rsidRPr="00935A74">
        <w:rPr>
          <w:rStyle w:val="CommentReference"/>
          <w:b/>
          <w:bCs/>
        </w:rPr>
        <w:commentReference w:id="5"/>
      </w:r>
    </w:p>
    <w:p w14:paraId="1D7726C8" w14:textId="77777777" w:rsidR="003C2CFA" w:rsidRDefault="003C2CFA" w:rsidP="003C2CFA">
      <w:pPr>
        <w:spacing w:line="360" w:lineRule="auto"/>
      </w:pPr>
      <w:r>
        <w:t xml:space="preserve">Perceptions of whether groups deserve policy benefits depend in part on the policy in question. While this may seem self-evident, it is important to point out that in some contexts, policies protect or maintain hierarchies, and in others, policies can challenge hierarchies (Eubank and Fresh 2022, </w:t>
      </w:r>
      <w:proofErr w:type="spellStart"/>
      <w:r>
        <w:t>Soss</w:t>
      </w:r>
      <w:proofErr w:type="spellEnd"/>
      <w:r>
        <w:t xml:space="preserve">, Fording, and Schram 2012). </w:t>
      </w:r>
      <w:proofErr w:type="spellStart"/>
      <w:r w:rsidRPr="008010B8">
        <w:t>Carlsmith</w:t>
      </w:r>
      <w:proofErr w:type="spellEnd"/>
      <w:r w:rsidRPr="008010B8">
        <w:t xml:space="preserve"> et al. (2002) and </w:t>
      </w:r>
      <w:proofErr w:type="spellStart"/>
      <w:r w:rsidRPr="008010B8">
        <w:t>Chamberlen</w:t>
      </w:r>
      <w:proofErr w:type="spellEnd"/>
      <w:r w:rsidRPr="008010B8">
        <w:t xml:space="preserve"> (2017) observe </w:t>
      </w:r>
      <w:r>
        <w:t xml:space="preserve">that </w:t>
      </w:r>
      <w:r w:rsidRPr="008010B8">
        <w:t xml:space="preserve">people appear more utilitarian and rehabilitation-oriented in "temporally distant" or </w:t>
      </w:r>
      <w:r w:rsidRPr="008010B8">
        <w:lastRenderedPageBreak/>
        <w:t>general settings, but retributive in proximate situations</w:t>
      </w:r>
      <w:r>
        <w:t xml:space="preserve">. Grove and </w:t>
      </w:r>
      <w:proofErr w:type="spellStart"/>
      <w:r>
        <w:t>Zwi</w:t>
      </w:r>
      <w:proofErr w:type="spellEnd"/>
      <w:r>
        <w:t xml:space="preserve"> (2006) show that beliefs about what immigrants deserve involve the evaluator’s perception of self and a desire to preserve their own location on a hierarchy involving deservingness and belonging: </w:t>
      </w:r>
    </w:p>
    <w:p w14:paraId="7F179780" w14:textId="77777777" w:rsidR="003C2CFA" w:rsidRPr="00FA1D81" w:rsidRDefault="003C2CFA" w:rsidP="003C2CFA">
      <w:pPr>
        <w:ind w:left="720"/>
        <w:rPr>
          <w:sz w:val="23"/>
          <w:szCs w:val="23"/>
        </w:rPr>
      </w:pPr>
      <w:r w:rsidRPr="00FA1D81">
        <w:rPr>
          <w:sz w:val="23"/>
          <w:szCs w:val="23"/>
        </w:rPr>
        <w:t xml:space="preserve">“Othering’ defines and secures one’s own identity by distancing and stigmatizing an(other). Its purpose is to reinforce notions of our own ‘normality,’ and to set up the difference of others as a point of deviance. The person or group being ‘othered’ experiences this as a process of marginalization, disempowerment and social exclusion.” (1933). </w:t>
      </w:r>
    </w:p>
    <w:p w14:paraId="471C0954" w14:textId="77777777" w:rsidR="003C2CFA" w:rsidRDefault="003C2CFA" w:rsidP="003C2CFA">
      <w:pPr>
        <w:spacing w:line="360" w:lineRule="auto"/>
        <w:rPr>
          <w:sz w:val="23"/>
          <w:szCs w:val="23"/>
        </w:rPr>
      </w:pPr>
    </w:p>
    <w:p w14:paraId="199EB0DD" w14:textId="77777777" w:rsidR="003C2CFA" w:rsidRDefault="003C2CFA" w:rsidP="003C2CFA">
      <w:pPr>
        <w:spacing w:line="360" w:lineRule="auto"/>
        <w:rPr>
          <w:sz w:val="23"/>
          <w:szCs w:val="23"/>
        </w:rPr>
      </w:pPr>
      <w:r>
        <w:rPr>
          <w:sz w:val="23"/>
          <w:szCs w:val="23"/>
        </w:rPr>
        <w:t xml:space="preserve">An important dimension here is that the </w:t>
      </w:r>
      <w:proofErr w:type="gramStart"/>
      <w:r>
        <w:rPr>
          <w:sz w:val="23"/>
          <w:szCs w:val="23"/>
        </w:rPr>
        <w:t>“perceiver’s”</w:t>
      </w:r>
      <w:proofErr w:type="gramEnd"/>
      <w:r>
        <w:rPr>
          <w:sz w:val="23"/>
          <w:szCs w:val="23"/>
        </w:rPr>
        <w:t xml:space="preserve"> or “evaluator’s” own self-conception is involved: how a given policy, directed at a given target, impacts the evaluator’s own status, self-conception, and how it makes them feel. As Fanon shows (1952, 1961), the maintenance of exploitative settler and post-colonial practices relied on a hierarchical racial ideology and educational and cultural “improvement” programs around which the colonizer could create narratives of their own benevolent help, to justify or reconcile behavior that deviated from their own (or group/country’s own) held identity and values.  </w:t>
      </w:r>
    </w:p>
    <w:p w14:paraId="77F3BD7D" w14:textId="77777777" w:rsidR="003C2CFA" w:rsidRDefault="003C2CFA" w:rsidP="003C2CFA">
      <w:pPr>
        <w:spacing w:line="360" w:lineRule="auto"/>
        <w:rPr>
          <w:rFonts w:ascii="Arial" w:hAnsi="Arial" w:cs="Arial"/>
          <w:i/>
          <w:iCs/>
          <w:sz w:val="23"/>
          <w:szCs w:val="23"/>
        </w:rPr>
      </w:pPr>
    </w:p>
    <w:p w14:paraId="5CB94EE2" w14:textId="77777777" w:rsidR="003C2CFA" w:rsidRPr="005D5C09" w:rsidRDefault="003C2CFA" w:rsidP="003C2CFA">
      <w:pPr>
        <w:spacing w:line="360" w:lineRule="auto"/>
        <w:rPr>
          <w:b/>
          <w:bCs/>
          <w:sz w:val="23"/>
          <w:szCs w:val="23"/>
        </w:rPr>
      </w:pPr>
      <w:r w:rsidRPr="005D5C09">
        <w:rPr>
          <w:b/>
          <w:bCs/>
          <w:sz w:val="23"/>
          <w:szCs w:val="23"/>
        </w:rPr>
        <w:t>Race as Central Identity in American Politics</w:t>
      </w:r>
    </w:p>
    <w:p w14:paraId="4C141249" w14:textId="77777777" w:rsidR="003C2CFA" w:rsidRPr="008010B8" w:rsidRDefault="003C2CFA" w:rsidP="003C2CFA">
      <w:pPr>
        <w:spacing w:line="360" w:lineRule="auto"/>
        <w:rPr>
          <w:sz w:val="23"/>
          <w:szCs w:val="23"/>
        </w:rPr>
      </w:pPr>
    </w:p>
    <w:p w14:paraId="390E60B9" w14:textId="5D15F1EA" w:rsidR="003C2CFA" w:rsidRPr="008010B8" w:rsidRDefault="003C2CFA" w:rsidP="003C2CFA">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w:t>
      </w:r>
      <w:commentRangeStart w:id="6"/>
      <w:r w:rsidRPr="008010B8">
        <w:rPr>
          <w:sz w:val="23"/>
          <w:szCs w:val="23"/>
        </w:rPr>
        <w:t>2010</w:t>
      </w:r>
      <w:commentRangeEnd w:id="6"/>
      <w:r>
        <w:rPr>
          <w:rStyle w:val="CommentReference"/>
        </w:rPr>
        <w:commentReference w:id="6"/>
      </w:r>
      <w:r w:rsidRPr="008010B8">
        <w:rPr>
          <w:sz w:val="23"/>
          <w:szCs w:val="23"/>
        </w:rPr>
        <w:t>)</w:t>
      </w:r>
      <w:r>
        <w:rPr>
          <w:sz w:val="23"/>
          <w:szCs w:val="23"/>
        </w:rPr>
        <w:t>.</w:t>
      </w:r>
      <w:r w:rsidRPr="008010B8">
        <w:rPr>
          <w:sz w:val="23"/>
          <w:szCs w:val="23"/>
        </w:rPr>
        <w:t xml:space="preserve"> </w:t>
      </w:r>
    </w:p>
    <w:p w14:paraId="77A169C0" w14:textId="77777777" w:rsidR="003C2CFA" w:rsidRPr="008010B8" w:rsidRDefault="003C2CFA" w:rsidP="003C2CFA">
      <w:pPr>
        <w:spacing w:line="360" w:lineRule="auto"/>
        <w:rPr>
          <w:sz w:val="23"/>
          <w:szCs w:val="23"/>
        </w:rPr>
      </w:pPr>
    </w:p>
    <w:p w14:paraId="0662F512" w14:textId="77777777" w:rsidR="003C2CFA" w:rsidRDefault="003C2CFA" w:rsidP="003C2CFA">
      <w:pPr>
        <w:spacing w:line="360" w:lineRule="auto"/>
        <w:rPr>
          <w:sz w:val="23"/>
          <w:szCs w:val="23"/>
        </w:rPr>
      </w:pPr>
      <w:r w:rsidRPr="008010B8">
        <w:rPr>
          <w:sz w:val="23"/>
          <w:szCs w:val="23"/>
        </w:rPr>
        <w:t xml:space="preserve">Race or assumed race of policy recipients shapes what people believe about </w:t>
      </w:r>
      <w:r>
        <w:rPr>
          <w:sz w:val="23"/>
          <w:szCs w:val="23"/>
        </w:rPr>
        <w:t>political preferences with regards to</w:t>
      </w:r>
      <w:r w:rsidRPr="008010B8">
        <w:rPr>
          <w:sz w:val="23"/>
          <w:szCs w:val="23"/>
        </w:rPr>
        <w:t xml:space="preserve"> 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w:t>
      </w:r>
      <w:r>
        <w:rPr>
          <w:sz w:val="23"/>
          <w:szCs w:val="23"/>
        </w:rPr>
        <w:t xml:space="preserve">, </w:t>
      </w:r>
      <w:r w:rsidRPr="008010B8">
        <w:rPr>
          <w:sz w:val="23"/>
          <w:szCs w:val="23"/>
        </w:rPr>
        <w:t>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w:t>
      </w:r>
      <w:r>
        <w:rPr>
          <w:sz w:val="23"/>
          <w:szCs w:val="23"/>
        </w:rPr>
        <w:t xml:space="preserve">; </w:t>
      </w:r>
      <w:r w:rsidRPr="008010B8">
        <w:rPr>
          <w:sz w:val="23"/>
          <w:szCs w:val="23"/>
        </w:rPr>
        <w:t xml:space="preserve">for example, welfare case workers assess Black applicants more </w:t>
      </w:r>
      <w:r>
        <w:rPr>
          <w:sz w:val="23"/>
          <w:szCs w:val="23"/>
        </w:rPr>
        <w:t xml:space="preserve">than </w:t>
      </w:r>
      <w:r w:rsidRPr="008010B8">
        <w:rPr>
          <w:sz w:val="23"/>
          <w:szCs w:val="23"/>
        </w:rPr>
        <w:lastRenderedPageBreak/>
        <w:t>29% harshly and are twice as likely to sanction them than white 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D607301" w14:textId="77777777" w:rsidR="003C2CFA" w:rsidRPr="008010B8" w:rsidRDefault="003C2CFA" w:rsidP="003C2CFA">
      <w:pPr>
        <w:spacing w:line="360" w:lineRule="auto"/>
        <w:rPr>
          <w:sz w:val="23"/>
          <w:szCs w:val="23"/>
        </w:rPr>
      </w:pPr>
    </w:p>
    <w:p w14:paraId="1828C170" w14:textId="39E469DA" w:rsidR="003C2CFA" w:rsidRDefault="003C2CFA" w:rsidP="003C2CFA">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7" w:name="OLE_LINK2"/>
      <w:proofErr w:type="spellStart"/>
      <w:r w:rsidRPr="008010B8">
        <w:rPr>
          <w:sz w:val="23"/>
          <w:szCs w:val="23"/>
        </w:rPr>
        <w:t>Harell</w:t>
      </w:r>
      <w:proofErr w:type="spellEnd"/>
      <w:r w:rsidRPr="008010B8">
        <w:rPr>
          <w:sz w:val="23"/>
          <w:szCs w:val="23"/>
        </w:rPr>
        <w:t>, Soroka, Iyengar 2016</w:t>
      </w:r>
      <w:bookmarkEnd w:id="7"/>
      <w:r w:rsidRPr="008010B8">
        <w:rPr>
          <w:sz w:val="23"/>
          <w:szCs w:val="23"/>
        </w:rPr>
        <w:t>), racial attitudes</w:t>
      </w:r>
      <w:r>
        <w:rPr>
          <w:sz w:val="23"/>
          <w:szCs w:val="23"/>
        </w:rPr>
        <w:t xml:space="preserve"> are likely</w:t>
      </w:r>
      <w:r w:rsidRPr="008010B8">
        <w:rPr>
          <w:sz w:val="23"/>
          <w:szCs w:val="23"/>
        </w:rPr>
        <w:t xml:space="preserve"> inform perceptions of carceral deservingness</w:t>
      </w:r>
      <w:r>
        <w:rPr>
          <w:sz w:val="23"/>
          <w:szCs w:val="23"/>
        </w:rPr>
        <w:t xml:space="preserve"> given prevalent </w:t>
      </w:r>
      <w:r w:rsidRPr="008010B8">
        <w:rPr>
          <w:sz w:val="23"/>
          <w:szCs w:val="23"/>
        </w:rPr>
        <w:t xml:space="preserve">underlying associations between Black Americans and </w:t>
      </w:r>
      <w:proofErr w:type="spellStart"/>
      <w:r w:rsidRPr="008010B8">
        <w:rPr>
          <w:sz w:val="23"/>
          <w:szCs w:val="23"/>
        </w:rPr>
        <w:t>carceralit</w:t>
      </w:r>
      <w:r>
        <w:rPr>
          <w:sz w:val="23"/>
          <w:szCs w:val="23"/>
        </w:rPr>
        <w:t>y</w:t>
      </w:r>
      <w:proofErr w:type="spellEnd"/>
      <w:r>
        <w:rPr>
          <w:sz w:val="23"/>
          <w:szCs w:val="23"/>
        </w:rPr>
        <w:t>. Americans hold</w:t>
      </w:r>
      <w:r w:rsidRPr="008010B8">
        <w:rPr>
          <w:sz w:val="23"/>
          <w:szCs w:val="23"/>
        </w:rPr>
        <w:t xml:space="preserve"> implicit associations between Black carceral citizens and</w:t>
      </w:r>
      <w:r>
        <w:rPr>
          <w:sz w:val="23"/>
          <w:szCs w:val="23"/>
        </w:rPr>
        <w:t xml:space="preserve"> “felons,” those convicted of</w:t>
      </w:r>
      <w:r w:rsidRPr="008010B8">
        <w:rPr>
          <w:sz w:val="23"/>
          <w:szCs w:val="23"/>
        </w:rPr>
        <w:t xml:space="preserve"> more serious offenses (</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r>
        <w:rPr>
          <w:sz w:val="23"/>
          <w:szCs w:val="23"/>
        </w:rPr>
        <w:t>Similarly,</w:t>
      </w:r>
      <w:r w:rsidRPr="008010B8">
        <w:rPr>
          <w:sz w:val="23"/>
          <w:szCs w:val="23"/>
        </w:rPr>
        <w:t xml:space="preserve"> </w:t>
      </w:r>
      <w:r>
        <w:rPr>
          <w:sz w:val="23"/>
          <w:szCs w:val="23"/>
        </w:rPr>
        <w:t>l</w:t>
      </w:r>
      <w:r w:rsidRPr="008010B8">
        <w:rPr>
          <w:sz w:val="23"/>
          <w:szCs w:val="23"/>
        </w:rPr>
        <w:t>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w:t>
      </w:r>
      <w:proofErr w:type="spellStart"/>
      <w:r>
        <w:rPr>
          <w:sz w:val="23"/>
          <w:szCs w:val="23"/>
        </w:rPr>
        <w:t>Gilens</w:t>
      </w:r>
      <w:proofErr w:type="spellEnd"/>
      <w:r>
        <w:rPr>
          <w:sz w:val="23"/>
          <w:szCs w:val="23"/>
        </w:rPr>
        <w:t xml:space="preserve"> (1996) </w:t>
      </w:r>
      <w:r w:rsidRPr="008010B8">
        <w:rPr>
          <w:sz w:val="23"/>
          <w:szCs w:val="23"/>
        </w:rPr>
        <w:t xml:space="preserve">concludes that </w:t>
      </w:r>
      <w:r w:rsidR="00791391">
        <w:rPr>
          <w:sz w:val="23"/>
          <w:szCs w:val="23"/>
        </w:rPr>
        <w:t>the</w:t>
      </w:r>
      <w:r w:rsidRPr="008010B8">
        <w:rPr>
          <w:sz w:val="23"/>
          <w:szCs w:val="23"/>
        </w:rPr>
        <w:t xml:space="preserve"> </w:t>
      </w:r>
      <w:r w:rsidR="00791391">
        <w:rPr>
          <w:sz w:val="23"/>
          <w:szCs w:val="23"/>
        </w:rPr>
        <w:t xml:space="preserve">Black welfare recipient </w:t>
      </w:r>
      <w:r w:rsidRPr="008010B8">
        <w:rPr>
          <w:sz w:val="23"/>
          <w:szCs w:val="23"/>
        </w:rPr>
        <w:t>stereotype was developed in large part due to over-representation of Black Americans in stories that cast them as less sympathetic than whites (</w:t>
      </w:r>
      <w:proofErr w:type="spellStart"/>
      <w:r w:rsidRPr="008010B8">
        <w:rPr>
          <w:sz w:val="23"/>
          <w:szCs w:val="23"/>
        </w:rPr>
        <w:t>Gilens</w:t>
      </w:r>
      <w:proofErr w:type="spellEnd"/>
      <w:r w:rsidRPr="008010B8">
        <w:rPr>
          <w:sz w:val="23"/>
          <w:szCs w:val="23"/>
        </w:rPr>
        <w:t xml:space="preserve">, 1996). </w:t>
      </w:r>
      <w:proofErr w:type="gramStart"/>
      <w:r>
        <w:rPr>
          <w:sz w:val="23"/>
          <w:szCs w:val="23"/>
        </w:rPr>
        <w:t>As a consequence</w:t>
      </w:r>
      <w:proofErr w:type="gramEnd"/>
      <w:r>
        <w:rPr>
          <w:sz w:val="23"/>
          <w:szCs w:val="23"/>
        </w:rPr>
        <w:t xml:space="preserve">, </w:t>
      </w:r>
      <w:r w:rsidR="00791391" w:rsidRPr="00791391">
        <w:rPr>
          <w:sz w:val="23"/>
          <w:szCs w:val="23"/>
        </w:rPr>
        <w:t>whites are not amenable to generous welfare policy allocation because they assume</w:t>
      </w:r>
      <w:r w:rsidRPr="008010B8">
        <w:rPr>
          <w:sz w:val="23"/>
          <w:szCs w:val="23"/>
        </w:rPr>
        <w:t xml:space="preserve"> are</w:t>
      </w:r>
      <w:r>
        <w:rPr>
          <w:sz w:val="23"/>
          <w:szCs w:val="23"/>
        </w:rPr>
        <w:t xml:space="preserve"> lazy,</w:t>
      </w:r>
      <w:r w:rsidRPr="008010B8">
        <w:rPr>
          <w:sz w:val="23"/>
          <w:szCs w:val="23"/>
        </w:rPr>
        <w:t xml:space="preserve"> Black</w:t>
      </w:r>
      <w:r>
        <w:rPr>
          <w:sz w:val="23"/>
          <w:szCs w:val="23"/>
        </w:rPr>
        <w:t xml:space="preserve"> individuals.</w:t>
      </w:r>
      <w:r w:rsidRPr="008010B8">
        <w:rPr>
          <w:sz w:val="23"/>
          <w:szCs w:val="23"/>
        </w:rPr>
        <w:t xml:space="preserve"> </w:t>
      </w:r>
      <w:r>
        <w:rPr>
          <w:sz w:val="23"/>
          <w:szCs w:val="23"/>
        </w:rPr>
        <w:t xml:space="preserve">And </w:t>
      </w:r>
      <w:r w:rsidRPr="008010B8">
        <w:rPr>
          <w:sz w:val="23"/>
          <w:szCs w:val="23"/>
        </w:rPr>
        <w:t>Gilliam (1999)</w:t>
      </w:r>
      <w:r>
        <w:rPr>
          <w:sz w:val="23"/>
          <w:szCs w:val="23"/>
        </w:rPr>
        <w:t xml:space="preserve"> </w:t>
      </w:r>
      <w:r w:rsidRPr="008010B8">
        <w:rPr>
          <w:sz w:val="23"/>
          <w:szCs w:val="23"/>
        </w:rPr>
        <w:t>found that welfare recipients are stereotyped as Black women</w:t>
      </w:r>
      <w:r>
        <w:rPr>
          <w:sz w:val="23"/>
          <w:szCs w:val="23"/>
        </w:rPr>
        <w:t xml:space="preserve">; this </w:t>
      </w:r>
      <w:r w:rsidRPr="008010B8">
        <w:rPr>
          <w:sz w:val="23"/>
          <w:szCs w:val="23"/>
        </w:rPr>
        <w:t xml:space="preserve">“narrative script” was constructed through media representation and political rhetoric about welfare recipients and policy in the Reagan era. </w:t>
      </w:r>
    </w:p>
    <w:p w14:paraId="6E919185" w14:textId="77777777" w:rsidR="003C2CFA" w:rsidRDefault="003C2CFA" w:rsidP="003C2CFA">
      <w:pPr>
        <w:spacing w:line="360" w:lineRule="auto"/>
        <w:rPr>
          <w:sz w:val="23"/>
          <w:szCs w:val="23"/>
        </w:rPr>
      </w:pPr>
    </w:p>
    <w:p w14:paraId="61887F1F" w14:textId="77777777" w:rsidR="003C2CFA" w:rsidRPr="008010B8" w:rsidRDefault="003C2CFA" w:rsidP="003C2CFA">
      <w:pPr>
        <w:spacing w:line="360" w:lineRule="auto"/>
        <w:rPr>
          <w:sz w:val="23"/>
          <w:szCs w:val="23"/>
        </w:rPr>
      </w:pPr>
      <w:r w:rsidRPr="008010B8">
        <w:rPr>
          <w:sz w:val="23"/>
          <w:szCs w:val="23"/>
        </w:rPr>
        <w:t xml:space="preserve">Media </w:t>
      </w:r>
      <w:r>
        <w:rPr>
          <w:sz w:val="23"/>
          <w:szCs w:val="23"/>
        </w:rPr>
        <w:t>also</w:t>
      </w:r>
      <w:r w:rsidRPr="008010B8">
        <w:rPr>
          <w:sz w:val="23"/>
          <w:szCs w:val="23"/>
        </w:rPr>
        <w:t xml:space="preserve"> discursively shape perceptions of race and </w:t>
      </w:r>
      <w:proofErr w:type="spellStart"/>
      <w:r w:rsidRPr="008010B8">
        <w:rPr>
          <w:sz w:val="23"/>
          <w:szCs w:val="23"/>
        </w:rPr>
        <w:t>carceral</w:t>
      </w:r>
      <w:r>
        <w:rPr>
          <w:sz w:val="23"/>
          <w:szCs w:val="23"/>
        </w:rPr>
        <w:t>ity</w:t>
      </w:r>
      <w:proofErr w:type="spellEnd"/>
      <w:r w:rsidRPr="008010B8">
        <w:rPr>
          <w:sz w:val="23"/>
          <w:szCs w:val="23"/>
        </w:rPr>
        <w:t>. Not only are “racial minorities [overrepresented] as crime suspects and whites as crime victims,” but media also presents “Black and Latino suspects…in a non-individualized and threatening way</w:t>
      </w:r>
      <w:r>
        <w:rPr>
          <w:sz w:val="23"/>
          <w:szCs w:val="23"/>
        </w:rPr>
        <w:t>,</w:t>
      </w:r>
      <w:r w:rsidRPr="008010B8">
        <w:rPr>
          <w:sz w:val="23"/>
          <w:szCs w:val="23"/>
        </w:rPr>
        <w:t>” conditioning the public to both hold racialized perceptions of criminality and to associate information-scarce affective responses with carceral citizens of color</w:t>
      </w:r>
      <w:r>
        <w:rPr>
          <w:sz w:val="23"/>
          <w:szCs w:val="23"/>
        </w:rPr>
        <w:t xml:space="preserve"> </w:t>
      </w:r>
      <w:r w:rsidRPr="008010B8">
        <w:rPr>
          <w:sz w:val="23"/>
          <w:szCs w:val="23"/>
        </w:rPr>
        <w:t>(</w:t>
      </w:r>
      <w:proofErr w:type="spellStart"/>
      <w:r w:rsidRPr="008010B8">
        <w:rPr>
          <w:sz w:val="23"/>
          <w:szCs w:val="23"/>
        </w:rPr>
        <w:t>Ghandnoosh</w:t>
      </w:r>
      <w:proofErr w:type="spellEnd"/>
      <w:r w:rsidRPr="008010B8">
        <w:rPr>
          <w:sz w:val="23"/>
          <w:szCs w:val="23"/>
        </w:rPr>
        <w:t xml:space="preserve"> 2014).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4C81A001" w14:textId="77777777" w:rsidR="003C2CFA" w:rsidRPr="008010B8" w:rsidRDefault="003C2CFA" w:rsidP="003C2CFA">
      <w:pPr>
        <w:spacing w:line="360" w:lineRule="auto"/>
        <w:rPr>
          <w:sz w:val="23"/>
          <w:szCs w:val="23"/>
        </w:rPr>
      </w:pPr>
    </w:p>
    <w:p w14:paraId="23E414BE" w14:textId="77777777" w:rsidR="003C2CFA" w:rsidRPr="008010B8" w:rsidRDefault="003C2CFA" w:rsidP="003C2CFA">
      <w:pPr>
        <w:spacing w:line="360" w:lineRule="auto"/>
        <w:rPr>
          <w:sz w:val="23"/>
          <w:szCs w:val="23"/>
        </w:rPr>
      </w:pPr>
      <w:r w:rsidRPr="008010B8">
        <w:rPr>
          <w:sz w:val="23"/>
          <w:szCs w:val="23"/>
        </w:rPr>
        <w:t>Well before the “turn” and mass incarceration, systems of punishment</w:t>
      </w:r>
      <w:r>
        <w:rPr>
          <w:sz w:val="23"/>
          <w:szCs w:val="23"/>
        </w:rPr>
        <w:t xml:space="preserve">, </w:t>
      </w:r>
      <w:r w:rsidRPr="008010B8">
        <w:rPr>
          <w:sz w:val="23"/>
          <w:szCs w:val="23"/>
        </w:rPr>
        <w:t>policing</w:t>
      </w:r>
      <w:r>
        <w:rPr>
          <w:sz w:val="23"/>
          <w:szCs w:val="23"/>
        </w:rPr>
        <w:t>, and disenfranchisement</w:t>
      </w:r>
      <w:r w:rsidRPr="008010B8">
        <w:rPr>
          <w:sz w:val="23"/>
          <w:szCs w:val="23"/>
        </w:rPr>
        <w:t xml:space="preserve"> were established to control and curtail 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Johnston). This racialization present</w:t>
      </w:r>
      <w:r>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w:t>
      </w:r>
      <w:r w:rsidRPr="008010B8">
        <w:rPr>
          <w:sz w:val="23"/>
          <w:szCs w:val="23"/>
        </w:rPr>
        <w:lastRenderedPageBreak/>
        <w:t>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w:t>
      </w:r>
      <w:r>
        <w:rPr>
          <w:sz w:val="23"/>
          <w:szCs w:val="23"/>
        </w:rPr>
        <w:t>. T</w:t>
      </w:r>
      <w:r w:rsidRPr="008010B8">
        <w:rPr>
          <w:sz w:val="23"/>
          <w:szCs w:val="23"/>
        </w:rPr>
        <w:t xml:space="preserve">rial judges present the same levels of biases as the </w:t>
      </w:r>
      <w:proofErr w:type="gramStart"/>
      <w:r w:rsidRPr="008010B8">
        <w:rPr>
          <w:sz w:val="23"/>
          <w:szCs w:val="23"/>
        </w:rPr>
        <w:t>general public</w:t>
      </w:r>
      <w:proofErr w:type="gramEnd"/>
      <w:r w:rsidRPr="008010B8">
        <w:rPr>
          <w:sz w:val="23"/>
          <w:szCs w:val="23"/>
        </w:rPr>
        <w:t xml:space="preserve"> (</w:t>
      </w:r>
      <w:proofErr w:type="spellStart"/>
      <w:r w:rsidRPr="008010B8">
        <w:rPr>
          <w:sz w:val="23"/>
          <w:szCs w:val="23"/>
        </w:rPr>
        <w:t>Rachlinsi</w:t>
      </w:r>
      <w:proofErr w:type="spellEnd"/>
      <w:r w:rsidRPr="008010B8">
        <w:rPr>
          <w:sz w:val="23"/>
          <w:szCs w:val="23"/>
        </w:rPr>
        <w:t>, Johnson, Wistrich &amp; Guthrie 2009)</w:t>
      </w:r>
      <w:r>
        <w:rPr>
          <w:sz w:val="23"/>
          <w:szCs w:val="23"/>
        </w:rPr>
        <w:t>,</w:t>
      </w:r>
      <w:r w:rsidRPr="008010B8">
        <w:rPr>
          <w:sz w:val="23"/>
          <w:szCs w:val="23"/>
        </w:rPr>
        <w:t xml:space="preserve">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7FFC7059" w14:textId="77777777" w:rsidR="003C2CFA" w:rsidRPr="008010B8" w:rsidRDefault="003C2CFA" w:rsidP="003C2CFA">
      <w:pPr>
        <w:spacing w:line="360" w:lineRule="auto"/>
        <w:rPr>
          <w:sz w:val="23"/>
          <w:szCs w:val="23"/>
        </w:rPr>
      </w:pPr>
    </w:p>
    <w:p w14:paraId="126EF06F" w14:textId="77777777" w:rsidR="003C2CFA" w:rsidRPr="008010B8" w:rsidRDefault="003C2CFA" w:rsidP="003C2CFA">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2"/>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w:t>
      </w:r>
      <w:r>
        <w:rPr>
          <w:sz w:val="23"/>
          <w:szCs w:val="23"/>
        </w:rPr>
        <w:t>; t</w:t>
      </w:r>
      <w:r w:rsidRPr="008010B8">
        <w:rPr>
          <w:sz w:val="23"/>
          <w:szCs w:val="23"/>
        </w:rPr>
        <w:t>hey</w:t>
      </w:r>
      <w:r>
        <w:rPr>
          <w:sz w:val="23"/>
          <w:szCs w:val="23"/>
        </w:rPr>
        <w:t xml:space="preserve"> also</w:t>
      </w:r>
      <w:r w:rsidRPr="008010B8">
        <w:rPr>
          <w:sz w:val="23"/>
          <w:szCs w:val="23"/>
        </w:rPr>
        <w:t xml:space="preserve"> find positive racial appeals decrease support for loan relief for Republicans</w:t>
      </w:r>
      <w:r>
        <w:rPr>
          <w:sz w:val="23"/>
          <w:szCs w:val="23"/>
        </w:rPr>
        <w:t xml:space="preserve"> but</w:t>
      </w:r>
      <w:r w:rsidRPr="008010B8">
        <w:rPr>
          <w:sz w:val="23"/>
          <w:szCs w:val="23"/>
        </w:rPr>
        <w:t xml:space="preserve"> have no effect on Democrats.</w:t>
      </w:r>
    </w:p>
    <w:p w14:paraId="3F39D592" w14:textId="77777777" w:rsidR="00760C6C" w:rsidRDefault="00760C6C"/>
    <w:sectPr w:rsidR="00760C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dis Watts Smith" w:date="2025-01-15T19:50:00Z" w:initials="CS">
    <w:p w14:paraId="450A8D98" w14:textId="77777777" w:rsidR="003C2CFA" w:rsidRDefault="003C2CFA" w:rsidP="003C2CFA">
      <w:r>
        <w:rPr>
          <w:rStyle w:val="CommentReference"/>
        </w:rPr>
        <w:annotationRef/>
      </w:r>
      <w:r>
        <w:rPr>
          <w:color w:val="000000"/>
          <w:sz w:val="20"/>
          <w:szCs w:val="20"/>
        </w:rPr>
        <w:t xml:space="preserve">I would leave out the feedback loop, or describe it more accurately. </w:t>
      </w:r>
    </w:p>
  </w:comment>
  <w:comment w:id="1" w:author="Candis Watts Smith" w:date="2025-01-15T19:53:00Z" w:initials="CS">
    <w:p w14:paraId="716DF875" w14:textId="77777777" w:rsidR="003C2CFA" w:rsidRDefault="003C2CFA" w:rsidP="003C2CFA">
      <w:r>
        <w:rPr>
          <w:rStyle w:val="CommentReference"/>
        </w:rPr>
        <w:annotationRef/>
      </w:r>
      <w:r>
        <w:rPr>
          <w:color w:val="000000"/>
          <w:sz w:val="20"/>
          <w:szCs w:val="20"/>
        </w:rPr>
        <w:t>What’s they?</w:t>
      </w:r>
    </w:p>
  </w:comment>
  <w:comment w:id="2" w:author="Candis Watts Smith" w:date="2025-01-12T11:11:00Z" w:initials="CS">
    <w:p w14:paraId="22E195B2" w14:textId="77777777" w:rsidR="003C2CFA" w:rsidRDefault="003C2CFA" w:rsidP="003C2CFA">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3" w:author="Candis Watts Smith" w:date="2025-01-15T20:04:00Z" w:initials="CS">
    <w:p w14:paraId="567FB954" w14:textId="77777777" w:rsidR="003C2CFA" w:rsidRDefault="003C2CFA" w:rsidP="003C2CFA">
      <w:r>
        <w:rPr>
          <w:rStyle w:val="CommentReference"/>
        </w:rPr>
        <w:annotationRef/>
      </w:r>
      <w:r>
        <w:rPr>
          <w:color w:val="000000"/>
          <w:sz w:val="20"/>
          <w:szCs w:val="20"/>
        </w:rPr>
        <w:t xml:space="preserve">This was just a suggestion. My goal was to provide a model for how to move forward. You want to give your readers a map of where the paper is headed. They need to understand why you are taking the approach you will take. </w:t>
      </w:r>
    </w:p>
  </w:comment>
  <w:comment w:id="4" w:author="Candis Watts Smith" w:date="2025-01-15T20:18:00Z" w:initials="CS">
    <w:p w14:paraId="7CF5AA39" w14:textId="77777777" w:rsidR="003C2CFA" w:rsidRDefault="003C2CFA" w:rsidP="003C2CFA">
      <w:r>
        <w:rPr>
          <w:rStyle w:val="CommentReference"/>
        </w:rPr>
        <w:annotationRef/>
      </w:r>
      <w:r>
        <w:rPr>
          <w:color w:val="000000"/>
          <w:sz w:val="20"/>
          <w:szCs w:val="20"/>
        </w:rPr>
        <w:t xml:space="preserve">Not sure if this is where you’re headed. But, shorter sentences with fewer em dashes will increase clarity. </w:t>
      </w:r>
    </w:p>
  </w:comment>
  <w:comment w:id="5" w:author="Kristina Mensik" w:date="2025-01-13T22:04:00Z" w:initials="KM">
    <w:p w14:paraId="738D734A" w14:textId="77777777" w:rsidR="003C2CFA" w:rsidRDefault="003C2CFA" w:rsidP="003C2CFA">
      <w:r>
        <w:rPr>
          <w:rStyle w:val="CommentReference"/>
        </w:rPr>
        <w:annotationRef/>
      </w:r>
      <w:r>
        <w:rPr>
          <w:color w:val="000000"/>
          <w:sz w:val="20"/>
          <w:szCs w:val="20"/>
        </w:rPr>
        <w:t>I’m still trying working on clarifying what needs to go here, vs hypotheses</w:t>
      </w:r>
    </w:p>
  </w:comment>
  <w:comment w:id="6" w:author="Candis Watts Smith" w:date="2025-01-15T20:40:00Z" w:initials="CS">
    <w:p w14:paraId="148CCB82" w14:textId="77777777" w:rsidR="003C2CFA" w:rsidRDefault="003C2CFA" w:rsidP="003C2CFA">
      <w:r>
        <w:rPr>
          <w:rStyle w:val="CommentReference"/>
        </w:rPr>
        <w:annotationRef/>
      </w:r>
      <w:r>
        <w:rPr>
          <w:color w:val="000000"/>
          <w:sz w:val="20"/>
          <w:szCs w:val="20"/>
        </w:rPr>
        <w:t>I actually don’t know if there’s research showing what’s in the sentence that I deleted. If you have a citation, you can add this sentence back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0A8D98" w15:done="1"/>
  <w15:commentEx w15:paraId="716DF875" w15:done="1"/>
  <w15:commentEx w15:paraId="22E195B2" w15:done="1"/>
  <w15:commentEx w15:paraId="567FB954" w15:done="1"/>
  <w15:commentEx w15:paraId="7CF5AA39" w15:done="1"/>
  <w15:commentEx w15:paraId="738D734A" w15:done="1"/>
  <w15:commentEx w15:paraId="148CCB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57A924" w16cex:dateUtc="2025-01-16T00:50:00Z"/>
  <w16cex:commentExtensible w16cex:durableId="744C6D01" w16cex:dateUtc="2025-01-16T00:53:00Z"/>
  <w16cex:commentExtensible w16cex:durableId="6EBB38F9" w16cex:dateUtc="2025-01-12T16:11:00Z"/>
  <w16cex:commentExtensible w16cex:durableId="5C7065ED" w16cex:dateUtc="2025-01-16T01:04:00Z"/>
  <w16cex:commentExtensible w16cex:durableId="26D02DFD" w16cex:dateUtc="2025-01-16T01:18:00Z"/>
  <w16cex:commentExtensible w16cex:durableId="75E6C655" w16cex:dateUtc="2025-01-14T03:04:00Z"/>
  <w16cex:commentExtensible w16cex:durableId="63E3310B" w16cex:dateUtc="2025-01-16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0A8D98" w16cid:durableId="3157A924"/>
  <w16cid:commentId w16cid:paraId="716DF875" w16cid:durableId="744C6D01"/>
  <w16cid:commentId w16cid:paraId="22E195B2" w16cid:durableId="6EBB38F9"/>
  <w16cid:commentId w16cid:paraId="567FB954" w16cid:durableId="5C7065ED"/>
  <w16cid:commentId w16cid:paraId="7CF5AA39" w16cid:durableId="26D02DFD"/>
  <w16cid:commentId w16cid:paraId="738D734A" w16cid:durableId="75E6C655"/>
  <w16cid:commentId w16cid:paraId="148CCB82" w16cid:durableId="63E33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EA45" w14:textId="77777777" w:rsidR="003714FD" w:rsidRDefault="003714FD" w:rsidP="003C2CFA">
      <w:r>
        <w:separator/>
      </w:r>
    </w:p>
  </w:endnote>
  <w:endnote w:type="continuationSeparator" w:id="0">
    <w:p w14:paraId="1A9BE66D" w14:textId="77777777" w:rsidR="003714FD" w:rsidRDefault="003714FD" w:rsidP="003C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FF42D" w14:textId="77777777" w:rsidR="003714FD" w:rsidRDefault="003714FD" w:rsidP="003C2CFA">
      <w:r>
        <w:separator/>
      </w:r>
    </w:p>
  </w:footnote>
  <w:footnote w:type="continuationSeparator" w:id="0">
    <w:p w14:paraId="5C3650C6" w14:textId="77777777" w:rsidR="003714FD" w:rsidRDefault="003714FD" w:rsidP="003C2CFA">
      <w:r>
        <w:continuationSeparator/>
      </w:r>
    </w:p>
  </w:footnote>
  <w:footnote w:id="1">
    <w:p w14:paraId="09F1E518" w14:textId="4AFB9F36" w:rsidR="003C2CFA" w:rsidRDefault="003C2CFA" w:rsidP="003C2CFA">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2">
    <w:p w14:paraId="1FEE91BA" w14:textId="77777777" w:rsidR="003C2CFA" w:rsidRPr="00595E87" w:rsidRDefault="003C2CFA" w:rsidP="003C2CFA">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FA"/>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A3E5C"/>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14FD"/>
    <w:rsid w:val="00373912"/>
    <w:rsid w:val="00375255"/>
    <w:rsid w:val="003766CF"/>
    <w:rsid w:val="0038172E"/>
    <w:rsid w:val="0038248B"/>
    <w:rsid w:val="00384A5A"/>
    <w:rsid w:val="003B6612"/>
    <w:rsid w:val="003B7CD3"/>
    <w:rsid w:val="003C2CFA"/>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4EA2"/>
    <w:rsid w:val="00625D0B"/>
    <w:rsid w:val="00637CDE"/>
    <w:rsid w:val="00653CC4"/>
    <w:rsid w:val="006651AB"/>
    <w:rsid w:val="006730A2"/>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5"/>
    <w:rsid w:val="007260E7"/>
    <w:rsid w:val="0074211B"/>
    <w:rsid w:val="00743F83"/>
    <w:rsid w:val="00747497"/>
    <w:rsid w:val="007602DA"/>
    <w:rsid w:val="00760C6C"/>
    <w:rsid w:val="007612F8"/>
    <w:rsid w:val="007702B6"/>
    <w:rsid w:val="007844CF"/>
    <w:rsid w:val="0078459D"/>
    <w:rsid w:val="00790555"/>
    <w:rsid w:val="00791391"/>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86ECC"/>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339C4"/>
    <w:rsid w:val="00935A74"/>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51F46"/>
    <w:rsid w:val="00D60814"/>
    <w:rsid w:val="00D60B04"/>
    <w:rsid w:val="00D7474C"/>
    <w:rsid w:val="00D81728"/>
    <w:rsid w:val="00DA7877"/>
    <w:rsid w:val="00DE06C1"/>
    <w:rsid w:val="00DE1A73"/>
    <w:rsid w:val="00DE5831"/>
    <w:rsid w:val="00DE6841"/>
    <w:rsid w:val="00E01EE5"/>
    <w:rsid w:val="00E04209"/>
    <w:rsid w:val="00E1033B"/>
    <w:rsid w:val="00E11DC7"/>
    <w:rsid w:val="00E35368"/>
    <w:rsid w:val="00E375D3"/>
    <w:rsid w:val="00E431F3"/>
    <w:rsid w:val="00E451B4"/>
    <w:rsid w:val="00E46DAD"/>
    <w:rsid w:val="00E47705"/>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75BC25"/>
  <w15:chartTrackingRefBased/>
  <w15:docId w15:val="{E3009E69-BE90-0E4F-86CA-D2369E74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CFA"/>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C2CFA"/>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link w:val="Heading2Char"/>
    <w:uiPriority w:val="9"/>
    <w:unhideWhenUsed/>
    <w:qFormat/>
    <w:rsid w:val="006E1CDD"/>
    <w:pPr>
      <w:ind w:left="1339"/>
      <w:outlineLvl w:val="1"/>
    </w:pPr>
    <w:rPr>
      <w:rFonts w:ascii="Montserrat" w:hAnsi="Montserrat"/>
      <w:b/>
      <w:bCs/>
      <w:kern w:val="2"/>
      <w:sz w:val="21"/>
      <w:szCs w:val="21"/>
      <w14:ligatures w14:val="standardContextual"/>
    </w:rPr>
  </w:style>
  <w:style w:type="paragraph" w:styleId="Heading3">
    <w:name w:val="heading 3"/>
    <w:basedOn w:val="Normal"/>
    <w:next w:val="Normal"/>
    <w:link w:val="Heading3Char"/>
    <w:uiPriority w:val="9"/>
    <w:semiHidden/>
    <w:unhideWhenUsed/>
    <w:qFormat/>
    <w:rsid w:val="003C2CFA"/>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C2CFA"/>
    <w:pPr>
      <w:keepNext/>
      <w:keepLines/>
      <w:spacing w:before="80" w:after="40"/>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3C2CFA"/>
    <w:pPr>
      <w:keepNext/>
      <w:keepLines/>
      <w:spacing w:before="80" w:after="40"/>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3C2CFA"/>
    <w:pPr>
      <w:keepNext/>
      <w:keepLines/>
      <w:spacing w:before="4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3C2CFA"/>
    <w:pPr>
      <w:keepNext/>
      <w:keepLines/>
      <w:spacing w:before="40"/>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3C2CFA"/>
    <w:pPr>
      <w:keepNext/>
      <w:keepLines/>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3C2CFA"/>
    <w:pPr>
      <w:keepNext/>
      <w:keepLines/>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rPr>
      <w:rFonts w:ascii="Open Sans" w:hAnsi="Open Sans"/>
      <w:kern w:val="2"/>
      <w:sz w:val="22"/>
      <w14:ligatures w14:val="standardContextual"/>
    </w:rPr>
  </w:style>
  <w:style w:type="character" w:customStyle="1" w:styleId="Heading1Char">
    <w:name w:val="Heading 1 Char"/>
    <w:basedOn w:val="DefaultParagraphFont"/>
    <w:link w:val="Heading1"/>
    <w:uiPriority w:val="9"/>
    <w:rsid w:val="003C2CF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C2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CF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C2CF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C2CF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C2CF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C2CF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C2CF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C2CF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2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CFA"/>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C2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CFA"/>
    <w:pPr>
      <w:spacing w:before="160" w:after="160"/>
      <w:jc w:val="center"/>
    </w:pPr>
    <w:rPr>
      <w:rFonts w:ascii="Open Sans" w:hAnsi="Open San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3C2CF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C2CFA"/>
    <w:rPr>
      <w:i/>
      <w:iCs/>
      <w:color w:val="0F4761" w:themeColor="accent1" w:themeShade="BF"/>
    </w:rPr>
  </w:style>
  <w:style w:type="paragraph" w:styleId="IntenseQuote">
    <w:name w:val="Intense Quote"/>
    <w:basedOn w:val="Normal"/>
    <w:next w:val="Normal"/>
    <w:link w:val="IntenseQuoteChar"/>
    <w:uiPriority w:val="30"/>
    <w:qFormat/>
    <w:rsid w:val="003C2CFA"/>
    <w:pPr>
      <w:pBdr>
        <w:top w:val="single" w:sz="4" w:space="10" w:color="0F4761" w:themeColor="accent1" w:themeShade="BF"/>
        <w:bottom w:val="single" w:sz="4" w:space="10" w:color="0F4761" w:themeColor="accent1" w:themeShade="BF"/>
      </w:pBdr>
      <w:spacing w:before="360" w:after="360"/>
      <w:ind w:left="864" w:right="864"/>
      <w:jc w:val="center"/>
    </w:pPr>
    <w:rPr>
      <w:rFonts w:ascii="Open Sans" w:hAnsi="Open Sans"/>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3C2CF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C2CFA"/>
    <w:rPr>
      <w:b/>
      <w:bCs/>
      <w:smallCaps/>
      <w:color w:val="0F4761" w:themeColor="accent1" w:themeShade="BF"/>
      <w:spacing w:val="5"/>
    </w:rPr>
  </w:style>
  <w:style w:type="paragraph" w:styleId="FootnoteText">
    <w:name w:val="footnote text"/>
    <w:basedOn w:val="Normal"/>
    <w:link w:val="FootnoteTextChar"/>
    <w:uiPriority w:val="99"/>
    <w:semiHidden/>
    <w:unhideWhenUsed/>
    <w:rsid w:val="003C2CFA"/>
    <w:rPr>
      <w:sz w:val="20"/>
      <w:szCs w:val="20"/>
    </w:rPr>
  </w:style>
  <w:style w:type="character" w:customStyle="1" w:styleId="FootnoteTextChar">
    <w:name w:val="Footnote Text Char"/>
    <w:basedOn w:val="DefaultParagraphFont"/>
    <w:link w:val="FootnoteText"/>
    <w:uiPriority w:val="99"/>
    <w:semiHidden/>
    <w:rsid w:val="003C2CFA"/>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C2CFA"/>
    <w:rPr>
      <w:vertAlign w:val="superscript"/>
    </w:rPr>
  </w:style>
  <w:style w:type="paragraph" w:customStyle="1" w:styleId="whitespace-pre-wrap">
    <w:name w:val="whitespace-pre-wrap"/>
    <w:basedOn w:val="Normal"/>
    <w:rsid w:val="003C2CFA"/>
    <w:pPr>
      <w:spacing w:before="100" w:beforeAutospacing="1" w:after="100" w:afterAutospacing="1"/>
    </w:pPr>
  </w:style>
  <w:style w:type="character" w:styleId="CommentReference">
    <w:name w:val="annotation reference"/>
    <w:basedOn w:val="DefaultParagraphFont"/>
    <w:uiPriority w:val="99"/>
    <w:semiHidden/>
    <w:unhideWhenUsed/>
    <w:rsid w:val="003C2CF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3417</Words>
  <Characters>19479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cp:revision>
  <dcterms:created xsi:type="dcterms:W3CDTF">2025-01-16T17:05:00Z</dcterms:created>
  <dcterms:modified xsi:type="dcterms:W3CDTF">2025-01-16T22:10:00Z</dcterms:modified>
</cp:coreProperties>
</file>