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ED47" w14:textId="14BE8109" w:rsidR="00E108C4" w:rsidRPr="00E108C4" w:rsidRDefault="007434C5" w:rsidP="00E108C4">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w:t>
      </w:r>
      <w:r w:rsidR="00E108C4">
        <w:t>The Politics of Proximity</w:t>
      </w:r>
    </w:p>
    <w:p w14:paraId="3A95EEA4" w14:textId="1F33793B" w:rsidR="007434C5" w:rsidRPr="00E108C4" w:rsidRDefault="00E108C4" w:rsidP="00E108C4">
      <w:pPr>
        <w:spacing w:line="360" w:lineRule="auto"/>
        <w:jc w:val="center"/>
        <w:rPr>
          <w:i/>
          <w:iCs/>
        </w:rPr>
      </w:pPr>
      <w:r>
        <w:rPr>
          <w:i/>
          <w:iCs/>
        </w:rPr>
        <w:t>Does</w:t>
      </w:r>
      <w:r w:rsidRPr="00E108C4">
        <w:rPr>
          <w:i/>
          <w:iCs/>
        </w:rPr>
        <w:t xml:space="preserve"> Direct Experience Shapes Perceptions of </w:t>
      </w:r>
      <w:r>
        <w:rPr>
          <w:i/>
          <w:iCs/>
        </w:rPr>
        <w:t xml:space="preserve">What </w:t>
      </w:r>
      <w:r w:rsidRPr="00E108C4">
        <w:rPr>
          <w:i/>
          <w:iCs/>
        </w:rPr>
        <w:t>Carceral Citizens</w:t>
      </w:r>
      <w:r>
        <w:rPr>
          <w:i/>
          <w:iCs/>
        </w:rPr>
        <w:t xml:space="preserve"> Deserve?</w:t>
      </w:r>
    </w:p>
    <w:p w14:paraId="50E986D6" w14:textId="77777777" w:rsidR="00E108C4" w:rsidRDefault="00E108C4" w:rsidP="007434C5">
      <w:pPr>
        <w:spacing w:line="360" w:lineRule="auto"/>
        <w:rPr>
          <w:b/>
          <w:bCs/>
          <w:sz w:val="23"/>
          <w:szCs w:val="23"/>
        </w:rPr>
      </w:pPr>
    </w:p>
    <w:p w14:paraId="24F0CA18" w14:textId="4C24FEB7" w:rsidR="007434C5" w:rsidRPr="00DE0628" w:rsidRDefault="007434C5" w:rsidP="007434C5">
      <w:pPr>
        <w:spacing w:line="360" w:lineRule="auto"/>
        <w:rPr>
          <w:color w:val="000000"/>
          <w:sz w:val="23"/>
          <w:szCs w:val="23"/>
        </w:rPr>
      </w:pPr>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w:t>
      </w:r>
      <w:r>
        <w:rPr>
          <w:color w:val="000000"/>
          <w:sz w:val="23"/>
          <w:szCs w:val="23"/>
        </w:rPr>
        <w:t xml:space="preserve">With no meaningful and systematized way to cast a counted ballot from jail, these Californians made up the largest share of an estimated 500,000 people nationally were unconstitutionally kept from participating in the subsequent 2024 elections </w:t>
      </w:r>
      <w:r w:rsidRPr="008010B8">
        <w:rPr>
          <w:color w:val="000000"/>
          <w:sz w:val="23"/>
          <w:szCs w:val="23"/>
        </w:rPr>
        <w:t>(Wang 2024)</w:t>
      </w:r>
      <w:r>
        <w:rPr>
          <w:color w:val="000000"/>
          <w:sz w:val="23"/>
          <w:szCs w:val="23"/>
        </w:rPr>
        <w:t xml:space="preserve">. In California, a majority of those who could participate chose </w:t>
      </w:r>
      <w:r w:rsidRPr="008010B8">
        <w:rPr>
          <w:color w:val="000000"/>
          <w:sz w:val="23"/>
          <w:szCs w:val="23"/>
        </w:rPr>
        <w:t>to maintain “involuntary servitude” – slavery – in prisons</w:t>
      </w:r>
      <w:r>
        <w:rPr>
          <w:color w:val="000000"/>
          <w:sz w:val="23"/>
          <w:szCs w:val="23"/>
        </w:rPr>
        <w:t xml:space="preserve">. </w:t>
      </w:r>
      <w:r w:rsidRPr="008010B8">
        <w:rPr>
          <w:color w:val="000000"/>
          <w:sz w:val="23"/>
          <w:szCs w:val="23"/>
        </w:rPr>
        <w:t xml:space="preserve">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w:t>
      </w:r>
      <w:r>
        <w:rPr>
          <w:sz w:val="23"/>
          <w:szCs w:val="23"/>
        </w:rPr>
        <w:t xml:space="preserve">– a figure that does not include people who fear or mistakenly believe they have been permanently disenfranchised </w:t>
      </w:r>
      <w:r w:rsidRPr="008010B8">
        <w:rPr>
          <w:sz w:val="23"/>
          <w:szCs w:val="23"/>
        </w:rPr>
        <w:t>(</w:t>
      </w:r>
      <w:proofErr w:type="spellStart"/>
      <w:r w:rsidRPr="008010B8">
        <w:rPr>
          <w:sz w:val="23"/>
          <w:szCs w:val="23"/>
        </w:rPr>
        <w:t>Uggen</w:t>
      </w:r>
      <w:proofErr w:type="spellEnd"/>
      <w:r w:rsidR="006528A8">
        <w:rPr>
          <w:sz w:val="23"/>
          <w:szCs w:val="23"/>
        </w:rPr>
        <w:t xml:space="preserve"> et al. </w:t>
      </w:r>
      <w:r w:rsidRPr="008010B8">
        <w:rPr>
          <w:sz w:val="23"/>
          <w:szCs w:val="23"/>
        </w:rPr>
        <w:t xml:space="preserve">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4485BD41" w14:textId="77777777" w:rsidR="007434C5" w:rsidRPr="008010B8" w:rsidRDefault="007434C5" w:rsidP="007434C5">
      <w:pPr>
        <w:spacing w:line="360" w:lineRule="auto"/>
        <w:rPr>
          <w:sz w:val="23"/>
          <w:szCs w:val="23"/>
        </w:rPr>
      </w:pPr>
    </w:p>
    <w:p w14:paraId="59BA4BD7" w14:textId="77777777" w:rsidR="007434C5" w:rsidRDefault="007434C5" w:rsidP="007434C5">
      <w:pPr>
        <w:spacing w:line="360" w:lineRule="auto"/>
        <w:rPr>
          <w:sz w:val="23"/>
          <w:szCs w:val="23"/>
        </w:rPr>
      </w:pPr>
      <w:r>
        <w:rPr>
          <w:sz w:val="23"/>
          <w:szCs w:val="23"/>
        </w:rPr>
        <w:t>In contrast, some</w:t>
      </w:r>
      <w:r w:rsidRPr="008010B8">
        <w:rPr>
          <w:sz w:val="23"/>
          <w:szCs w:val="23"/>
        </w:rPr>
        <w:t xml:space="preserve"> particularly punitive, conservative states like Tennessee and Texas </w:t>
      </w:r>
      <w:r>
        <w:rPr>
          <w:sz w:val="23"/>
          <w:szCs w:val="23"/>
        </w:rPr>
        <w:t xml:space="preserve">are </w:t>
      </w:r>
      <w:r w:rsidRPr="008010B8">
        <w:rPr>
          <w:sz w:val="23"/>
          <w:szCs w:val="23"/>
        </w:rPr>
        <w:t>implementation of jail voting programs</w:t>
      </w:r>
      <w:r>
        <w:rPr>
          <w:sz w:val="23"/>
          <w:szCs w:val="23"/>
        </w:rPr>
        <w:t xml:space="preserve">, which manage the distribution and return of registration materials and mail or absentee applications and </w:t>
      </w:r>
      <w:proofErr w:type="gramStart"/>
      <w:r>
        <w:rPr>
          <w:sz w:val="23"/>
          <w:szCs w:val="23"/>
        </w:rPr>
        <w:t>ballots, or</w:t>
      </w:r>
      <w:proofErr w:type="gramEnd"/>
      <w:r>
        <w:rPr>
          <w:sz w:val="23"/>
          <w:szCs w:val="23"/>
        </w:rPr>
        <w:t xml:space="preserve"> establish polling locations in jails. Still there are other voices in the debate. W</w:t>
      </w:r>
      <w:r w:rsidRPr="00300942">
        <w:rPr>
          <w:sz w:val="23"/>
          <w:szCs w:val="23"/>
        </w:rPr>
        <w:t xml:space="preserve">hile introducing federal legislation to end </w:t>
      </w:r>
      <w:r w:rsidRPr="00300942">
        <w:rPr>
          <w:i/>
          <w:iCs/>
          <w:sz w:val="23"/>
          <w:szCs w:val="23"/>
        </w:rPr>
        <w:t>de facto</w:t>
      </w:r>
      <w:r w:rsidRPr="00300942">
        <w:rPr>
          <w:sz w:val="23"/>
          <w:szCs w:val="23"/>
        </w:rPr>
        <w:t xml:space="preserve"> and </w:t>
      </w:r>
      <w:r w:rsidRPr="00300942">
        <w:rPr>
          <w:i/>
          <w:iCs/>
          <w:sz w:val="23"/>
          <w:szCs w:val="23"/>
        </w:rPr>
        <w:t>de jure</w:t>
      </w:r>
      <w:r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Pr="00A44806">
        <w:rPr>
          <w:rStyle w:val="FootnoteReference"/>
          <w:sz w:val="23"/>
          <w:szCs w:val="23"/>
        </w:rPr>
        <w:t xml:space="preserve"> </w:t>
      </w:r>
      <w:r w:rsidRPr="00300942">
        <w:rPr>
          <w:rStyle w:val="FootnoteReference"/>
          <w:sz w:val="23"/>
          <w:szCs w:val="23"/>
        </w:rPr>
        <w:footnoteReference w:id="1"/>
      </w:r>
      <w:r w:rsidRPr="00300942">
        <w:rPr>
          <w:sz w:val="23"/>
          <w:szCs w:val="23"/>
        </w:rPr>
        <w:t xml:space="preserve"> Her motto that "the people closest to the pain should be closest to the power" directly invokes this epistemic gap between policymakers and affected communities. </w:t>
      </w:r>
      <w:r>
        <w:rPr>
          <w:sz w:val="23"/>
          <w:szCs w:val="23"/>
        </w:rPr>
        <w:t>It also</w:t>
      </w:r>
      <w:r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w:t>
      </w:r>
      <w:r w:rsidRPr="00300942">
        <w:rPr>
          <w:sz w:val="23"/>
          <w:szCs w:val="23"/>
        </w:rPr>
        <w:lastRenderedPageBreak/>
        <w:t>solve problems, deepen inequalities, and discourage democratic participation" (Schneider and Ingram 2019</w:t>
      </w:r>
      <w:r>
        <w:rPr>
          <w:sz w:val="23"/>
          <w:szCs w:val="23"/>
        </w:rPr>
        <w:t>, 229</w:t>
      </w:r>
      <w:r w:rsidRPr="00300942">
        <w:rPr>
          <w:sz w:val="23"/>
          <w:szCs w:val="23"/>
        </w:rPr>
        <w:t xml:space="preserve">). </w:t>
      </w:r>
    </w:p>
    <w:p w14:paraId="1F4FE47D" w14:textId="77777777" w:rsidR="00760C6C" w:rsidRDefault="00760C6C"/>
    <w:p w14:paraId="41D8FF01" w14:textId="497D92E4" w:rsidR="007434C5" w:rsidRPr="00300942" w:rsidRDefault="007434C5" w:rsidP="007434C5">
      <w:pPr>
        <w:spacing w:line="360" w:lineRule="auto"/>
        <w:rPr>
          <w:sz w:val="23"/>
          <w:szCs w:val="23"/>
        </w:rPr>
      </w:pPr>
      <w:r>
        <w:rPr>
          <w:sz w:val="23"/>
          <w:szCs w:val="23"/>
        </w:rPr>
        <w:t>T</w:t>
      </w:r>
      <w:r w:rsidRPr="008010B8">
        <w:rPr>
          <w:sz w:val="23"/>
          <w:szCs w:val="23"/>
        </w:rPr>
        <w:t xml:space="preserve">his policy landscape suggests beliefs about what incarcerated people </w:t>
      </w:r>
      <w:r>
        <w:rPr>
          <w:sz w:val="23"/>
          <w:szCs w:val="23"/>
        </w:rPr>
        <w:t>deserve are</w:t>
      </w:r>
      <w:r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Pr>
          <w:sz w:val="23"/>
          <w:szCs w:val="23"/>
        </w:rPr>
        <w:t xml:space="preserve">, that </w:t>
      </w:r>
      <w:r w:rsidR="000F06DC">
        <w:rPr>
          <w:sz w:val="23"/>
          <w:szCs w:val="23"/>
        </w:rPr>
        <w:t xml:space="preserve">may explain those paths and </w:t>
      </w:r>
      <w:r>
        <w:rPr>
          <w:sz w:val="23"/>
          <w:szCs w:val="23"/>
        </w:rPr>
        <w:t>troubles core claims of representative democracy</w:t>
      </w:r>
      <w:r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Pr="00300942">
        <w:rPr>
          <w:sz w:val="23"/>
          <w:szCs w:val="23"/>
        </w:rPr>
        <w:t xml:space="preserve"> (Hinton and Cook 2021, Pew 2023, Clark and Hansen 2020)</w:t>
      </w:r>
      <w:r w:rsidRPr="00300942">
        <w:rPr>
          <w:rStyle w:val="FootnoteReference"/>
          <w:sz w:val="23"/>
          <w:szCs w:val="23"/>
        </w:rPr>
        <w:footnoteReference w:id="2"/>
      </w:r>
      <w:r w:rsidRPr="00300942">
        <w:rPr>
          <w:sz w:val="23"/>
          <w:szCs w:val="23"/>
        </w:rPr>
        <w:t>.</w:t>
      </w:r>
    </w:p>
    <w:p w14:paraId="3916EA8C" w14:textId="7B4CC793" w:rsidR="007434C5" w:rsidRDefault="00B02A3B" w:rsidP="007434C5">
      <w:pPr>
        <w:pStyle w:val="whitespace-pre-wrap"/>
        <w:spacing w:line="360" w:lineRule="auto"/>
        <w:rPr>
          <w:sz w:val="23"/>
          <w:szCs w:val="23"/>
        </w:rPr>
      </w:pPr>
      <w:r>
        <w:rPr>
          <w:sz w:val="23"/>
          <w:szCs w:val="23"/>
        </w:rPr>
        <w:t>This</w:t>
      </w:r>
      <w:r w:rsidR="007434C5" w:rsidRPr="004B6AF3">
        <w:rPr>
          <w:sz w:val="23"/>
          <w:szCs w:val="23"/>
        </w:rPr>
        <w:t xml:space="preserve"> paper examines how perceptions of deservingness and related policy preferences differ between those directly impacted by incarceration and those who are not. </w:t>
      </w:r>
      <w:r w:rsidR="007434C5" w:rsidRPr="00300942">
        <w:rPr>
          <w:sz w:val="23"/>
          <w:szCs w:val="23"/>
        </w:rPr>
        <w:t xml:space="preserve">Scholars have shown that what groups in society are perceived to deserve are institutional and discursive constructions, and others that these constructions may be undergirded by </w:t>
      </w:r>
      <w:proofErr w:type="gramStart"/>
      <w:r w:rsidR="007434C5" w:rsidRPr="00300942">
        <w:rPr>
          <w:sz w:val="23"/>
          <w:szCs w:val="23"/>
        </w:rPr>
        <w:t>evolutionarily-derived</w:t>
      </w:r>
      <w:proofErr w:type="gramEnd"/>
      <w:r w:rsidR="007434C5" w:rsidRPr="00300942">
        <w:rPr>
          <w:sz w:val="23"/>
          <w:szCs w:val="23"/>
        </w:rPr>
        <w:t xml:space="preserve"> mechanisms</w:t>
      </w:r>
      <w:r w:rsidR="007434C5">
        <w:rPr>
          <w:sz w:val="23"/>
          <w:szCs w:val="23"/>
        </w:rPr>
        <w:t xml:space="preserve"> (</w:t>
      </w:r>
      <w:r w:rsidR="007434C5" w:rsidRPr="008010B8">
        <w:rPr>
          <w:sz w:val="23"/>
          <w:szCs w:val="23"/>
        </w:rPr>
        <w:t>Schneider and Ingram</w:t>
      </w:r>
      <w:r w:rsidR="007434C5">
        <w:rPr>
          <w:sz w:val="23"/>
          <w:szCs w:val="23"/>
        </w:rPr>
        <w:t xml:space="preserve"> 1993, </w:t>
      </w:r>
      <w:r w:rsidR="007434C5" w:rsidRPr="008010B8">
        <w:rPr>
          <w:sz w:val="23"/>
          <w:szCs w:val="23"/>
        </w:rPr>
        <w:t xml:space="preserve">Petersen 2012, </w:t>
      </w:r>
      <w:proofErr w:type="spellStart"/>
      <w:r w:rsidR="007434C5" w:rsidRPr="008010B8">
        <w:rPr>
          <w:sz w:val="23"/>
          <w:szCs w:val="23"/>
        </w:rPr>
        <w:t>Aaroe</w:t>
      </w:r>
      <w:proofErr w:type="spellEnd"/>
      <w:r w:rsidR="007434C5" w:rsidRPr="008010B8">
        <w:rPr>
          <w:sz w:val="23"/>
          <w:szCs w:val="23"/>
        </w:rPr>
        <w:t xml:space="preserve"> and Petersen 2014</w:t>
      </w:r>
      <w:r w:rsidR="007434C5">
        <w:rPr>
          <w:sz w:val="23"/>
          <w:szCs w:val="23"/>
        </w:rPr>
        <w:t>)</w:t>
      </w:r>
      <w:r w:rsidR="007434C5" w:rsidRPr="00300942">
        <w:rPr>
          <w:sz w:val="23"/>
          <w:szCs w:val="23"/>
        </w:rPr>
        <w:t>. These constructions matter because they are understood and translated by policymakers into policy that helps or hinders these groups</w:t>
      </w:r>
      <w:r w:rsidR="00BB428F">
        <w:rPr>
          <w:sz w:val="23"/>
          <w:szCs w:val="23"/>
        </w:rPr>
        <w:t xml:space="preserve"> and potentially reinforce their social constructions (Schneider and Ingram 2019</w:t>
      </w:r>
      <w:r w:rsidR="00E607EF">
        <w:rPr>
          <w:sz w:val="23"/>
          <w:szCs w:val="23"/>
        </w:rPr>
        <w:t>)</w:t>
      </w:r>
      <w:r w:rsidR="007434C5" w:rsidRPr="00300942">
        <w:rPr>
          <w:sz w:val="23"/>
          <w:szCs w:val="23"/>
        </w:rPr>
        <w:t>. And while a broad literature examines public punitiveness, less is known about perceptions of deservingness in the context of incarceration and their translation to policy views</w:t>
      </w:r>
      <w:r w:rsidR="007434C5">
        <w:rPr>
          <w:sz w:val="23"/>
          <w:szCs w:val="23"/>
        </w:rPr>
        <w:t xml:space="preserve"> </w:t>
      </w:r>
      <w:r w:rsidR="007434C5" w:rsidRPr="00300942">
        <w:rPr>
          <w:sz w:val="23"/>
          <w:szCs w:val="23"/>
        </w:rPr>
        <w:t xml:space="preserve">and on issues of democratic rights. </w:t>
      </w:r>
      <w:r w:rsidR="007434C5" w:rsidRPr="004B6AF3">
        <w:rPr>
          <w:sz w:val="23"/>
          <w:szCs w:val="23"/>
        </w:rPr>
        <w:t xml:space="preserve">Drawing on </w:t>
      </w:r>
      <w:r w:rsidR="007434C5">
        <w:rPr>
          <w:sz w:val="23"/>
          <w:szCs w:val="23"/>
        </w:rPr>
        <w:t>these literatures</w:t>
      </w:r>
      <w:r w:rsidR="007434C5" w:rsidRPr="004B6AF3">
        <w:rPr>
          <w:sz w:val="23"/>
          <w:szCs w:val="23"/>
        </w:rPr>
        <w:t xml:space="preserve">, I develop and test hypotheses about how affect and identity fundamentally shape perceptions of carceral deservingness in ways </w:t>
      </w:r>
      <w:r w:rsidR="007434C5">
        <w:rPr>
          <w:sz w:val="23"/>
          <w:szCs w:val="23"/>
        </w:rPr>
        <w:t xml:space="preserve">that are </w:t>
      </w:r>
      <w:r w:rsidR="007434C5" w:rsidRPr="004B6AF3">
        <w:rPr>
          <w:sz w:val="23"/>
          <w:szCs w:val="23"/>
        </w:rPr>
        <w:t xml:space="preserve">distinct from other policy domains. </w:t>
      </w:r>
      <w:r w:rsidR="007434C5">
        <w:rPr>
          <w:sz w:val="23"/>
          <w:szCs w:val="23"/>
        </w:rPr>
        <w:t xml:space="preserve">Consequently, </w:t>
      </w:r>
      <w:r w:rsidR="007434C5" w:rsidRPr="00115106">
        <w:rPr>
          <w:sz w:val="23"/>
          <w:szCs w:val="23"/>
        </w:rPr>
        <w:t>direct experience with the carceral system</w:t>
      </w:r>
      <w:r w:rsidR="007434C5">
        <w:rPr>
          <w:sz w:val="23"/>
          <w:szCs w:val="23"/>
        </w:rPr>
        <w:t xml:space="preserve"> will generate more positive and consistent perceptions of what carceral citizens deserve. It disrupts dehumanization of carceral citizens and provides concrete rather than abstract understanding of the complex dynamics that cause crime and confront carceral citizens and punished communities.</w:t>
      </w:r>
    </w:p>
    <w:p w14:paraId="3F30BF19" w14:textId="77777777" w:rsidR="007434C5" w:rsidRDefault="007434C5" w:rsidP="007434C5">
      <w:pPr>
        <w:pStyle w:val="whitespace-pre-wrap"/>
        <w:spacing w:line="360" w:lineRule="auto"/>
        <w:rPr>
          <w:sz w:val="23"/>
          <w:szCs w:val="23"/>
        </w:rPr>
      </w:pPr>
      <w:r w:rsidRPr="004B6AF3">
        <w:rPr>
          <w:sz w:val="23"/>
          <w:szCs w:val="23"/>
        </w:rPr>
        <w:lastRenderedPageBreak/>
        <w:t>This research addresses</w:t>
      </w:r>
      <w:r>
        <w:rPr>
          <w:sz w:val="23"/>
          <w:szCs w:val="23"/>
        </w:rPr>
        <w:t xml:space="preserve"> three</w:t>
      </w:r>
      <w:r w:rsidRPr="004B6AF3">
        <w:rPr>
          <w:sz w:val="23"/>
          <w:szCs w:val="23"/>
        </w:rPr>
        <w:t xml:space="preserve"> interrelated questions:</w:t>
      </w:r>
      <w:r>
        <w:rPr>
          <w:sz w:val="23"/>
          <w:szCs w:val="23"/>
        </w:rPr>
        <w:t xml:space="preserve"> </w:t>
      </w:r>
    </w:p>
    <w:p w14:paraId="4C200270" w14:textId="77777777" w:rsidR="007434C5" w:rsidRPr="000953F3" w:rsidRDefault="007434C5" w:rsidP="007434C5">
      <w:pPr>
        <w:pStyle w:val="whitespace-pre-wrap"/>
        <w:spacing w:line="360" w:lineRule="auto"/>
        <w:rPr>
          <w:i/>
          <w:iCs/>
          <w:sz w:val="23"/>
          <w:szCs w:val="23"/>
        </w:rPr>
      </w:pPr>
      <w:r>
        <w:rPr>
          <w:sz w:val="23"/>
          <w:szCs w:val="23"/>
        </w:rPr>
        <w:t xml:space="preserve">First, </w:t>
      </w:r>
      <w:r w:rsidRPr="000953F3">
        <w:rPr>
          <w:i/>
          <w:iCs/>
          <w:sz w:val="23"/>
          <w:szCs w:val="23"/>
        </w:rPr>
        <w:t>how do direct experiences with the criminal legal system – experiencing incarceration, being victimized particularly by violent crime, and having social networks that extend into prisons -- shape perceptions of what incarcerated people deserve?</w:t>
      </w:r>
    </w:p>
    <w:p w14:paraId="030A7329" w14:textId="77777777" w:rsidR="007434C5" w:rsidRDefault="007434C5" w:rsidP="007434C5">
      <w:pPr>
        <w:pStyle w:val="whitespace-pre-wrap"/>
        <w:spacing w:line="360" w:lineRule="auto"/>
        <w:rPr>
          <w:sz w:val="23"/>
          <w:szCs w:val="23"/>
        </w:rPr>
      </w:pPr>
      <w:r>
        <w:rPr>
          <w:sz w:val="23"/>
          <w:szCs w:val="23"/>
        </w:rPr>
        <w:t xml:space="preserve">To answer this question, I consider the contemporary landscape criminal legal landscape in which reforms have primarily helped those serving drug and non-violent offenses. I also consider that Congresswoman Pressley’s interjection was notable in its centering of incarcerated </w:t>
      </w:r>
      <w:r>
        <w:rPr>
          <w:i/>
          <w:iCs/>
          <w:sz w:val="23"/>
          <w:szCs w:val="23"/>
        </w:rPr>
        <w:t>political organizers</w:t>
      </w:r>
      <w:r>
        <w:rPr>
          <w:sz w:val="23"/>
          <w:szCs w:val="23"/>
        </w:rPr>
        <w:t xml:space="preserve"> – a subset that is rarely centered in a policy debate that typically differentiates people only in terms of their conviction. This leads to the second, or sub-question: </w:t>
      </w:r>
      <w:r w:rsidRPr="000953F3">
        <w:rPr>
          <w:i/>
          <w:iCs/>
          <w:sz w:val="23"/>
          <w:szCs w:val="23"/>
        </w:rPr>
        <w:t>does direct experience inform distinct perceptions of differences in what “carceral subgroups” deserve?</w:t>
      </w:r>
      <w:r>
        <w:rPr>
          <w:sz w:val="23"/>
          <w:szCs w:val="23"/>
        </w:rPr>
        <w:t xml:space="preserve"> Put differently, do experiences with the criminal legal system impact how people differentiate between, say, incarcerated parents and incarcerated people more broadly?  </w:t>
      </w:r>
    </w:p>
    <w:p w14:paraId="42F091A9" w14:textId="6CD84B2E" w:rsidR="007434C5" w:rsidRPr="000953F3" w:rsidRDefault="007434C5" w:rsidP="007434C5">
      <w:pPr>
        <w:pStyle w:val="whitespace-normal"/>
        <w:spacing w:line="360" w:lineRule="auto"/>
        <w:rPr>
          <w:i/>
          <w:iCs/>
          <w:sz w:val="23"/>
          <w:szCs w:val="23"/>
        </w:rPr>
      </w:pPr>
      <w:r>
        <w:rPr>
          <w:sz w:val="23"/>
          <w:szCs w:val="23"/>
        </w:rPr>
        <w:t xml:space="preserve">Finally, deservingness is particularly important to understand in this context, as it may translate into how people think about policy. Thus, I also ask </w:t>
      </w:r>
      <w:r>
        <w:rPr>
          <w:i/>
          <w:iCs/>
          <w:sz w:val="23"/>
          <w:szCs w:val="23"/>
        </w:rPr>
        <w:t>h</w:t>
      </w:r>
      <w:r w:rsidRPr="000953F3">
        <w:rPr>
          <w:i/>
          <w:iCs/>
          <w:sz w:val="23"/>
          <w:szCs w:val="23"/>
        </w:rPr>
        <w:t xml:space="preserve">ow experiences with the carceral system shape perceptions of what </w:t>
      </w:r>
      <w:r w:rsidRPr="001A2B72">
        <w:rPr>
          <w:sz w:val="23"/>
          <w:szCs w:val="23"/>
        </w:rPr>
        <w:t>kinds of policy</w:t>
      </w:r>
      <w:r w:rsidRPr="000953F3">
        <w:rPr>
          <w:i/>
          <w:iCs/>
          <w:sz w:val="23"/>
          <w:szCs w:val="23"/>
        </w:rPr>
        <w:t xml:space="preserve"> carceral citizens deserve?</w:t>
      </w:r>
    </w:p>
    <w:p w14:paraId="2210C8DB" w14:textId="5C6E2F29" w:rsidR="007434C5" w:rsidRPr="007F39A8" w:rsidRDefault="007434C5" w:rsidP="007434C5">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w:t>
      </w:r>
      <w:r>
        <w:rPr>
          <w:sz w:val="23"/>
          <w:szCs w:val="23"/>
        </w:rPr>
        <w:t>d</w:t>
      </w:r>
      <w:r w:rsidRPr="007F39A8">
        <w:rPr>
          <w:sz w:val="23"/>
          <w:szCs w:val="23"/>
        </w:rPr>
        <w:t xml:space="preserve"> test hypotheses using novel survey data that</w:t>
      </w:r>
      <w:r>
        <w:rPr>
          <w:sz w:val="23"/>
          <w:szCs w:val="23"/>
        </w:rPr>
        <w:t xml:space="preserve"> measures</w:t>
      </w:r>
      <w:r w:rsidRPr="007F39A8">
        <w:rPr>
          <w:sz w:val="23"/>
          <w:szCs w:val="23"/>
        </w:rPr>
        <w:t xml:space="preserve"> perceptions of deservingness </w:t>
      </w:r>
      <w:r>
        <w:rPr>
          <w:sz w:val="23"/>
          <w:szCs w:val="23"/>
        </w:rPr>
        <w:t>across a wide array of groups, or policy targets</w:t>
      </w:r>
      <w:r w:rsidRPr="007F39A8">
        <w:rPr>
          <w:sz w:val="23"/>
          <w:szCs w:val="23"/>
        </w:rPr>
        <w:t xml:space="preserve">. </w:t>
      </w:r>
      <w:r>
        <w:rPr>
          <w:sz w:val="23"/>
          <w:szCs w:val="23"/>
        </w:rPr>
        <w:t xml:space="preserve">I expect that impacted groups see carceral citizens as more deserving. </w:t>
      </w:r>
      <w:r w:rsidRPr="007F39A8">
        <w:rPr>
          <w:sz w:val="23"/>
          <w:szCs w:val="23"/>
        </w:rPr>
        <w:t xml:space="preserve">While existing literature demonstrates how CARIN criteria (control, attitude, reciprocity, identity, need) shape deservingness perceptions for target groups – primarily welfare recipients, I expect in carceral contexts, affect and identity </w:t>
      </w:r>
      <w:r>
        <w:rPr>
          <w:sz w:val="23"/>
          <w:szCs w:val="23"/>
        </w:rPr>
        <w:t xml:space="preserve">to </w:t>
      </w:r>
      <w:r w:rsidRPr="007F39A8">
        <w:rPr>
          <w:sz w:val="23"/>
          <w:szCs w:val="23"/>
        </w:rPr>
        <w:t xml:space="preserve">primarily shape perceptions of deservingness. </w:t>
      </w:r>
      <w:r>
        <w:rPr>
          <w:sz w:val="23"/>
          <w:szCs w:val="23"/>
        </w:rPr>
        <w:t>I consider how these attributes might inform differences in perceptions and policy support for impacted groups</w:t>
      </w:r>
      <w:r w:rsidR="002D3BD0">
        <w:rPr>
          <w:sz w:val="23"/>
          <w:szCs w:val="23"/>
        </w:rPr>
        <w:t xml:space="preserve">. I expect these groups may be more consistent in their support for policies that offer material help to carceral citizens. People who are not impacted may be more reluctant to support policies they perceive as either status-conferring or involving their own </w:t>
      </w:r>
      <w:proofErr w:type="gramStart"/>
      <w:r w:rsidR="002D3BD0">
        <w:rPr>
          <w:sz w:val="23"/>
          <w:szCs w:val="23"/>
        </w:rPr>
        <w:t>expense, and</w:t>
      </w:r>
      <w:proofErr w:type="gramEnd"/>
      <w:r w:rsidR="002D3BD0">
        <w:rPr>
          <w:sz w:val="23"/>
          <w:szCs w:val="23"/>
        </w:rPr>
        <w:t xml:space="preserve"> instead support symbolic help and punitive policies.</w:t>
      </w:r>
    </w:p>
    <w:p w14:paraId="63D8A5EB" w14:textId="77777777" w:rsidR="007434C5" w:rsidRDefault="007434C5"/>
    <w:p w14:paraId="7EBC94BE" w14:textId="77777777" w:rsidR="00691421" w:rsidRPr="00F2333F" w:rsidRDefault="00691421" w:rsidP="00691421">
      <w:pPr>
        <w:spacing w:line="360" w:lineRule="auto"/>
        <w:rPr>
          <w:b/>
          <w:bCs/>
          <w:sz w:val="23"/>
          <w:szCs w:val="23"/>
        </w:rPr>
      </w:pPr>
      <w:r w:rsidRPr="00F2333F">
        <w:rPr>
          <w:rFonts w:ascii="Arial" w:hAnsi="Arial" w:cs="Arial"/>
          <w:b/>
          <w:bCs/>
          <w:sz w:val="23"/>
          <w:szCs w:val="23"/>
        </w:rPr>
        <w:t xml:space="preserve">II. Literature Review </w:t>
      </w:r>
    </w:p>
    <w:p w14:paraId="23A33E20" w14:textId="77777777" w:rsidR="00691421" w:rsidRDefault="00691421" w:rsidP="00691421">
      <w:pPr>
        <w:spacing w:line="360" w:lineRule="auto"/>
        <w:rPr>
          <w:sz w:val="23"/>
          <w:szCs w:val="23"/>
        </w:rPr>
      </w:pPr>
      <w:r w:rsidRPr="008010B8">
        <w:rPr>
          <w:sz w:val="23"/>
          <w:szCs w:val="23"/>
        </w:rPr>
        <w:t xml:space="preserve">Two converging research streams examine how perceptions of group deservingness shape public policy preferences and outcomes. First, </w:t>
      </w:r>
      <w:r>
        <w:rPr>
          <w:sz w:val="23"/>
          <w:szCs w:val="23"/>
        </w:rPr>
        <w:t xml:space="preserve">policy scholars who rely on a theory of </w:t>
      </w:r>
      <w:r w:rsidRPr="008010B8">
        <w:rPr>
          <w:sz w:val="23"/>
          <w:szCs w:val="23"/>
        </w:rPr>
        <w:t>social construction</w:t>
      </w:r>
      <w:r>
        <w:rPr>
          <w:sz w:val="23"/>
          <w:szCs w:val="23"/>
        </w:rPr>
        <w:t>s</w:t>
      </w:r>
      <w:r w:rsidRPr="008010B8">
        <w:rPr>
          <w:sz w:val="23"/>
          <w:szCs w:val="23"/>
        </w:rPr>
        <w:t xml:space="preserve"> </w:t>
      </w:r>
      <w:r w:rsidRPr="008010B8">
        <w:rPr>
          <w:sz w:val="23"/>
          <w:szCs w:val="23"/>
        </w:rPr>
        <w:lastRenderedPageBreak/>
        <w:t>examine how institutional power and discourse shape which groups in society are perceived to deserve help, and</w:t>
      </w:r>
      <w:r>
        <w:rPr>
          <w:sz w:val="23"/>
          <w:szCs w:val="23"/>
        </w:rPr>
        <w:t xml:space="preserve"> how</w:t>
      </w:r>
      <w:r w:rsidRPr="008010B8">
        <w:rPr>
          <w:sz w:val="23"/>
          <w:szCs w:val="23"/>
        </w:rPr>
        <w:t xml:space="preserve"> inequality is maintained and tolerated (Smith and Kreitzer, Schneider and Ingram). </w:t>
      </w:r>
      <w:r>
        <w:rPr>
          <w:sz w:val="23"/>
          <w:szCs w:val="23"/>
        </w:rPr>
        <w:t xml:space="preserve">According to </w:t>
      </w:r>
      <w:r w:rsidRPr="008010B8">
        <w:rPr>
          <w:sz w:val="23"/>
          <w:szCs w:val="23"/>
        </w:rPr>
        <w:t>Schneider and Ingram’s (1993) foundational typology</w:t>
      </w:r>
      <w:r>
        <w:rPr>
          <w:sz w:val="23"/>
          <w:szCs w:val="23"/>
        </w:rPr>
        <w:t xml:space="preserve">, policymakers </w:t>
      </w:r>
      <w:r w:rsidRPr="009A1DBD">
        <w:rPr>
          <w:sz w:val="23"/>
          <w:szCs w:val="23"/>
        </w:rPr>
        <w:t xml:space="preserve">are incentivized </w:t>
      </w:r>
      <w:r>
        <w:rPr>
          <w:sz w:val="23"/>
          <w:szCs w:val="23"/>
        </w:rPr>
        <w:t xml:space="preserve">by electoral politics </w:t>
      </w:r>
      <w:r w:rsidRPr="009A1DBD">
        <w:rPr>
          <w:sz w:val="23"/>
          <w:szCs w:val="23"/>
        </w:rPr>
        <w:t>to produce policy that helps some groups and punishes others</w:t>
      </w:r>
      <w:r>
        <w:rPr>
          <w:sz w:val="23"/>
          <w:szCs w:val="23"/>
        </w:rPr>
        <w:t xml:space="preserve">, and that these incentives hinge on two interacting axes. First, policymakers consider the extent to which their constituencies’ perceive a group – say, unionized workers or college students </w:t>
      </w:r>
      <w:proofErr w:type="gramStart"/>
      <w:r>
        <w:rPr>
          <w:sz w:val="23"/>
          <w:szCs w:val="23"/>
        </w:rPr>
        <w:t>–  to</w:t>
      </w:r>
      <w:proofErr w:type="gramEnd"/>
      <w:r>
        <w:rPr>
          <w:sz w:val="23"/>
          <w:szCs w:val="23"/>
        </w:rPr>
        <w:t xml:space="preserve"> be socially constructed as “deserving.”  Their objective is ensuring their constituencies will broadly approve of policy directed toward that group. Second, they consider that groups’ political power – the ability of a group to access, reward, and/or retaliate against policymakers. </w:t>
      </w:r>
    </w:p>
    <w:p w14:paraId="48932A44" w14:textId="77777777" w:rsidR="00691421" w:rsidRDefault="00691421" w:rsidP="00691421">
      <w:pPr>
        <w:spacing w:line="360" w:lineRule="auto"/>
        <w:rPr>
          <w:sz w:val="23"/>
          <w:szCs w:val="23"/>
        </w:rPr>
      </w:pPr>
    </w:p>
    <w:p w14:paraId="50C947F9" w14:textId="77777777" w:rsidR="00691421" w:rsidRPr="008010B8" w:rsidRDefault="00691421" w:rsidP="00691421">
      <w:pPr>
        <w:spacing w:line="360" w:lineRule="auto"/>
        <w:rPr>
          <w:sz w:val="23"/>
          <w:szCs w:val="23"/>
        </w:rPr>
      </w:pPr>
      <w:r>
        <w:rPr>
          <w:sz w:val="23"/>
          <w:szCs w:val="23"/>
        </w:rPr>
        <w:t>As consequence, groups in society and policy that have a disproportionate effect on them fall into four categories.  Policymakers are incentivized to</w:t>
      </w:r>
      <w:r w:rsidRPr="008010B8">
        <w:rPr>
          <w:sz w:val="23"/>
          <w:szCs w:val="23"/>
        </w:rPr>
        <w:t xml:space="preserve"> help</w:t>
      </w:r>
      <w:r>
        <w:rPr>
          <w:sz w:val="23"/>
          <w:szCs w:val="23"/>
        </w:rPr>
        <w:t xml:space="preserve"> groups who are</w:t>
      </w:r>
      <w:r w:rsidRPr="008010B8">
        <w:rPr>
          <w:sz w:val="23"/>
          <w:szCs w:val="23"/>
        </w:rPr>
        <w:t xml:space="preserve"> “advantaged” </w:t>
      </w:r>
      <w:r>
        <w:rPr>
          <w:sz w:val="23"/>
          <w:szCs w:val="23"/>
        </w:rPr>
        <w:t>– both powerful and perceived as deserving -- and</w:t>
      </w:r>
      <w:r w:rsidRPr="008010B8">
        <w:rPr>
          <w:sz w:val="23"/>
          <w:szCs w:val="23"/>
        </w:rPr>
        <w:t xml:space="preserve"> “contender” groups</w:t>
      </w:r>
      <w:r>
        <w:rPr>
          <w:sz w:val="23"/>
          <w:szCs w:val="23"/>
        </w:rPr>
        <w:t xml:space="preserve">, or those who are powerful but constructed as undeserving. </w:t>
      </w:r>
      <w:r w:rsidRPr="008010B8">
        <w:rPr>
          <w:sz w:val="23"/>
          <w:szCs w:val="23"/>
        </w:rPr>
        <w:t xml:space="preserve"> </w:t>
      </w:r>
      <w:r>
        <w:rPr>
          <w:sz w:val="23"/>
          <w:szCs w:val="23"/>
        </w:rPr>
        <w:t>In contrast, policymakers</w:t>
      </w:r>
      <w:r w:rsidRPr="008010B8">
        <w:rPr>
          <w:sz w:val="23"/>
          <w:szCs w:val="23"/>
        </w:rPr>
        <w:t xml:space="preserve"> offer burdensome policy to “dependents”</w:t>
      </w:r>
      <w:r>
        <w:rPr>
          <w:sz w:val="23"/>
          <w:szCs w:val="23"/>
        </w:rPr>
        <w:t xml:space="preserve"> – those who are seen as deserving but who are not politically powerful,</w:t>
      </w:r>
      <w:r w:rsidRPr="008010B8">
        <w:rPr>
          <w:sz w:val="23"/>
          <w:szCs w:val="23"/>
        </w:rPr>
        <w:t xml:space="preserve"> and punish “deviants</w:t>
      </w:r>
      <w:r>
        <w:rPr>
          <w:sz w:val="23"/>
          <w:szCs w:val="23"/>
        </w:rPr>
        <w:t xml:space="preserve">,” who are seen as neither deserving nor powerful. </w:t>
      </w:r>
      <w:r w:rsidRPr="008010B8">
        <w:rPr>
          <w:sz w:val="23"/>
          <w:szCs w:val="23"/>
        </w:rPr>
        <w:t xml:space="preserve"> </w:t>
      </w:r>
      <w:r>
        <w:rPr>
          <w:sz w:val="23"/>
          <w:szCs w:val="23"/>
        </w:rPr>
        <w:t>Political representatives’ policy design</w:t>
      </w:r>
      <w:r w:rsidRPr="008010B8">
        <w:rPr>
          <w:sz w:val="23"/>
          <w:szCs w:val="23"/>
        </w:rPr>
        <w:t xml:space="preserve"> is also driven by “anticipatory” feedback</w:t>
      </w:r>
      <w:r>
        <w:rPr>
          <w:sz w:val="23"/>
          <w:szCs w:val="23"/>
        </w:rPr>
        <w:t>:</w:t>
      </w:r>
      <w:r w:rsidRPr="008010B8">
        <w:rPr>
          <w:sz w:val="23"/>
          <w:szCs w:val="23"/>
        </w:rPr>
        <w:t xml:space="preserve"> </w:t>
      </w:r>
      <w:r>
        <w:rPr>
          <w:sz w:val="23"/>
          <w:szCs w:val="23"/>
        </w:rPr>
        <w:t>p</w:t>
      </w:r>
      <w:r w:rsidRPr="008010B8">
        <w:rPr>
          <w:sz w:val="23"/>
          <w:szCs w:val="23"/>
        </w:rPr>
        <w:t>olicymakers respond to both their perception of groups</w:t>
      </w:r>
      <w:r>
        <w:rPr>
          <w:sz w:val="23"/>
          <w:szCs w:val="23"/>
        </w:rPr>
        <w:t>’</w:t>
      </w:r>
      <w:r w:rsidRPr="008010B8">
        <w:rPr>
          <w:sz w:val="23"/>
          <w:szCs w:val="23"/>
        </w:rPr>
        <w:t xml:space="preserve"> political power and social constructions in terms of electoral consequences – for example, by providing “hidden” benefits to contenders, who </w:t>
      </w:r>
      <w:r>
        <w:rPr>
          <w:sz w:val="23"/>
          <w:szCs w:val="23"/>
        </w:rPr>
        <w:t xml:space="preserve">are </w:t>
      </w:r>
      <w:r w:rsidRPr="008010B8">
        <w:rPr>
          <w:sz w:val="23"/>
          <w:szCs w:val="23"/>
        </w:rPr>
        <w:t>constructed as undeserving but powerful</w:t>
      </w:r>
      <w:r>
        <w:rPr>
          <w:sz w:val="23"/>
          <w:szCs w:val="23"/>
        </w:rPr>
        <w:t xml:space="preserve">, </w:t>
      </w:r>
      <w:r w:rsidRPr="00E47705">
        <w:rPr>
          <w:sz w:val="23"/>
          <w:szCs w:val="23"/>
        </w:rPr>
        <w:t xml:space="preserve">policymakers can </w:t>
      </w:r>
      <w:r>
        <w:rPr>
          <w:sz w:val="23"/>
          <w:szCs w:val="23"/>
        </w:rPr>
        <w:t>avoid political blowback for helping an “undeserving” group while strengthen their own political position.</w:t>
      </w:r>
      <w:r w:rsidRPr="008010B8">
        <w:rPr>
          <w:sz w:val="23"/>
          <w:szCs w:val="23"/>
        </w:rPr>
        <w:t xml:space="preserve"> (Schneider and Ingram 2019, Ellis and </w:t>
      </w:r>
      <w:proofErr w:type="spellStart"/>
      <w:r w:rsidRPr="008010B8">
        <w:rPr>
          <w:sz w:val="23"/>
          <w:szCs w:val="23"/>
        </w:rPr>
        <w:t>Faricy</w:t>
      </w:r>
      <w:proofErr w:type="spellEnd"/>
      <w:r w:rsidRPr="008010B8">
        <w:rPr>
          <w:sz w:val="23"/>
          <w:szCs w:val="23"/>
        </w:rPr>
        <w:t xml:space="preserve"> 2020).</w:t>
      </w:r>
      <w:r>
        <w:rPr>
          <w:sz w:val="23"/>
          <w:szCs w:val="23"/>
        </w:rPr>
        <w:t xml:space="preserve"> </w:t>
      </w:r>
    </w:p>
    <w:p w14:paraId="54DAEA0E" w14:textId="77777777" w:rsidR="00691421" w:rsidRPr="008010B8" w:rsidRDefault="00691421" w:rsidP="00691421">
      <w:pPr>
        <w:spacing w:line="360" w:lineRule="auto"/>
        <w:rPr>
          <w:sz w:val="23"/>
          <w:szCs w:val="23"/>
        </w:rPr>
      </w:pPr>
    </w:p>
    <w:p w14:paraId="6D5209AD" w14:textId="77777777" w:rsidR="00691421" w:rsidRPr="008010B8" w:rsidRDefault="00691421" w:rsidP="00691421">
      <w:pPr>
        <w:spacing w:line="360" w:lineRule="auto"/>
        <w:rPr>
          <w:sz w:val="23"/>
          <w:szCs w:val="23"/>
        </w:rPr>
      </w:pPr>
      <w:r>
        <w:rPr>
          <w:sz w:val="23"/>
          <w:szCs w:val="23"/>
        </w:rPr>
        <w:t xml:space="preserve">In responding to social constructions, policies also reinforce them.  </w:t>
      </w:r>
      <w:r w:rsidRPr="008010B8">
        <w:rPr>
          <w:sz w:val="23"/>
          <w:szCs w:val="23"/>
        </w:rPr>
        <w:t>These group social constructions</w:t>
      </w:r>
      <w:r>
        <w:rPr>
          <w:sz w:val="23"/>
          <w:szCs w:val="23"/>
        </w:rPr>
        <w:t>, which</w:t>
      </w:r>
      <w:r w:rsidRPr="008010B8">
        <w:rPr>
          <w:sz w:val="23"/>
          <w:szCs w:val="23"/>
        </w:rPr>
        <w:t xml:space="preserve"> are “value-laden components, including stereotypes, dominant ideologies, and assumptions” about groups operate in dialectic with existing policy</w:t>
      </w:r>
      <w:r>
        <w:rPr>
          <w:sz w:val="23"/>
          <w:szCs w:val="23"/>
        </w:rPr>
        <w:t xml:space="preserve">. </w:t>
      </w:r>
      <w:r w:rsidRPr="008010B8">
        <w:rPr>
          <w:sz w:val="23"/>
          <w:szCs w:val="23"/>
        </w:rPr>
        <w:t xml:space="preserve"> </w:t>
      </w:r>
      <w:r>
        <w:rPr>
          <w:sz w:val="23"/>
          <w:szCs w:val="23"/>
        </w:rPr>
        <w:t>“[P]</w:t>
      </w:r>
      <w:proofErr w:type="spellStart"/>
      <w:r w:rsidRPr="008010B8">
        <w:rPr>
          <w:sz w:val="23"/>
          <w:szCs w:val="23"/>
        </w:rPr>
        <w:t>olicy</w:t>
      </w:r>
      <w:proofErr w:type="spellEnd"/>
      <w:r w:rsidRPr="008010B8">
        <w:rPr>
          <w:sz w:val="23"/>
          <w:szCs w:val="23"/>
        </w:rPr>
        <w:t xml:space="preserve"> telegraphs to the public about how target groups should be treated” (Smith and Kreitzer, 2024). As consequence,</w:t>
      </w:r>
      <w:r>
        <w:rPr>
          <w:sz w:val="23"/>
          <w:szCs w:val="23"/>
        </w:rPr>
        <w:t xml:space="preserve"> social constructions</w:t>
      </w:r>
      <w:r w:rsidRPr="008010B8">
        <w:rPr>
          <w:sz w:val="23"/>
          <w:szCs w:val="23"/>
        </w:rPr>
        <w:t xml:space="preserve"> </w:t>
      </w:r>
      <w:r>
        <w:rPr>
          <w:sz w:val="23"/>
          <w:szCs w:val="23"/>
        </w:rPr>
        <w:t>are</w:t>
      </w:r>
      <w:r w:rsidRPr="008010B8">
        <w:rPr>
          <w:sz w:val="23"/>
          <w:szCs w:val="23"/>
        </w:rPr>
        <w:t xml:space="preserve"> contingent – for example, on local, state, and political and cultural contexts </w:t>
      </w:r>
      <w:proofErr w:type="gramStart"/>
      <w:r w:rsidRPr="008010B8">
        <w:rPr>
          <w:sz w:val="23"/>
          <w:szCs w:val="23"/>
        </w:rPr>
        <w:t>and also</w:t>
      </w:r>
      <w:proofErr w:type="gramEnd"/>
      <w:r w:rsidRPr="008010B8">
        <w:rPr>
          <w:sz w:val="23"/>
          <w:szCs w:val="23"/>
        </w:rPr>
        <w:t xml:space="preserve"> the identity and ideology held by the ‘perceiver’ (Smith and Kreitzer 2018). Further, recent work demonstrates policymakers strategically differentiate </w:t>
      </w:r>
      <w:r w:rsidRPr="008010B8">
        <w:rPr>
          <w:i/>
          <w:iCs/>
          <w:sz w:val="23"/>
          <w:szCs w:val="23"/>
        </w:rPr>
        <w:t xml:space="preserve">within </w:t>
      </w:r>
      <w:r w:rsidRPr="008010B8">
        <w:rPr>
          <w:sz w:val="23"/>
          <w:szCs w:val="23"/>
        </w:rPr>
        <w:t xml:space="preserve">target populations, recognizing political expediency in providing benefits to some subsets and not to others. For example, Smith and Kreitzer (2018) show that </w:t>
      </w:r>
      <w:proofErr w:type="spellStart"/>
      <w:r w:rsidRPr="008010B8">
        <w:rPr>
          <w:sz w:val="23"/>
          <w:szCs w:val="23"/>
        </w:rPr>
        <w:t>DREAMers</w:t>
      </w:r>
      <w:proofErr w:type="spellEnd"/>
      <w:r w:rsidRPr="008010B8">
        <w:rPr>
          <w:sz w:val="23"/>
          <w:szCs w:val="23"/>
        </w:rPr>
        <w:t xml:space="preserve"> are constructed as more deserving than their parents, mirroring the DREAM Act’s protections of immigrant children, but not their parents. Criminal legal reform’s prioritization of drug offenses</w:t>
      </w:r>
      <w:r>
        <w:rPr>
          <w:sz w:val="23"/>
          <w:szCs w:val="23"/>
        </w:rPr>
        <w:t xml:space="preserve"> over violent crime, for instance,</w:t>
      </w:r>
      <w:r w:rsidRPr="008010B8">
        <w:rPr>
          <w:sz w:val="23"/>
          <w:szCs w:val="23"/>
        </w:rPr>
        <w:t xml:space="preserve"> may reflect similar </w:t>
      </w:r>
      <w:r>
        <w:rPr>
          <w:sz w:val="23"/>
          <w:szCs w:val="23"/>
        </w:rPr>
        <w:t>differentiation</w:t>
      </w:r>
      <w:r w:rsidRPr="008010B8">
        <w:rPr>
          <w:sz w:val="23"/>
          <w:szCs w:val="23"/>
        </w:rPr>
        <w:t xml:space="preserve">. </w:t>
      </w:r>
    </w:p>
    <w:p w14:paraId="7F4A35F1" w14:textId="77777777" w:rsidR="00691421" w:rsidRPr="008010B8" w:rsidRDefault="00691421" w:rsidP="00691421">
      <w:pPr>
        <w:spacing w:line="360" w:lineRule="auto"/>
        <w:rPr>
          <w:sz w:val="23"/>
          <w:szCs w:val="23"/>
        </w:rPr>
      </w:pPr>
    </w:p>
    <w:p w14:paraId="5D0467BE" w14:textId="77777777" w:rsidR="00691421" w:rsidRDefault="00691421" w:rsidP="00691421">
      <w:pPr>
        <w:spacing w:line="360" w:lineRule="auto"/>
        <w:rPr>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w:t>
      </w:r>
      <w:proofErr w:type="gramStart"/>
      <w:r w:rsidRPr="008010B8">
        <w:rPr>
          <w:sz w:val="23"/>
          <w:szCs w:val="23"/>
        </w:rPr>
        <w:t>free-riders</w:t>
      </w:r>
      <w:proofErr w:type="gramEnd"/>
      <w:r w:rsidRPr="008010B8">
        <w:rPr>
          <w:sz w:val="23"/>
          <w:szCs w:val="23"/>
        </w:rPr>
        <w:t>,” and was thus aimed at distinguishing between the two by quickly “pay[</w:t>
      </w:r>
      <w:proofErr w:type="spellStart"/>
      <w:r w:rsidRPr="008010B8">
        <w:rPr>
          <w:sz w:val="23"/>
          <w:szCs w:val="23"/>
        </w:rPr>
        <w:t>ing</w:t>
      </w:r>
      <w:proofErr w:type="spellEnd"/>
      <w:r w:rsidRPr="008010B8">
        <w:rPr>
          <w:sz w:val="23"/>
          <w:szCs w:val="23"/>
        </w:rPr>
        <w:t xml:space="preserve">] attention to whether welfare recipients are lazy or making an effort” (Petersen 2012, </w:t>
      </w:r>
      <w:proofErr w:type="spellStart"/>
      <w:r w:rsidRPr="008010B8">
        <w:rPr>
          <w:sz w:val="23"/>
          <w:szCs w:val="23"/>
        </w:rPr>
        <w:t>Aaroe</w:t>
      </w:r>
      <w:proofErr w:type="spellEnd"/>
      <w:r w:rsidRPr="008010B8">
        <w:rPr>
          <w:sz w:val="23"/>
          <w:szCs w:val="23"/>
        </w:rPr>
        <w:t xml:space="preserve"> and Petersen 2014). </w:t>
      </w:r>
    </w:p>
    <w:p w14:paraId="0D0CD458" w14:textId="77777777" w:rsidR="00691421" w:rsidRDefault="00691421" w:rsidP="00691421">
      <w:pPr>
        <w:spacing w:line="360" w:lineRule="auto"/>
        <w:rPr>
          <w:sz w:val="23"/>
          <w:szCs w:val="23"/>
        </w:rPr>
      </w:pPr>
    </w:p>
    <w:p w14:paraId="403AF229" w14:textId="77777777" w:rsidR="00691421" w:rsidRPr="008010B8" w:rsidRDefault="00691421" w:rsidP="00691421">
      <w:pPr>
        <w:spacing w:line="360" w:lineRule="auto"/>
        <w:rPr>
          <w:sz w:val="23"/>
          <w:szCs w:val="23"/>
        </w:rPr>
      </w:pPr>
      <w:r w:rsidRPr="008010B8">
        <w:rPr>
          <w:sz w:val="23"/>
          <w:szCs w:val="23"/>
        </w:rPr>
        <w:t xml:space="preserve">Five ‘CARIN’ </w:t>
      </w:r>
      <w:r>
        <w:rPr>
          <w:sz w:val="23"/>
          <w:szCs w:val="23"/>
        </w:rPr>
        <w:t>dimensions compose</w:t>
      </w:r>
      <w:r w:rsidRPr="008010B8">
        <w:rPr>
          <w:sz w:val="23"/>
          <w:szCs w:val="23"/>
        </w:rPr>
        <w:t xml:space="preserve"> these evaluations: </w:t>
      </w:r>
      <w:r w:rsidRPr="008010B8">
        <w:rPr>
          <w:i/>
          <w:iCs/>
          <w:sz w:val="23"/>
          <w:szCs w:val="23"/>
        </w:rPr>
        <w:t>control</w:t>
      </w:r>
      <w:r>
        <w:rPr>
          <w:i/>
          <w:iCs/>
          <w:sz w:val="23"/>
          <w:szCs w:val="23"/>
        </w:rPr>
        <w:t>,</w:t>
      </w:r>
      <w:r w:rsidRPr="008010B8">
        <w:rPr>
          <w:sz w:val="23"/>
          <w:szCs w:val="23"/>
        </w:rPr>
        <w:t xml:space="preserve"> in its original conception</w:t>
      </w:r>
      <w:r>
        <w:rPr>
          <w:sz w:val="23"/>
          <w:szCs w:val="23"/>
        </w:rPr>
        <w:t>,</w:t>
      </w:r>
      <w:r w:rsidRPr="008010B8">
        <w:rPr>
          <w:sz w:val="23"/>
          <w:szCs w:val="23"/>
        </w:rPr>
        <w:t xml:space="preserve">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the degree to which they are responsible (</w:t>
      </w:r>
      <w:proofErr w:type="spellStart"/>
      <w:r w:rsidRPr="008010B8">
        <w:rPr>
          <w:sz w:val="23"/>
          <w:szCs w:val="23"/>
        </w:rPr>
        <w:t>SoRelle</w:t>
      </w:r>
      <w:proofErr w:type="spellEnd"/>
      <w:r w:rsidRPr="008010B8">
        <w:rPr>
          <w:sz w:val="23"/>
          <w:szCs w:val="23"/>
        </w:rPr>
        <w:t xml:space="preserv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3068DF98" w14:textId="77777777" w:rsidR="00691421" w:rsidRPr="008010B8" w:rsidRDefault="00691421" w:rsidP="00691421">
      <w:pPr>
        <w:spacing w:line="360" w:lineRule="auto"/>
        <w:rPr>
          <w:sz w:val="23"/>
          <w:szCs w:val="23"/>
        </w:rPr>
      </w:pPr>
    </w:p>
    <w:p w14:paraId="425695BF" w14:textId="474DA68F" w:rsidR="00691421" w:rsidRDefault="00691421" w:rsidP="00691421">
      <w:pPr>
        <w:spacing w:line="360" w:lineRule="auto"/>
        <w:rPr>
          <w:sz w:val="23"/>
          <w:szCs w:val="23"/>
        </w:rPr>
      </w:pPr>
      <w:r>
        <w:rPr>
          <w:sz w:val="23"/>
          <w:szCs w:val="23"/>
        </w:rPr>
        <w:t>It</w:t>
      </w:r>
      <w:r w:rsidRPr="008010B8">
        <w:rPr>
          <w:sz w:val="23"/>
          <w:szCs w:val="23"/>
        </w:rPr>
        <w:t xml:space="preserve">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have found CARIN mechanisms are well supported in the context of healthcare, immigration, and student loan relief (Meuleman, </w:t>
      </w:r>
      <w:proofErr w:type="spellStart"/>
      <w:r w:rsidRPr="008010B8">
        <w:rPr>
          <w:sz w:val="23"/>
          <w:szCs w:val="23"/>
        </w:rPr>
        <w:t>Roosma</w:t>
      </w:r>
      <w:proofErr w:type="spellEnd"/>
      <w:r w:rsidRPr="008010B8">
        <w:rPr>
          <w:sz w:val="23"/>
          <w:szCs w:val="23"/>
        </w:rPr>
        <w:t>, and Abts 2020), these settings still are akin to perceptions of welfare des</w:t>
      </w:r>
      <w:r w:rsidR="00764F48">
        <w:rPr>
          <w:sz w:val="23"/>
          <w:szCs w:val="23"/>
        </w:rPr>
        <w:t>s</w:t>
      </w:r>
      <w:r w:rsidRPr="008010B8">
        <w:rPr>
          <w:sz w:val="23"/>
          <w:szCs w:val="23"/>
        </w:rPr>
        <w:t xml:space="preserve">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w:t>
      </w:r>
      <w:proofErr w:type="spellStart"/>
      <w:r w:rsidRPr="008010B8">
        <w:rPr>
          <w:sz w:val="23"/>
          <w:szCs w:val="23"/>
        </w:rPr>
        <w:t>SoRelle</w:t>
      </w:r>
      <w:proofErr w:type="spellEnd"/>
      <w:r w:rsidRPr="008010B8">
        <w:rPr>
          <w:sz w:val="23"/>
          <w:szCs w:val="23"/>
        </w:rPr>
        <w:t xml:space="preserve"> and Laws 2023) and of a more complicated ‘deviant’ power and feedback dynamics (Schneider and Ingram 2019). I take </w:t>
      </w:r>
      <w:r w:rsidRPr="008010B8">
        <w:rPr>
          <w:sz w:val="23"/>
          <w:szCs w:val="23"/>
        </w:rPr>
        <w:lastRenderedPageBreak/>
        <w:t>these findings and the ‘peculiarity’ of the carceral system within US democracy to suggest that, applied to carceral context, perceptions of deservingness and implications for policy may be fundamentally distinct.</w:t>
      </w:r>
    </w:p>
    <w:p w14:paraId="0EBB9DD3" w14:textId="77777777" w:rsidR="00691421" w:rsidRDefault="00691421" w:rsidP="00691421">
      <w:pPr>
        <w:spacing w:line="360" w:lineRule="auto"/>
        <w:rPr>
          <w:sz w:val="23"/>
          <w:szCs w:val="23"/>
        </w:rPr>
      </w:pPr>
    </w:p>
    <w:p w14:paraId="4EA26E89" w14:textId="77777777" w:rsidR="00691421" w:rsidRDefault="00691421" w:rsidP="00691421">
      <w:pPr>
        <w:spacing w:line="360" w:lineRule="auto"/>
        <w:rPr>
          <w:sz w:val="23"/>
          <w:szCs w:val="23"/>
        </w:rPr>
      </w:pPr>
      <w:r>
        <w:rPr>
          <w:sz w:val="23"/>
          <w:szCs w:val="23"/>
        </w:rPr>
        <w:t xml:space="preserve">In the next sections, I zoom out from the CARIN literature to examine key elements that may complicate the deservingness literature, but that also serve to inform my own expectations. First, the literature on affect, particularly as it relates to dehumanization and disgust, adds a needed dimension or layer to the five components understood to compose deservingness assessments. </w:t>
      </w:r>
      <w:r w:rsidRPr="00D317A6">
        <w:rPr>
          <w:sz w:val="23"/>
          <w:szCs w:val="23"/>
        </w:rPr>
        <w:t xml:space="preserve">Additionally, as previously noted, identity refers to </w:t>
      </w:r>
      <w:r w:rsidRPr="005D5C09">
        <w:rPr>
          <w:sz w:val="23"/>
          <w:szCs w:val="23"/>
        </w:rPr>
        <w:t>the proximity to or alignment with one’s own</w:t>
      </w:r>
      <w:r w:rsidRPr="00D317A6">
        <w:rPr>
          <w:sz w:val="23"/>
          <w:szCs w:val="23"/>
        </w:rPr>
        <w:t>,</w:t>
      </w:r>
      <w:r w:rsidRPr="000E7B35">
        <w:rPr>
          <w:sz w:val="23"/>
          <w:szCs w:val="23"/>
        </w:rPr>
        <w:t xml:space="preserve"> but there are </w:t>
      </w:r>
      <w:r>
        <w:rPr>
          <w:sz w:val="23"/>
          <w:szCs w:val="23"/>
        </w:rPr>
        <w:t xml:space="preserve">at two </w:t>
      </w:r>
      <w:r w:rsidRPr="000E7B35">
        <w:rPr>
          <w:sz w:val="23"/>
          <w:szCs w:val="23"/>
        </w:rPr>
        <w:t xml:space="preserve">complicating factors with regards to identity. </w:t>
      </w:r>
    </w:p>
    <w:p w14:paraId="4877512A" w14:textId="77777777" w:rsidR="00691421" w:rsidRDefault="00691421" w:rsidP="00691421">
      <w:pPr>
        <w:spacing w:line="360" w:lineRule="auto"/>
        <w:rPr>
          <w:sz w:val="23"/>
          <w:szCs w:val="23"/>
        </w:rPr>
      </w:pPr>
    </w:p>
    <w:p w14:paraId="24719878" w14:textId="6816E507" w:rsidR="00691421" w:rsidRDefault="00691421" w:rsidP="00691421">
      <w:pPr>
        <w:spacing w:line="360" w:lineRule="auto"/>
        <w:rPr>
          <w:sz w:val="23"/>
          <w:szCs w:val="23"/>
        </w:rPr>
      </w:pPr>
      <w:r w:rsidRPr="000E7B35">
        <w:rPr>
          <w:sz w:val="23"/>
          <w:szCs w:val="23"/>
        </w:rPr>
        <w:t>First, no group is homogenous. Consequently, even as people evaluate groups, there are subsets of a group, which may be more aligned with one’s on than other subsets of the group.</w:t>
      </w:r>
      <w:r>
        <w:rPr>
          <w:sz w:val="23"/>
          <w:szCs w:val="23"/>
        </w:rPr>
        <w:t xml:space="preserve"> Second, identities operate differently in differently policy contexts. That is, both a </w:t>
      </w:r>
      <w:proofErr w:type="gramStart"/>
      <w:r>
        <w:rPr>
          <w:sz w:val="23"/>
          <w:szCs w:val="23"/>
        </w:rPr>
        <w:t>target’s</w:t>
      </w:r>
      <w:proofErr w:type="gramEnd"/>
      <w:r>
        <w:rPr>
          <w:sz w:val="23"/>
          <w:szCs w:val="23"/>
        </w:rPr>
        <w:t xml:space="preserve"> and “evaluators’” own identity might mean different things depending on the policy in question, </w:t>
      </w:r>
      <w:r w:rsidR="003225BA">
        <w:rPr>
          <w:sz w:val="23"/>
          <w:szCs w:val="23"/>
        </w:rPr>
        <w:t>and</w:t>
      </w:r>
      <w:r>
        <w:rPr>
          <w:sz w:val="23"/>
          <w:szCs w:val="23"/>
        </w:rPr>
        <w:t xml:space="preserve"> in relation to one another. For example, one might perceive a carceral citizen in another state as deserving of parole, but an incarcerated person in one’s own county as undeserving. Third</w:t>
      </w:r>
      <w:r w:rsidRPr="000E7B35">
        <w:rPr>
          <w:sz w:val="23"/>
          <w:szCs w:val="23"/>
        </w:rPr>
        <w:t xml:space="preserve">, within the context of the United States, race is not only an identity but an organizing mechanism of society; as such, the dynamics of race and racism, must be called to special attention. </w:t>
      </w:r>
      <w:r>
        <w:rPr>
          <w:sz w:val="23"/>
          <w:szCs w:val="23"/>
        </w:rPr>
        <w:t xml:space="preserve">As an organizing identity, race also shapes dynamics of policy contexts. Finally, CARIN is assessed in a rather abstract way; the policy context that people are making assessments </w:t>
      </w:r>
      <w:r w:rsidR="009F2F63">
        <w:rPr>
          <w:sz w:val="23"/>
          <w:szCs w:val="23"/>
        </w:rPr>
        <w:t xml:space="preserve">within </w:t>
      </w:r>
      <w:r>
        <w:rPr>
          <w:sz w:val="23"/>
          <w:szCs w:val="23"/>
        </w:rPr>
        <w:t>is likely to influence the way people evaluate CARIN. I address insights from a wider array of literatures, which enrich the theory and hypotheses I offer here.</w:t>
      </w:r>
    </w:p>
    <w:p w14:paraId="34F2EFC3" w14:textId="77777777" w:rsidR="00691421" w:rsidRDefault="00691421" w:rsidP="00691421">
      <w:pPr>
        <w:spacing w:line="360" w:lineRule="auto"/>
        <w:rPr>
          <w:sz w:val="23"/>
          <w:szCs w:val="23"/>
        </w:rPr>
      </w:pPr>
    </w:p>
    <w:p w14:paraId="66E4E035" w14:textId="77777777" w:rsidR="00691421" w:rsidRPr="005D5C09" w:rsidRDefault="00691421" w:rsidP="00691421">
      <w:pPr>
        <w:spacing w:line="360" w:lineRule="auto"/>
        <w:rPr>
          <w:b/>
          <w:bCs/>
          <w:sz w:val="23"/>
          <w:szCs w:val="23"/>
        </w:rPr>
      </w:pPr>
      <w:r w:rsidRPr="005D5C09">
        <w:rPr>
          <w:b/>
          <w:bCs/>
          <w:sz w:val="23"/>
          <w:szCs w:val="23"/>
        </w:rPr>
        <w:t>Affect &amp; Dehumanization</w:t>
      </w:r>
    </w:p>
    <w:p w14:paraId="757A3F52" w14:textId="77777777" w:rsidR="00691421" w:rsidRDefault="00691421" w:rsidP="00691421">
      <w:pPr>
        <w:spacing w:line="360" w:lineRule="auto"/>
        <w:rPr>
          <w:sz w:val="23"/>
          <w:szCs w:val="23"/>
        </w:rPr>
      </w:pPr>
      <w:r>
        <w:rPr>
          <w:sz w:val="23"/>
          <w:szCs w:val="23"/>
        </w:rPr>
        <w:t xml:space="preserve">Affect – emotional valence – shapes political judgements (Lodge and Taber 2013) and views about what groups deserve (Fiske, Cuddy, Glick &amp; Xu 2002, Glick and Fiske 1996). Kahneman (2011) frames this readiness of emotional disposition towards an object to both shape and justify opinions as the “affect heuristic” (139), and notes that it is especially pronounced in complicated policy domains, where “the answer to an easy question (How do I feel about it?) serves as an answer to a much harder question (What do I think about it)?” </w:t>
      </w:r>
    </w:p>
    <w:p w14:paraId="6DDC2678" w14:textId="77777777" w:rsidR="00691421" w:rsidRDefault="00691421" w:rsidP="00691421">
      <w:pPr>
        <w:spacing w:line="360" w:lineRule="auto"/>
        <w:rPr>
          <w:sz w:val="23"/>
          <w:szCs w:val="23"/>
        </w:rPr>
      </w:pPr>
    </w:p>
    <w:p w14:paraId="31BCC933" w14:textId="77777777" w:rsidR="00691421" w:rsidRDefault="00691421" w:rsidP="00691421">
      <w:pPr>
        <w:spacing w:line="360" w:lineRule="auto"/>
        <w:rPr>
          <w:sz w:val="23"/>
          <w:szCs w:val="23"/>
        </w:rPr>
      </w:pPr>
      <w:r>
        <w:rPr>
          <w:sz w:val="23"/>
          <w:szCs w:val="23"/>
        </w:rPr>
        <w:lastRenderedPageBreak/>
        <w:t xml:space="preserve">Where various emotions are important in shaping perceptions of </w:t>
      </w:r>
      <w:r w:rsidRPr="008010B8">
        <w:rPr>
          <w:sz w:val="23"/>
          <w:szCs w:val="23"/>
        </w:rPr>
        <w:t>welfare beneficiary deservingness</w:t>
      </w:r>
      <w:r>
        <w:rPr>
          <w:sz w:val="23"/>
          <w:szCs w:val="23"/>
        </w:rPr>
        <w:t xml:space="preserve"> – a process rooted in </w:t>
      </w:r>
      <w:r w:rsidRPr="008010B8">
        <w:rPr>
          <w:sz w:val="23"/>
          <w:szCs w:val="23"/>
        </w:rPr>
        <w:t xml:space="preserve"> the evolutionary impulse to help reciprocators and avoid cheaters – or differentiate between the two</w:t>
      </w:r>
      <w:r>
        <w:rPr>
          <w:sz w:val="23"/>
          <w:szCs w:val="23"/>
        </w:rPr>
        <w:t xml:space="preserve"> (Feather 2009), disgust appears to be particularly salient in contexts like immigration or interactions with strangers, where perceptions of deservingness could hinge on, and justifications for deservingness judgements can leverage, claims about personal safety (Petersen 2017). </w:t>
      </w:r>
    </w:p>
    <w:p w14:paraId="327F69E4" w14:textId="77777777" w:rsidR="00691421" w:rsidRDefault="00691421" w:rsidP="00691421">
      <w:pPr>
        <w:spacing w:line="360" w:lineRule="auto"/>
        <w:rPr>
          <w:sz w:val="23"/>
          <w:szCs w:val="23"/>
        </w:rPr>
      </w:pPr>
    </w:p>
    <w:p w14:paraId="5D0E2ACA" w14:textId="77777777" w:rsidR="00691421" w:rsidRDefault="00691421" w:rsidP="00691421">
      <w:pPr>
        <w:spacing w:line="360" w:lineRule="auto"/>
        <w:rPr>
          <w:sz w:val="23"/>
          <w:szCs w:val="23"/>
        </w:rPr>
      </w:pPr>
      <w:r w:rsidRPr="008010B8">
        <w:rPr>
          <w:sz w:val="23"/>
          <w:szCs w:val="23"/>
        </w:rPr>
        <w:t xml:space="preserve">The evolutionary roots of this process </w:t>
      </w:r>
      <w:r>
        <w:rPr>
          <w:sz w:val="23"/>
          <w:szCs w:val="23"/>
        </w:rPr>
        <w:t>suggest</w:t>
      </w:r>
      <w:r w:rsidRPr="008010B8">
        <w:rPr>
          <w:sz w:val="23"/>
          <w:szCs w:val="23"/>
        </w:rPr>
        <w:t xml:space="preserve"> its salience</w:t>
      </w:r>
      <w:r>
        <w:rPr>
          <w:sz w:val="23"/>
          <w:szCs w:val="23"/>
        </w:rPr>
        <w:t xml:space="preserve">. </w:t>
      </w:r>
      <w:r w:rsidRPr="008010B8">
        <w:rPr>
          <w:sz w:val="23"/>
          <w:szCs w:val="23"/>
        </w:rPr>
        <w:t>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Pr>
          <w:sz w:val="23"/>
          <w:szCs w:val="23"/>
        </w:rPr>
        <w:t xml:space="preserve"> These claims and cues about moral character generate disgust on their own, which trigger a self-reinforcing relationship between disgust</w:t>
      </w:r>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w:t>
      </w:r>
      <w:r>
        <w:rPr>
          <w:sz w:val="23"/>
          <w:szCs w:val="23"/>
        </w:rPr>
        <w:t>”</w:t>
      </w:r>
      <w:r w:rsidRPr="008010B8">
        <w:rPr>
          <w:sz w:val="23"/>
          <w:szCs w:val="23"/>
        </w:rPr>
        <w:t xml:space="preserve"> (</w:t>
      </w:r>
      <w:proofErr w:type="spellStart"/>
      <w:r w:rsidRPr="008010B8">
        <w:rPr>
          <w:sz w:val="23"/>
          <w:szCs w:val="23"/>
        </w:rPr>
        <w:t>Buckels</w:t>
      </w:r>
      <w:proofErr w:type="spellEnd"/>
      <w:r w:rsidRPr="008010B8">
        <w:rPr>
          <w:sz w:val="23"/>
          <w:szCs w:val="23"/>
        </w:rPr>
        <w:t xml:space="preserve"> and </w:t>
      </w:r>
      <w:proofErr w:type="spellStart"/>
      <w:r w:rsidRPr="008010B8">
        <w:rPr>
          <w:sz w:val="23"/>
          <w:szCs w:val="23"/>
        </w:rPr>
        <w:t>Trapnell</w:t>
      </w:r>
      <w:proofErr w:type="spellEnd"/>
      <w:r w:rsidRPr="008010B8">
        <w:rPr>
          <w:sz w:val="23"/>
          <w:szCs w:val="23"/>
        </w:rPr>
        <w:t xml:space="preserve"> 2013) </w:t>
      </w:r>
      <w:r>
        <w:rPr>
          <w:sz w:val="23"/>
          <w:szCs w:val="23"/>
        </w:rPr>
        <w:t xml:space="preserve">-- </w:t>
      </w:r>
      <w:r w:rsidRPr="008010B8">
        <w:rPr>
          <w:sz w:val="23"/>
          <w:szCs w:val="23"/>
        </w:rPr>
        <w:t xml:space="preserve">and dehumanization, which </w:t>
      </w:r>
      <w:r>
        <w:rPr>
          <w:sz w:val="23"/>
          <w:szCs w:val="23"/>
        </w:rPr>
        <w:t xml:space="preserve">further </w:t>
      </w:r>
      <w:r w:rsidRPr="008010B8">
        <w:rPr>
          <w:sz w:val="23"/>
          <w:szCs w:val="23"/>
        </w:rPr>
        <w:t>intensifies disgust (Fincher and Tetlock 2016)</w:t>
      </w:r>
    </w:p>
    <w:p w14:paraId="038C74DB" w14:textId="77777777" w:rsidR="00691421" w:rsidRDefault="00691421" w:rsidP="00691421">
      <w:pPr>
        <w:spacing w:line="360" w:lineRule="auto"/>
        <w:rPr>
          <w:sz w:val="23"/>
          <w:szCs w:val="23"/>
        </w:rPr>
      </w:pPr>
    </w:p>
    <w:p w14:paraId="3E6BB77F" w14:textId="240C2A11" w:rsidR="00691421" w:rsidRDefault="00691421" w:rsidP="00691421">
      <w:pPr>
        <w:spacing w:line="360" w:lineRule="auto"/>
        <w:rPr>
          <w:sz w:val="23"/>
          <w:szCs w:val="23"/>
        </w:rPr>
      </w:pPr>
      <w:r>
        <w:rPr>
          <w:sz w:val="23"/>
          <w:szCs w:val="23"/>
        </w:rPr>
        <w:t>Disgust and dehumanization appear to change how groups are perceived in both broader and specific ways than in terms of moral character. Dehumanized groups are viewed as belonging to a different moral category, or “outside the boundary in which moral values, rules, and considerations of fairness apply” (</w:t>
      </w:r>
      <w:proofErr w:type="spellStart"/>
      <w:r>
        <w:rPr>
          <w:sz w:val="23"/>
          <w:szCs w:val="23"/>
        </w:rPr>
        <w:t>Opotow</w:t>
      </w:r>
      <w:proofErr w:type="spellEnd"/>
      <w:r>
        <w:rPr>
          <w:sz w:val="23"/>
          <w:szCs w:val="23"/>
        </w:rPr>
        <w:t xml:space="preserve"> 1990, 1, Bar-Tal 1989).  This is clearly illustrated in the context of mass violence (Kelman 197</w:t>
      </w:r>
      <w:r w:rsidR="00D80F00">
        <w:rPr>
          <w:sz w:val="23"/>
          <w:szCs w:val="23"/>
        </w:rPr>
        <w:t>6</w:t>
      </w:r>
      <w:r>
        <w:rPr>
          <w:sz w:val="23"/>
          <w:szCs w:val="23"/>
        </w:rPr>
        <w:t xml:space="preserve">, Staub 1989). Mechanistically, Harris and Fiske (2006) find in a neuroimaging study that people do not perceive and think about individuals who are dehumanized, or “extreme out-groups” as they would otherwise, and instead primarily neurologically react with disgust; this is particularly true when prompted with Black rather than white individuals as cues. Further, dehumanization and disgust can both produce </w:t>
      </w:r>
      <w:r w:rsidRPr="005D5C09">
        <w:rPr>
          <w:i/>
          <w:iCs/>
          <w:sz w:val="23"/>
          <w:szCs w:val="23"/>
        </w:rPr>
        <w:t>specific</w:t>
      </w:r>
      <w:r>
        <w:rPr>
          <w:sz w:val="23"/>
          <w:szCs w:val="23"/>
        </w:rPr>
        <w:t xml:space="preserve"> assumptions about the traits of targets, including higher levels of aggression </w:t>
      </w:r>
      <w:r w:rsidRPr="008010B8">
        <w:rPr>
          <w:sz w:val="23"/>
          <w:szCs w:val="23"/>
        </w:rPr>
        <w:t>(Rozin et al 2008), incompetence,</w:t>
      </w:r>
      <w:r>
        <w:rPr>
          <w:sz w:val="23"/>
          <w:szCs w:val="23"/>
        </w:rPr>
        <w:t xml:space="preserve"> and</w:t>
      </w:r>
      <w:r w:rsidRPr="008010B8">
        <w:rPr>
          <w:sz w:val="23"/>
          <w:szCs w:val="23"/>
        </w:rPr>
        <w:t xml:space="preserve"> coldness (Fiske, Cuddy, </w:t>
      </w:r>
      <w:proofErr w:type="spellStart"/>
      <w:r w:rsidRPr="008010B8">
        <w:rPr>
          <w:sz w:val="23"/>
          <w:szCs w:val="23"/>
        </w:rPr>
        <w:t>Glix</w:t>
      </w:r>
      <w:proofErr w:type="spellEnd"/>
      <w:r w:rsidRPr="008010B8">
        <w:rPr>
          <w:sz w:val="23"/>
          <w:szCs w:val="23"/>
        </w:rPr>
        <w:t xml:space="preserve"> and Xu 2002).</w:t>
      </w:r>
      <w:r>
        <w:rPr>
          <w:sz w:val="23"/>
          <w:szCs w:val="23"/>
        </w:rPr>
        <w:t xml:space="preserve"> Whether automatically or deliberately, affect can strengthen or validate already-held prejudicial views (Harris and Fiske 2006), implicit biases (</w:t>
      </w:r>
      <w:r w:rsidRPr="008010B8">
        <w:rPr>
          <w:sz w:val="23"/>
          <w:szCs w:val="23"/>
        </w:rPr>
        <w:t>Dasgupta, DeSteno, Williams and Hunsinger 2009</w:t>
      </w:r>
      <w:r>
        <w:rPr>
          <w:sz w:val="23"/>
          <w:szCs w:val="23"/>
        </w:rPr>
        <w:t>).</w:t>
      </w:r>
    </w:p>
    <w:p w14:paraId="456B56FB" w14:textId="77777777" w:rsidR="00691421" w:rsidRDefault="00691421" w:rsidP="00691421">
      <w:pPr>
        <w:spacing w:line="360" w:lineRule="auto"/>
        <w:rPr>
          <w:sz w:val="23"/>
          <w:szCs w:val="23"/>
        </w:rPr>
      </w:pPr>
    </w:p>
    <w:p w14:paraId="41F4BED7" w14:textId="04030568" w:rsidR="00691421" w:rsidRDefault="00691421" w:rsidP="00691421">
      <w:pPr>
        <w:spacing w:line="360" w:lineRule="auto"/>
        <w:rPr>
          <w:sz w:val="23"/>
          <w:szCs w:val="23"/>
        </w:rPr>
      </w:pPr>
      <w:r>
        <w:rPr>
          <w:sz w:val="23"/>
          <w:szCs w:val="23"/>
        </w:rPr>
        <w:lastRenderedPageBreak/>
        <w:t>In turn, dehumanization and disgust both enable toleration by evaluators of treatment towards the target group they otherwise would not (</w:t>
      </w:r>
      <w:r w:rsidRPr="008010B8">
        <w:rPr>
          <w:sz w:val="23"/>
          <w:szCs w:val="23"/>
        </w:rPr>
        <w:t xml:space="preserve">Bain, Vaes, and Phil 2024, </w:t>
      </w:r>
      <w:proofErr w:type="spellStart"/>
      <w:r w:rsidRPr="008010B8">
        <w:rPr>
          <w:sz w:val="23"/>
          <w:szCs w:val="23"/>
        </w:rPr>
        <w:t>Ellemers</w:t>
      </w:r>
      <w:proofErr w:type="spellEnd"/>
      <w:r w:rsidRPr="008010B8">
        <w:rPr>
          <w:sz w:val="23"/>
          <w:szCs w:val="23"/>
        </w:rPr>
        <w:t xml:space="preserve"> 2017</w:t>
      </w:r>
      <w:r>
        <w:rPr>
          <w:sz w:val="23"/>
          <w:szCs w:val="23"/>
        </w:rPr>
        <w:t>). This affect actively generates aggressive behavior and punitiveness, particularly in the US to racial minorities (Bandura</w:t>
      </w:r>
      <w:r w:rsidR="006B02E9">
        <w:rPr>
          <w:sz w:val="23"/>
          <w:szCs w:val="23"/>
        </w:rPr>
        <w:t>, Underwood, and Fromson</w:t>
      </w:r>
      <w:r>
        <w:rPr>
          <w:sz w:val="23"/>
          <w:szCs w:val="23"/>
        </w:rPr>
        <w:t xml:space="preserve"> 1975, </w:t>
      </w:r>
      <w:r w:rsidR="006B02E9">
        <w:rPr>
          <w:sz w:val="23"/>
          <w:szCs w:val="23"/>
        </w:rPr>
        <w:t xml:space="preserve">Bandura </w:t>
      </w:r>
      <w:r>
        <w:rPr>
          <w:sz w:val="23"/>
          <w:szCs w:val="23"/>
        </w:rPr>
        <w:t xml:space="preserve">1999, </w:t>
      </w:r>
      <w:proofErr w:type="spellStart"/>
      <w:r>
        <w:rPr>
          <w:sz w:val="23"/>
          <w:szCs w:val="23"/>
        </w:rPr>
        <w:t>Kteily</w:t>
      </w:r>
      <w:proofErr w:type="spellEnd"/>
      <w:r>
        <w:rPr>
          <w:sz w:val="23"/>
          <w:szCs w:val="23"/>
        </w:rPr>
        <w:t xml:space="preserve"> and Bruneau 2017). </w:t>
      </w:r>
      <w:r w:rsidRPr="008010B8">
        <w:rPr>
          <w:sz w:val="23"/>
          <w:szCs w:val="23"/>
        </w:rPr>
        <w:t>Coupled with cultural conditioning, disgust motivates people to attribute blame to moral character akin to Kant’s (1790) “internal wickedness” (Nisbett and Ross 1980</w:t>
      </w:r>
      <w:r w:rsidR="00267BFB">
        <w:rPr>
          <w:sz w:val="23"/>
          <w:szCs w:val="23"/>
        </w:rPr>
        <w:t>, Jones and Fitness 2008, Stevenson et al 2015</w:t>
      </w:r>
      <w:r w:rsidRPr="008010B8">
        <w:rPr>
          <w:sz w:val="23"/>
          <w:szCs w:val="23"/>
        </w:rPr>
        <w:t xml:space="preserve">). This </w:t>
      </w:r>
      <w:r>
        <w:rPr>
          <w:sz w:val="23"/>
          <w:szCs w:val="23"/>
        </w:rPr>
        <w:t xml:space="preserve">tendency in criminal legal contexts is especially </w:t>
      </w:r>
      <w:r w:rsidRPr="008010B8">
        <w:rPr>
          <w:sz w:val="23"/>
          <w:szCs w:val="23"/>
        </w:rPr>
        <w:t>well-established</w:t>
      </w:r>
      <w:r>
        <w:rPr>
          <w:sz w:val="23"/>
          <w:szCs w:val="23"/>
        </w:rPr>
        <w:t>:</w:t>
      </w:r>
      <w:r w:rsidRPr="008010B8">
        <w:rPr>
          <w:sz w:val="23"/>
          <w:szCs w:val="23"/>
        </w:rPr>
        <w:t xml:space="preserve"> overassessment of individual culpability and purposeful harm, or </w:t>
      </w:r>
      <w:proofErr w:type="spellStart"/>
      <w:r w:rsidRPr="008010B8">
        <w:rPr>
          <w:i/>
          <w:iCs/>
          <w:sz w:val="23"/>
          <w:szCs w:val="23"/>
        </w:rPr>
        <w:t>mens</w:t>
      </w:r>
      <w:proofErr w:type="spellEnd"/>
      <w:r w:rsidRPr="008010B8">
        <w:rPr>
          <w:i/>
          <w:iCs/>
          <w:sz w:val="23"/>
          <w:szCs w:val="23"/>
        </w:rPr>
        <w:t xml:space="preserve"> rea</w:t>
      </w:r>
      <w:r w:rsidRPr="008010B8">
        <w:rPr>
          <w:sz w:val="23"/>
          <w:szCs w:val="23"/>
        </w:rPr>
        <w:t xml:space="preserve"> in court contexts, appears not just among survey participants (Shen et al 2011) but also among jurists (Severance and Loftus 1982) and trial judges (</w:t>
      </w:r>
      <w:proofErr w:type="spellStart"/>
      <w:r w:rsidRPr="008010B8">
        <w:rPr>
          <w:sz w:val="23"/>
          <w:szCs w:val="23"/>
        </w:rPr>
        <w:t>Fondacaro</w:t>
      </w:r>
      <w:proofErr w:type="spellEnd"/>
      <w:r w:rsidRPr="008010B8">
        <w:rPr>
          <w:sz w:val="23"/>
          <w:szCs w:val="23"/>
        </w:rPr>
        <w:t xml:space="preserve"> and O’Toole 2015). </w:t>
      </w:r>
    </w:p>
    <w:p w14:paraId="654A07E8" w14:textId="77777777" w:rsidR="00691421" w:rsidRDefault="00691421" w:rsidP="00691421">
      <w:pPr>
        <w:spacing w:line="360" w:lineRule="auto"/>
        <w:rPr>
          <w:sz w:val="23"/>
          <w:szCs w:val="23"/>
        </w:rPr>
      </w:pPr>
    </w:p>
    <w:p w14:paraId="641E4C42" w14:textId="28FB6C98" w:rsidR="00691421" w:rsidRDefault="00691421" w:rsidP="00691421">
      <w:pPr>
        <w:spacing w:line="360" w:lineRule="auto"/>
        <w:rPr>
          <w:sz w:val="23"/>
          <w:szCs w:val="23"/>
        </w:rPr>
      </w:pPr>
      <w:r>
        <w:rPr>
          <w:sz w:val="23"/>
          <w:szCs w:val="23"/>
        </w:rPr>
        <w:t xml:space="preserve">Such outcomes are products, in part, of disgust’s ability to </w:t>
      </w:r>
      <w:r w:rsidRPr="008010B8">
        <w:rPr>
          <w:sz w:val="23"/>
          <w:szCs w:val="23"/>
        </w:rPr>
        <w:t>inhibit or constrain subsequent deliberative processes (</w:t>
      </w:r>
      <w:proofErr w:type="spellStart"/>
      <w:r w:rsidRPr="008010B8">
        <w:rPr>
          <w:sz w:val="23"/>
          <w:szCs w:val="23"/>
        </w:rPr>
        <w:t>Carlsmith</w:t>
      </w:r>
      <w:proofErr w:type="spellEnd"/>
      <w:r w:rsidRPr="008010B8">
        <w:rPr>
          <w:sz w:val="23"/>
          <w:szCs w:val="23"/>
        </w:rPr>
        <w:t xml:space="preserve"> and Darley 2008</w:t>
      </w:r>
      <w:r>
        <w:rPr>
          <w:sz w:val="23"/>
          <w:szCs w:val="23"/>
        </w:rPr>
        <w:t xml:space="preserve">, </w:t>
      </w:r>
      <w:r w:rsidRPr="008010B8">
        <w:rPr>
          <w:sz w:val="23"/>
          <w:szCs w:val="23"/>
        </w:rPr>
        <w:t xml:space="preserve">Petersen 2014) and make people </w:t>
      </w:r>
      <w:r>
        <w:rPr>
          <w:sz w:val="23"/>
          <w:szCs w:val="23"/>
        </w:rPr>
        <w:t xml:space="preserve">either </w:t>
      </w:r>
      <w:r w:rsidRPr="008010B8">
        <w:rPr>
          <w:sz w:val="23"/>
          <w:szCs w:val="23"/>
        </w:rPr>
        <w:t>uninterested in or override mitigating information (Fincher and Tetlock 2016, Nisbett and Ross 1980)</w:t>
      </w:r>
      <w:r>
        <w:rPr>
          <w:sz w:val="23"/>
          <w:szCs w:val="23"/>
        </w:rPr>
        <w:t xml:space="preserve"> --</w:t>
      </w:r>
      <w:r w:rsidRPr="008010B8">
        <w:rPr>
          <w:sz w:val="23"/>
          <w:szCs w:val="23"/>
        </w:rPr>
        <w:t xml:space="preserve"> particularly </w:t>
      </w:r>
      <w:r>
        <w:rPr>
          <w:sz w:val="23"/>
          <w:szCs w:val="23"/>
        </w:rPr>
        <w:t xml:space="preserve">information </w:t>
      </w:r>
      <w:r w:rsidRPr="008010B8">
        <w:rPr>
          <w:sz w:val="23"/>
          <w:szCs w:val="23"/>
        </w:rPr>
        <w:t xml:space="preserve">that challenges already </w:t>
      </w:r>
      <w:r>
        <w:rPr>
          <w:sz w:val="23"/>
          <w:szCs w:val="23"/>
        </w:rPr>
        <w:t>established</w:t>
      </w:r>
      <w:r w:rsidRPr="008010B8">
        <w:rPr>
          <w:sz w:val="23"/>
          <w:szCs w:val="23"/>
        </w:rPr>
        <w:t xml:space="preserve"> beliefs (Bishop</w:t>
      </w:r>
      <w:r w:rsidR="00061F5F">
        <w:rPr>
          <w:sz w:val="23"/>
          <w:szCs w:val="23"/>
        </w:rPr>
        <w:t xml:space="preserve"> and Cushing</w:t>
      </w:r>
      <w:r w:rsidRPr="008010B8">
        <w:rPr>
          <w:sz w:val="23"/>
          <w:szCs w:val="23"/>
        </w:rPr>
        <w:t xml:space="preserve"> 2009). </w:t>
      </w:r>
      <w:r>
        <w:rPr>
          <w:sz w:val="23"/>
          <w:szCs w:val="23"/>
        </w:rPr>
        <w:t xml:space="preserve">Further, </w:t>
      </w:r>
      <w:r w:rsidRPr="008010B8">
        <w:rPr>
          <w:sz w:val="23"/>
          <w:szCs w:val="23"/>
        </w:rPr>
        <w:t>disgust and dehumanization can prompt feelings of moral superiority</w:t>
      </w:r>
      <w:r>
        <w:rPr>
          <w:sz w:val="23"/>
          <w:szCs w:val="23"/>
        </w:rPr>
        <w:t xml:space="preserve"> for the perceiver</w:t>
      </w:r>
      <w:r w:rsidRPr="008010B8">
        <w:rPr>
          <w:sz w:val="23"/>
          <w:szCs w:val="23"/>
        </w:rPr>
        <w:t xml:space="preserve"> (Pizarro Detweiler-Bedell and Bloom 2006), and the punitive impulse </w:t>
      </w:r>
      <w:r>
        <w:rPr>
          <w:sz w:val="23"/>
          <w:szCs w:val="23"/>
        </w:rPr>
        <w:t>appears to be</w:t>
      </w:r>
      <w:r w:rsidRPr="008010B8">
        <w:rPr>
          <w:sz w:val="23"/>
          <w:szCs w:val="23"/>
        </w:rPr>
        <w:t xml:space="preserve"> psychological</w:t>
      </w:r>
      <w:r>
        <w:rPr>
          <w:sz w:val="23"/>
          <w:szCs w:val="23"/>
        </w:rPr>
        <w:t xml:space="preserve">ly rewarding </w:t>
      </w:r>
      <w:r w:rsidRPr="008010B8">
        <w:rPr>
          <w:sz w:val="23"/>
          <w:szCs w:val="23"/>
        </w:rPr>
        <w:t>(</w:t>
      </w:r>
      <w:proofErr w:type="spellStart"/>
      <w:r w:rsidRPr="008010B8">
        <w:rPr>
          <w:sz w:val="23"/>
          <w:szCs w:val="23"/>
        </w:rPr>
        <w:t>Ellemers</w:t>
      </w:r>
      <w:proofErr w:type="spellEnd"/>
      <w:r w:rsidRPr="008010B8">
        <w:rPr>
          <w:sz w:val="23"/>
          <w:szCs w:val="23"/>
        </w:rPr>
        <w:t xml:space="preserve"> 2017, Tajfel and Turner 1979).</w:t>
      </w:r>
    </w:p>
    <w:p w14:paraId="79607F47" w14:textId="77777777" w:rsidR="00691421" w:rsidRDefault="00691421" w:rsidP="00691421">
      <w:pPr>
        <w:spacing w:line="360" w:lineRule="auto"/>
        <w:rPr>
          <w:sz w:val="23"/>
          <w:szCs w:val="23"/>
        </w:rPr>
      </w:pPr>
    </w:p>
    <w:p w14:paraId="5BB0AA6D" w14:textId="77777777" w:rsidR="00721902" w:rsidRDefault="00691421" w:rsidP="00691421">
      <w:pPr>
        <w:spacing w:line="360" w:lineRule="auto"/>
        <w:rPr>
          <w:b/>
          <w:bCs/>
          <w:sz w:val="23"/>
          <w:szCs w:val="23"/>
        </w:rPr>
      </w:pPr>
      <w:proofErr w:type="spellStart"/>
      <w:r w:rsidRPr="005D5C09">
        <w:rPr>
          <w:b/>
          <w:bCs/>
          <w:sz w:val="23"/>
          <w:szCs w:val="23"/>
        </w:rPr>
        <w:t>Subsetting</w:t>
      </w:r>
      <w:proofErr w:type="spellEnd"/>
      <w:r w:rsidRPr="005D5C09">
        <w:rPr>
          <w:b/>
          <w:bCs/>
          <w:sz w:val="23"/>
          <w:szCs w:val="23"/>
        </w:rPr>
        <w:t xml:space="preserve"> Identities</w:t>
      </w:r>
      <w:r w:rsidR="00721902">
        <w:rPr>
          <w:b/>
          <w:bCs/>
          <w:sz w:val="23"/>
          <w:szCs w:val="23"/>
        </w:rPr>
        <w:t xml:space="preserve"> </w:t>
      </w:r>
    </w:p>
    <w:p w14:paraId="05FFB7F0" w14:textId="4C873710" w:rsidR="00691421" w:rsidRPr="00935A74" w:rsidRDefault="00691421" w:rsidP="00691421">
      <w:pPr>
        <w:spacing w:line="360" w:lineRule="auto"/>
        <w:rPr>
          <w:i/>
          <w:iCs/>
          <w:sz w:val="23"/>
          <w:szCs w:val="23"/>
        </w:rPr>
      </w:pPr>
      <w:r>
        <w:rPr>
          <w:sz w:val="23"/>
          <w:szCs w:val="23"/>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of “groups within groups,” or subsets of groups. For instance, private school teachers, public high school teachers, and special education teachers may be assessed differently. Still more, policy discourse often frames subgroups differently. </w:t>
      </w:r>
    </w:p>
    <w:p w14:paraId="3E403074" w14:textId="77777777" w:rsidR="00691421" w:rsidRDefault="00691421" w:rsidP="00691421">
      <w:pPr>
        <w:pStyle w:val="whitespace-pre-wrap"/>
        <w:spacing w:line="360" w:lineRule="auto"/>
        <w:rPr>
          <w:sz w:val="23"/>
          <w:szCs w:val="23"/>
        </w:rPr>
      </w:pPr>
      <w:r>
        <w:rPr>
          <w:sz w:val="23"/>
          <w:szCs w:val="23"/>
        </w:rPr>
        <w:t xml:space="preserve">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 Matos (2019) asks how broad bipartisan support for the DREAM Act – protections for people who were brought to the US without documentation as minors – can coexist with stringent punitiveness towards migrants more broadly. Further, she shows that perceptions of what subsets of immigrants </w:t>
      </w:r>
      <w:r>
        <w:rPr>
          <w:sz w:val="23"/>
          <w:szCs w:val="23"/>
        </w:rPr>
        <w:lastRenderedPageBreak/>
        <w:t xml:space="preserve">deserve is conditioned on frames and characteristics particular to both the subset and the evaluating group. She finds that particularly among Democrats, this differentiation between </w:t>
      </w:r>
      <w:proofErr w:type="spellStart"/>
      <w:r>
        <w:rPr>
          <w:sz w:val="23"/>
          <w:szCs w:val="23"/>
        </w:rPr>
        <w:t>DREAMers</w:t>
      </w:r>
      <w:proofErr w:type="spellEnd"/>
      <w:r>
        <w:rPr>
          <w:sz w:val="23"/>
          <w:szCs w:val="23"/>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Pr>
          <w:sz w:val="23"/>
          <w:szCs w:val="23"/>
        </w:rPr>
        <w:t>DREAMer’s</w:t>
      </w:r>
      <w:proofErr w:type="spellEnd"/>
      <w:r>
        <w:rPr>
          <w:sz w:val="23"/>
          <w:szCs w:val="23"/>
        </w:rPr>
        <w:t xml:space="preserve"> when the military service of that subgroup is highlighted.</w:t>
      </w:r>
    </w:p>
    <w:p w14:paraId="3F8FA9CF" w14:textId="77777777" w:rsidR="00691421" w:rsidRDefault="00691421" w:rsidP="00691421">
      <w:pPr>
        <w:pStyle w:val="whitespace-pre-wrap"/>
        <w:spacing w:line="360" w:lineRule="auto"/>
        <w:rPr>
          <w:sz w:val="23"/>
          <w:szCs w:val="23"/>
        </w:rPr>
      </w:pPr>
      <w:r>
        <w:rPr>
          <w:sz w:val="23"/>
          <w:szCs w:val="23"/>
        </w:rPr>
        <w:t xml:space="preserve">Within-group differentiation or </w:t>
      </w:r>
      <w:proofErr w:type="spellStart"/>
      <w:r>
        <w:rPr>
          <w:sz w:val="23"/>
          <w:szCs w:val="23"/>
        </w:rPr>
        <w:t>subsetting</w:t>
      </w:r>
      <w:proofErr w:type="spellEnd"/>
      <w:r>
        <w:rPr>
          <w:sz w:val="23"/>
          <w:szCs w:val="23"/>
        </w:rPr>
        <w:t xml:space="preserve"> of groups is also a product of “othering.” Grove and </w:t>
      </w:r>
      <w:proofErr w:type="spellStart"/>
      <w:r>
        <w:rPr>
          <w:sz w:val="23"/>
          <w:szCs w:val="23"/>
        </w:rPr>
        <w:t>Zwi</w:t>
      </w:r>
      <w:proofErr w:type="spellEnd"/>
      <w:r>
        <w:rPr>
          <w:sz w:val="23"/>
          <w:szCs w:val="23"/>
        </w:rPr>
        <w:t xml:space="preserve"> (2006) also illuminate this point in the context of the treatment of immigrants. Discourses involving threat and order, and of policies that enforce boundaries and symbolize unbelonging are discerning in which subsets are both “set” and held apart from dominant communities. Like punitiveness and moral differentiation, Grove and </w:t>
      </w:r>
      <w:proofErr w:type="spellStart"/>
      <w:r>
        <w:rPr>
          <w:sz w:val="23"/>
          <w:szCs w:val="23"/>
        </w:rPr>
        <w:t>Zwi</w:t>
      </w:r>
      <w:proofErr w:type="spellEnd"/>
      <w:r>
        <w:rPr>
          <w:sz w:val="23"/>
          <w:szCs w:val="23"/>
        </w:rPr>
        <w:t xml:space="preserve"> note that ‘othering’ both defines the deservingness of the target, and in contrast, the deservingness or belonging (in-</w:t>
      </w:r>
      <w:proofErr w:type="gramStart"/>
      <w:r>
        <w:rPr>
          <w:sz w:val="23"/>
          <w:szCs w:val="23"/>
        </w:rPr>
        <w:t>group-ness</w:t>
      </w:r>
      <w:proofErr w:type="gramEnd"/>
      <w:r>
        <w:rPr>
          <w:sz w:val="23"/>
          <w:szCs w:val="23"/>
        </w:rPr>
        <w:t xml:space="preserve">) of oneself. Conversely, humanization – in discourse and policy – can </w:t>
      </w:r>
      <w:r w:rsidRPr="008010B8">
        <w:rPr>
          <w:sz w:val="23"/>
          <w:szCs w:val="23"/>
        </w:rPr>
        <w:t xml:space="preserve">generate sympathy </w:t>
      </w:r>
      <w:r>
        <w:rPr>
          <w:sz w:val="23"/>
          <w:szCs w:val="23"/>
        </w:rPr>
        <w:t>and inclusivity.</w:t>
      </w:r>
    </w:p>
    <w:p w14:paraId="0572319C" w14:textId="77777777" w:rsidR="00691421" w:rsidRPr="00791391" w:rsidRDefault="00691421" w:rsidP="00691421">
      <w:pPr>
        <w:pStyle w:val="whitespace-pre-wrap"/>
        <w:spacing w:line="360" w:lineRule="auto"/>
        <w:rPr>
          <w:sz w:val="23"/>
          <w:szCs w:val="23"/>
        </w:rPr>
      </w:pPr>
      <w:r>
        <w:rPr>
          <w:sz w:val="23"/>
          <w:szCs w:val="23"/>
        </w:rPr>
        <w:t>Such ‘</w:t>
      </w:r>
      <w:proofErr w:type="spellStart"/>
      <w:r>
        <w:rPr>
          <w:sz w:val="23"/>
          <w:szCs w:val="23"/>
        </w:rPr>
        <w:t>subsetting</w:t>
      </w:r>
      <w:proofErr w:type="spellEnd"/>
      <w:r>
        <w:rPr>
          <w:sz w:val="23"/>
          <w:szCs w:val="23"/>
        </w:rPr>
        <w:t xml:space="preserve">’ also appears the criminal legal domain. </w:t>
      </w:r>
      <w:r w:rsidRPr="008010B8">
        <w:rPr>
          <w:sz w:val="23"/>
          <w:szCs w:val="23"/>
        </w:rPr>
        <w:t xml:space="preserve">Support for incarcerated political rights idiosyncratically decreases with specificity of sentence and then seriousness of offense type – meaning </w:t>
      </w:r>
      <w:r>
        <w:rPr>
          <w:sz w:val="23"/>
          <w:szCs w:val="23"/>
        </w:rPr>
        <w:t>that among respondents who say they support voting rights for “all” incarcerated people, these same respondents go on to say they would exclude extending voting rights to incarcerated “felons,” or people convicted of violent offenses.</w:t>
      </w:r>
      <w:r w:rsidRPr="008010B8">
        <w:rPr>
          <w:sz w:val="23"/>
          <w:szCs w:val="23"/>
        </w:rPr>
        <w:t xml:space="preserve">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 </w:t>
      </w:r>
      <w:proofErr w:type="spellStart"/>
      <w:r w:rsidRPr="008010B8">
        <w:rPr>
          <w:sz w:val="23"/>
          <w:szCs w:val="23"/>
        </w:rPr>
        <w:t>Uggen</w:t>
      </w:r>
      <w:proofErr w:type="spellEnd"/>
      <w:r w:rsidRPr="008010B8">
        <w:rPr>
          <w:sz w:val="23"/>
          <w:szCs w:val="23"/>
        </w:rPr>
        <w:t xml:space="preserve"> 2023). </w:t>
      </w:r>
      <w:proofErr w:type="spellStart"/>
      <w:r>
        <w:rPr>
          <w:sz w:val="23"/>
          <w:szCs w:val="23"/>
        </w:rPr>
        <w:t>Thielo</w:t>
      </w:r>
      <w:proofErr w:type="spellEnd"/>
      <w:r>
        <w:rPr>
          <w:sz w:val="23"/>
          <w:szCs w:val="23"/>
        </w:rPr>
        <w:t xml:space="preserve"> and colleagues (2019) find that the public differentiates between incarcerated types – “non-violent offenders” versus “violent offenders.” In a different study, </w:t>
      </w:r>
      <w:proofErr w:type="spellStart"/>
      <w:r w:rsidRPr="008010B8">
        <w:rPr>
          <w:sz w:val="23"/>
          <w:szCs w:val="23"/>
        </w:rPr>
        <w:t>Thielo</w:t>
      </w:r>
      <w:proofErr w:type="spellEnd"/>
      <w:r w:rsidRPr="008010B8">
        <w:rPr>
          <w:sz w:val="23"/>
          <w:szCs w:val="23"/>
        </w:rPr>
        <w:t xml:space="preserve"> et al (2015) find</w:t>
      </w:r>
      <w:r>
        <w:rPr>
          <w:sz w:val="23"/>
          <w:szCs w:val="23"/>
        </w:rPr>
        <w:t>s that information about redeemability or rehabilitation can</w:t>
      </w:r>
      <w:r w:rsidRPr="008010B8">
        <w:rPr>
          <w:sz w:val="23"/>
          <w:szCs w:val="23"/>
        </w:rPr>
        <w:t xml:space="preserve"> decrease support for punitive policies</w:t>
      </w:r>
      <w:r>
        <w:rPr>
          <w:sz w:val="23"/>
          <w:szCs w:val="23"/>
        </w:rPr>
        <w:t xml:space="preserve"> – suggesting that perceptions of innate culpability and affective reactions may drive differentiation, including in perceptions of who does and does not deserve democratic rights. </w:t>
      </w:r>
    </w:p>
    <w:p w14:paraId="08E5E51F" w14:textId="77777777" w:rsidR="00691421" w:rsidRPr="00935A74" w:rsidRDefault="00691421" w:rsidP="00691421">
      <w:pPr>
        <w:spacing w:line="360" w:lineRule="auto"/>
        <w:rPr>
          <w:b/>
          <w:bCs/>
          <w:sz w:val="23"/>
          <w:szCs w:val="23"/>
        </w:rPr>
      </w:pPr>
      <w:r w:rsidRPr="00935A74">
        <w:rPr>
          <w:b/>
          <w:bCs/>
          <w:sz w:val="23"/>
          <w:szCs w:val="23"/>
        </w:rPr>
        <w:t xml:space="preserve">Policy Context </w:t>
      </w:r>
    </w:p>
    <w:p w14:paraId="7693999F" w14:textId="4E1DF539" w:rsidR="00691421" w:rsidRDefault="00691421" w:rsidP="00691421">
      <w:pPr>
        <w:spacing w:line="360" w:lineRule="auto"/>
      </w:pPr>
      <w:r>
        <w:t xml:space="preserve">Perceptions of whether groups deserve policy benefits depend in part on the policy in question. </w:t>
      </w:r>
      <w:r w:rsidR="00721902">
        <w:t xml:space="preserve">While this may seem self-evident, it is important to point out that contexts can change how people think of policies in relation to themselves. </w:t>
      </w:r>
      <w:proofErr w:type="spellStart"/>
      <w:r w:rsidRPr="008010B8">
        <w:t>Carlsmith</w:t>
      </w:r>
      <w:proofErr w:type="spellEnd"/>
      <w:r w:rsidRPr="008010B8">
        <w:t xml:space="preserve"> (2002)</w:t>
      </w:r>
      <w:r w:rsidR="00936227">
        <w:t>, Peleg-</w:t>
      </w:r>
      <w:proofErr w:type="spellStart"/>
      <w:r w:rsidR="00936227">
        <w:t>Koriat</w:t>
      </w:r>
      <w:proofErr w:type="spellEnd"/>
      <w:r w:rsidR="00936227">
        <w:t xml:space="preserve"> et al (2020), and </w:t>
      </w:r>
      <w:proofErr w:type="spellStart"/>
      <w:r w:rsidRPr="008010B8">
        <w:t>Chamberlen</w:t>
      </w:r>
      <w:proofErr w:type="spellEnd"/>
      <w:r w:rsidRPr="008010B8">
        <w:t xml:space="preserve"> (2017) observe </w:t>
      </w:r>
      <w:r>
        <w:t xml:space="preserve">that </w:t>
      </w:r>
      <w:r w:rsidRPr="008010B8">
        <w:t>people appear more utilitarian and rehabilitation-oriented in "temporally distant" or general settings, but retributive in proximate situations</w:t>
      </w:r>
      <w:r>
        <w:t xml:space="preserve">. </w:t>
      </w:r>
      <w:r w:rsidR="00721902">
        <w:t>Moreover, in some contexts, policies challenge hierarchies, and in others, policies can challenge</w:t>
      </w:r>
      <w:r w:rsidR="00721902" w:rsidRPr="00721902">
        <w:t xml:space="preserve"> </w:t>
      </w:r>
      <w:r w:rsidR="00721902">
        <w:t xml:space="preserve">protect or </w:t>
      </w:r>
      <w:r w:rsidR="00721902">
        <w:lastRenderedPageBreak/>
        <w:t xml:space="preserve">maintain them (Eubank and Fresh 2022, </w:t>
      </w:r>
      <w:proofErr w:type="spellStart"/>
      <w:r w:rsidR="00721902">
        <w:t>Soss</w:t>
      </w:r>
      <w:proofErr w:type="spellEnd"/>
      <w:r w:rsidR="00721902">
        <w:t xml:space="preserve">, Fording, and Schram 2012).  </w:t>
      </w:r>
      <w:r>
        <w:t xml:space="preserve">Grove and </w:t>
      </w:r>
      <w:proofErr w:type="spellStart"/>
      <w:r>
        <w:t>Zwi</w:t>
      </w:r>
      <w:proofErr w:type="spellEnd"/>
      <w:r>
        <w:t xml:space="preserve"> (2006) show that beliefs about what immigrants deserve involve the evaluator’s perception of self and a desire to preserve their own location on a hierarchy involving deservingness and belonging: </w:t>
      </w:r>
    </w:p>
    <w:p w14:paraId="17794DEB" w14:textId="77777777" w:rsidR="00691421" w:rsidRPr="00FA1D81" w:rsidRDefault="00691421" w:rsidP="00691421">
      <w:pPr>
        <w:ind w:left="720"/>
        <w:rPr>
          <w:sz w:val="23"/>
          <w:szCs w:val="23"/>
        </w:rPr>
      </w:pPr>
      <w:r w:rsidRPr="00FA1D81">
        <w:rPr>
          <w:sz w:val="23"/>
          <w:szCs w:val="23"/>
        </w:rPr>
        <w:t xml:space="preserve">“Othering’ defines and secures one’s own identity by distancing and stigmatizing an(other). Its purpose is to reinforce notions of our own ‘normality,’ and to set up the difference of others as a point of deviance. The person or group being ‘othered’ experiences this as a process of marginalization, disempowerment and social exclusion.” (1933). </w:t>
      </w:r>
    </w:p>
    <w:p w14:paraId="23AEEC3E" w14:textId="77777777" w:rsidR="00691421" w:rsidRDefault="00691421" w:rsidP="00691421">
      <w:pPr>
        <w:spacing w:line="360" w:lineRule="auto"/>
        <w:rPr>
          <w:sz w:val="23"/>
          <w:szCs w:val="23"/>
        </w:rPr>
      </w:pPr>
    </w:p>
    <w:p w14:paraId="08A9BF06" w14:textId="77777777" w:rsidR="00691421" w:rsidRDefault="00691421" w:rsidP="00691421">
      <w:pPr>
        <w:spacing w:line="360" w:lineRule="auto"/>
        <w:rPr>
          <w:sz w:val="23"/>
          <w:szCs w:val="23"/>
        </w:rPr>
      </w:pPr>
      <w:r>
        <w:rPr>
          <w:sz w:val="23"/>
          <w:szCs w:val="23"/>
        </w:rPr>
        <w:t xml:space="preserve">An important dimension here is that the </w:t>
      </w:r>
      <w:proofErr w:type="gramStart"/>
      <w:r>
        <w:rPr>
          <w:sz w:val="23"/>
          <w:szCs w:val="23"/>
        </w:rPr>
        <w:t>“perceiver’s”</w:t>
      </w:r>
      <w:proofErr w:type="gramEnd"/>
      <w:r>
        <w:rPr>
          <w:sz w:val="23"/>
          <w:szCs w:val="23"/>
        </w:rPr>
        <w:t xml:space="preserve"> or “evaluator’s” own self-conception is involved: how a given policy, directed at a given target, impacts the evaluator’s own status, self-conception, and how it makes them feel. As Fanon shows (1952, 1961), the maintenance of exploitative settler and post-colonial practices relied on a hierarchical racial ideology and educational and cultural “improvement” programs around which the colonizer could create narratives of their own benevolent help, to justify or reconcile behavior that deviated from their own (or group/country’s own) held identity and values.  </w:t>
      </w:r>
    </w:p>
    <w:p w14:paraId="7311FB01" w14:textId="77777777" w:rsidR="00691421" w:rsidRDefault="00691421" w:rsidP="00691421">
      <w:pPr>
        <w:spacing w:line="360" w:lineRule="auto"/>
        <w:rPr>
          <w:rFonts w:ascii="Arial" w:hAnsi="Arial" w:cs="Arial"/>
          <w:i/>
          <w:iCs/>
          <w:sz w:val="23"/>
          <w:szCs w:val="23"/>
        </w:rPr>
      </w:pPr>
    </w:p>
    <w:p w14:paraId="45C6DB2F" w14:textId="3CA120F8" w:rsidR="00691421" w:rsidRPr="004F5DC8" w:rsidRDefault="00691421" w:rsidP="00691421">
      <w:pPr>
        <w:spacing w:line="360" w:lineRule="auto"/>
        <w:rPr>
          <w:b/>
          <w:bCs/>
          <w:sz w:val="23"/>
          <w:szCs w:val="23"/>
        </w:rPr>
      </w:pPr>
      <w:r w:rsidRPr="005D5C09">
        <w:rPr>
          <w:b/>
          <w:bCs/>
          <w:sz w:val="23"/>
          <w:szCs w:val="23"/>
        </w:rPr>
        <w:t>Race as Central Identity in American Politics</w:t>
      </w:r>
    </w:p>
    <w:p w14:paraId="43F47CAB" w14:textId="6A33A7BE" w:rsidR="00691421" w:rsidRDefault="00691421" w:rsidP="00691421">
      <w:pPr>
        <w:spacing w:line="360" w:lineRule="auto"/>
        <w:rPr>
          <w:sz w:val="23"/>
          <w:szCs w:val="23"/>
        </w:rPr>
      </w:pPr>
      <w:r w:rsidRPr="008010B8">
        <w:rPr>
          <w:sz w:val="23"/>
          <w:szCs w:val="23"/>
        </w:rPr>
        <w:t>These affect and identity mechanisms operate in a context fundamentally linking punishment and race, as punishment in the US is a case of racial disproportionality and decentralization (Michener 2018, Alexander 2010)</w:t>
      </w:r>
      <w:r>
        <w:rPr>
          <w:sz w:val="23"/>
          <w:szCs w:val="23"/>
        </w:rPr>
        <w:t>.</w:t>
      </w:r>
      <w:r w:rsidRPr="008010B8">
        <w:rPr>
          <w:sz w:val="23"/>
          <w:szCs w:val="23"/>
        </w:rPr>
        <w:t xml:space="preserve"> Race or assumed race of policy recipients shapes what people believe about </w:t>
      </w:r>
      <w:r>
        <w:rPr>
          <w:sz w:val="23"/>
          <w:szCs w:val="23"/>
        </w:rPr>
        <w:t>political preferences with regards to</w:t>
      </w:r>
      <w:r w:rsidRPr="008010B8">
        <w:rPr>
          <w:sz w:val="23"/>
          <w:szCs w:val="23"/>
        </w:rPr>
        <w:t xml:space="preserve"> </w:t>
      </w:r>
      <w:r w:rsidR="00721902">
        <w:rPr>
          <w:sz w:val="23"/>
          <w:szCs w:val="23"/>
        </w:rPr>
        <w:t xml:space="preserve">many </w:t>
      </w:r>
      <w:r w:rsidRPr="008010B8">
        <w:rPr>
          <w:sz w:val="23"/>
          <w:szCs w:val="23"/>
        </w:rPr>
        <w:t>public benefits, including welfare (</w:t>
      </w:r>
      <w:proofErr w:type="spellStart"/>
      <w:r w:rsidRPr="008010B8">
        <w:rPr>
          <w:sz w:val="23"/>
          <w:szCs w:val="23"/>
        </w:rPr>
        <w:t>DeSante</w:t>
      </w:r>
      <w:proofErr w:type="spellEnd"/>
      <w:r w:rsidRPr="008010B8">
        <w:rPr>
          <w:sz w:val="23"/>
          <w:szCs w:val="23"/>
        </w:rPr>
        <w:t xml:space="preserve">, 2013, </w:t>
      </w:r>
      <w:proofErr w:type="spellStart"/>
      <w:r w:rsidRPr="008010B8">
        <w:rPr>
          <w:sz w:val="23"/>
          <w:szCs w:val="23"/>
        </w:rPr>
        <w:t>Gilens</w:t>
      </w:r>
      <w:proofErr w:type="spellEnd"/>
      <w:r w:rsidRPr="008010B8">
        <w:rPr>
          <w:sz w:val="23"/>
          <w:szCs w:val="23"/>
        </w:rPr>
        <w:t xml:space="preserve">, 1996, </w:t>
      </w:r>
      <w:proofErr w:type="spellStart"/>
      <w:r w:rsidRPr="008010B8">
        <w:rPr>
          <w:sz w:val="23"/>
          <w:szCs w:val="23"/>
        </w:rPr>
        <w:t>Soss</w:t>
      </w:r>
      <w:proofErr w:type="spellEnd"/>
      <w:r w:rsidRPr="008010B8">
        <w:rPr>
          <w:sz w:val="23"/>
          <w:szCs w:val="23"/>
        </w:rPr>
        <w:t xml:space="preserve"> et al, 2011, Hancock 2004)</w:t>
      </w:r>
      <w:r>
        <w:rPr>
          <w:sz w:val="23"/>
          <w:szCs w:val="23"/>
        </w:rPr>
        <w:t xml:space="preserve">, </w:t>
      </w:r>
      <w:r w:rsidRPr="008010B8">
        <w:rPr>
          <w:sz w:val="23"/>
          <w:szCs w:val="23"/>
        </w:rPr>
        <w:t>college scholarships (Feldman and Huddy 2005) as well as punishment and policing (Israel-</w:t>
      </w:r>
      <w:proofErr w:type="spellStart"/>
      <w:r w:rsidRPr="008010B8">
        <w:rPr>
          <w:sz w:val="23"/>
          <w:szCs w:val="23"/>
        </w:rPr>
        <w:t>Trummel</w:t>
      </w:r>
      <w:proofErr w:type="spellEnd"/>
      <w:r w:rsidRPr="008010B8">
        <w:rPr>
          <w:sz w:val="23"/>
          <w:szCs w:val="23"/>
        </w:rPr>
        <w:t xml:space="preserve">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w:t>
      </w:r>
      <w:proofErr w:type="spellStart"/>
      <w:r w:rsidRPr="008010B8">
        <w:rPr>
          <w:sz w:val="23"/>
          <w:szCs w:val="23"/>
        </w:rPr>
        <w:t>Aaroe</w:t>
      </w:r>
      <w:proofErr w:type="spellEnd"/>
      <w:r w:rsidRPr="008010B8">
        <w:rPr>
          <w:sz w:val="23"/>
          <w:szCs w:val="23"/>
        </w:rPr>
        <w:t xml:space="preserve"> and Peterson, 2014; </w:t>
      </w:r>
      <w:proofErr w:type="spellStart"/>
      <w:r w:rsidRPr="008010B8">
        <w:rPr>
          <w:sz w:val="23"/>
          <w:szCs w:val="23"/>
        </w:rPr>
        <w:t>Nazione</w:t>
      </w:r>
      <w:proofErr w:type="spellEnd"/>
      <w:r w:rsidRPr="008010B8">
        <w:rPr>
          <w:sz w:val="23"/>
          <w:szCs w:val="23"/>
        </w:rPr>
        <w:t xml:space="preserve"> and Silk, 2013; Donovan, 2007).  In a study exposing survey participants to a vignette about police violence, Israel-</w:t>
      </w:r>
      <w:proofErr w:type="spellStart"/>
      <w:r w:rsidRPr="008010B8">
        <w:rPr>
          <w:sz w:val="23"/>
          <w:szCs w:val="23"/>
        </w:rPr>
        <w:t>Trummel</w:t>
      </w:r>
      <w:proofErr w:type="spellEnd"/>
      <w:r w:rsidRPr="008010B8">
        <w:rPr>
          <w:sz w:val="23"/>
          <w:szCs w:val="23"/>
        </w:rPr>
        <w:t xml:space="preserve"> and Streeter (2021) find that Black women participants are deemed to be more responsible (“could have done something differently to change the outcome of the interaction”) for their victimization than white women. These racialized perceptions link to policy outcomes and administration</w:t>
      </w:r>
      <w:r>
        <w:rPr>
          <w:sz w:val="23"/>
          <w:szCs w:val="23"/>
        </w:rPr>
        <w:t xml:space="preserve">; </w:t>
      </w:r>
      <w:r w:rsidRPr="008010B8">
        <w:rPr>
          <w:sz w:val="23"/>
          <w:szCs w:val="23"/>
        </w:rPr>
        <w:t xml:space="preserve">for example, welfare case workers assess Black applicants more </w:t>
      </w:r>
      <w:r>
        <w:rPr>
          <w:sz w:val="23"/>
          <w:szCs w:val="23"/>
        </w:rPr>
        <w:t xml:space="preserve">than </w:t>
      </w:r>
      <w:r w:rsidRPr="008010B8">
        <w:rPr>
          <w:sz w:val="23"/>
          <w:szCs w:val="23"/>
        </w:rPr>
        <w:t xml:space="preserve">29% harshly and are twice as likely to sanction them than white </w:t>
      </w:r>
      <w:r w:rsidRPr="008010B8">
        <w:rPr>
          <w:sz w:val="23"/>
          <w:szCs w:val="23"/>
        </w:rPr>
        <w:lastRenderedPageBreak/>
        <w:t>applicants (</w:t>
      </w:r>
      <w:proofErr w:type="spellStart"/>
      <w:r w:rsidRPr="008010B8">
        <w:rPr>
          <w:sz w:val="23"/>
          <w:szCs w:val="23"/>
        </w:rPr>
        <w:t>Soss</w:t>
      </w:r>
      <w:proofErr w:type="spellEnd"/>
      <w:r w:rsidRPr="008010B8">
        <w:rPr>
          <w:sz w:val="23"/>
          <w:szCs w:val="23"/>
        </w:rPr>
        <w:t xml:space="preserve"> 2011) and elections administrators discriminate against Latinx emailers (White 2018).</w:t>
      </w:r>
    </w:p>
    <w:p w14:paraId="155F9121" w14:textId="77777777" w:rsidR="00691421" w:rsidRPr="008010B8" w:rsidRDefault="00691421" w:rsidP="00691421">
      <w:pPr>
        <w:spacing w:line="360" w:lineRule="auto"/>
        <w:rPr>
          <w:sz w:val="23"/>
          <w:szCs w:val="23"/>
        </w:rPr>
      </w:pPr>
    </w:p>
    <w:p w14:paraId="0E4F4CC6" w14:textId="77777777" w:rsidR="00691421" w:rsidRDefault="00691421" w:rsidP="00691421">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0" w:name="OLE_LINK2"/>
      <w:proofErr w:type="spellStart"/>
      <w:r w:rsidRPr="008010B8">
        <w:rPr>
          <w:sz w:val="23"/>
          <w:szCs w:val="23"/>
        </w:rPr>
        <w:t>Harell</w:t>
      </w:r>
      <w:proofErr w:type="spellEnd"/>
      <w:r w:rsidRPr="008010B8">
        <w:rPr>
          <w:sz w:val="23"/>
          <w:szCs w:val="23"/>
        </w:rPr>
        <w:t>, Soroka, Iyengar 2016</w:t>
      </w:r>
      <w:bookmarkEnd w:id="0"/>
      <w:r w:rsidRPr="008010B8">
        <w:rPr>
          <w:sz w:val="23"/>
          <w:szCs w:val="23"/>
        </w:rPr>
        <w:t>), racial attitudes</w:t>
      </w:r>
      <w:r>
        <w:rPr>
          <w:sz w:val="23"/>
          <w:szCs w:val="23"/>
        </w:rPr>
        <w:t xml:space="preserve"> are likely</w:t>
      </w:r>
      <w:r w:rsidRPr="008010B8">
        <w:rPr>
          <w:sz w:val="23"/>
          <w:szCs w:val="23"/>
        </w:rPr>
        <w:t xml:space="preserve"> inform perceptions of carceral deservingness</w:t>
      </w:r>
      <w:r>
        <w:rPr>
          <w:sz w:val="23"/>
          <w:szCs w:val="23"/>
        </w:rPr>
        <w:t xml:space="preserve"> given prevalent </w:t>
      </w:r>
      <w:r w:rsidRPr="008010B8">
        <w:rPr>
          <w:sz w:val="23"/>
          <w:szCs w:val="23"/>
        </w:rPr>
        <w:t xml:space="preserve">underlying associations between Black Americans and </w:t>
      </w:r>
      <w:proofErr w:type="spellStart"/>
      <w:r w:rsidRPr="008010B8">
        <w:rPr>
          <w:sz w:val="23"/>
          <w:szCs w:val="23"/>
        </w:rPr>
        <w:t>carceralit</w:t>
      </w:r>
      <w:r>
        <w:rPr>
          <w:sz w:val="23"/>
          <w:szCs w:val="23"/>
        </w:rPr>
        <w:t>y</w:t>
      </w:r>
      <w:proofErr w:type="spellEnd"/>
      <w:r>
        <w:rPr>
          <w:sz w:val="23"/>
          <w:szCs w:val="23"/>
        </w:rPr>
        <w:t>. Americans hold</w:t>
      </w:r>
      <w:r w:rsidRPr="008010B8">
        <w:rPr>
          <w:sz w:val="23"/>
          <w:szCs w:val="23"/>
        </w:rPr>
        <w:t xml:space="preserve"> implicit associations between Black carceral citizens and</w:t>
      </w:r>
      <w:r>
        <w:rPr>
          <w:sz w:val="23"/>
          <w:szCs w:val="23"/>
        </w:rPr>
        <w:t xml:space="preserve"> “felons,” those convicted of</w:t>
      </w:r>
      <w:r w:rsidRPr="008010B8">
        <w:rPr>
          <w:sz w:val="23"/>
          <w:szCs w:val="23"/>
        </w:rPr>
        <w:t xml:space="preserve"> more serious offenses (</w:t>
      </w:r>
      <w:proofErr w:type="spellStart"/>
      <w:r w:rsidRPr="008010B8">
        <w:rPr>
          <w:sz w:val="23"/>
          <w:szCs w:val="23"/>
        </w:rPr>
        <w:t>Sigelman</w:t>
      </w:r>
      <w:proofErr w:type="spellEnd"/>
      <w:r w:rsidRPr="008010B8">
        <w:rPr>
          <w:sz w:val="23"/>
          <w:szCs w:val="23"/>
        </w:rPr>
        <w:t xml:space="preserve"> and </w:t>
      </w:r>
      <w:proofErr w:type="spellStart"/>
      <w:r w:rsidRPr="008010B8">
        <w:rPr>
          <w:sz w:val="23"/>
          <w:szCs w:val="23"/>
        </w:rPr>
        <w:t>Tuch</w:t>
      </w:r>
      <w:proofErr w:type="spellEnd"/>
      <w:r w:rsidRPr="008010B8">
        <w:rPr>
          <w:sz w:val="23"/>
          <w:szCs w:val="23"/>
        </w:rPr>
        <w:t xml:space="preserve"> 1997).  </w:t>
      </w:r>
      <w:r>
        <w:rPr>
          <w:sz w:val="23"/>
          <w:szCs w:val="23"/>
        </w:rPr>
        <w:t>Similarly,</w:t>
      </w:r>
      <w:r w:rsidRPr="008010B8">
        <w:rPr>
          <w:sz w:val="23"/>
          <w:szCs w:val="23"/>
        </w:rPr>
        <w:t xml:space="preserve"> </w:t>
      </w:r>
      <w:r>
        <w:rPr>
          <w:sz w:val="23"/>
          <w:szCs w:val="23"/>
        </w:rPr>
        <w:t>l</w:t>
      </w:r>
      <w:r w:rsidRPr="008010B8">
        <w:rPr>
          <w:sz w:val="23"/>
          <w:szCs w:val="23"/>
        </w:rPr>
        <w:t>everaging content analysis of media representations of poverty and welfare from the second half of the 20</w:t>
      </w:r>
      <w:r w:rsidRPr="008010B8">
        <w:rPr>
          <w:sz w:val="23"/>
          <w:szCs w:val="23"/>
          <w:vertAlign w:val="superscript"/>
        </w:rPr>
        <w:t>th</w:t>
      </w:r>
      <w:r w:rsidRPr="008010B8">
        <w:rPr>
          <w:sz w:val="23"/>
          <w:szCs w:val="23"/>
        </w:rPr>
        <w:t xml:space="preserve"> century, </w:t>
      </w:r>
      <w:proofErr w:type="spellStart"/>
      <w:r>
        <w:rPr>
          <w:sz w:val="23"/>
          <w:szCs w:val="23"/>
        </w:rPr>
        <w:t>Gilens</w:t>
      </w:r>
      <w:proofErr w:type="spellEnd"/>
      <w:r>
        <w:rPr>
          <w:sz w:val="23"/>
          <w:szCs w:val="23"/>
        </w:rPr>
        <w:t xml:space="preserve"> (1996) </w:t>
      </w:r>
      <w:r w:rsidRPr="008010B8">
        <w:rPr>
          <w:sz w:val="23"/>
          <w:szCs w:val="23"/>
        </w:rPr>
        <w:t xml:space="preserve">concludes that </w:t>
      </w:r>
      <w:r>
        <w:rPr>
          <w:sz w:val="23"/>
          <w:szCs w:val="23"/>
        </w:rPr>
        <w:t>the</w:t>
      </w:r>
      <w:r w:rsidRPr="008010B8">
        <w:rPr>
          <w:sz w:val="23"/>
          <w:szCs w:val="23"/>
        </w:rPr>
        <w:t xml:space="preserve"> </w:t>
      </w:r>
      <w:r>
        <w:rPr>
          <w:sz w:val="23"/>
          <w:szCs w:val="23"/>
        </w:rPr>
        <w:t xml:space="preserve">Black welfare recipient </w:t>
      </w:r>
      <w:r w:rsidRPr="008010B8">
        <w:rPr>
          <w:sz w:val="23"/>
          <w:szCs w:val="23"/>
        </w:rPr>
        <w:t>stereotype was developed in large part due to over-representation of Black Americans in stories that cast them as less sympathetic than whites (</w:t>
      </w:r>
      <w:proofErr w:type="spellStart"/>
      <w:r w:rsidRPr="008010B8">
        <w:rPr>
          <w:sz w:val="23"/>
          <w:szCs w:val="23"/>
        </w:rPr>
        <w:t>Gilens</w:t>
      </w:r>
      <w:proofErr w:type="spellEnd"/>
      <w:r w:rsidRPr="008010B8">
        <w:rPr>
          <w:sz w:val="23"/>
          <w:szCs w:val="23"/>
        </w:rPr>
        <w:t xml:space="preserve">, 1996). </w:t>
      </w:r>
      <w:proofErr w:type="gramStart"/>
      <w:r>
        <w:rPr>
          <w:sz w:val="23"/>
          <w:szCs w:val="23"/>
        </w:rPr>
        <w:t>As a consequence</w:t>
      </w:r>
      <w:proofErr w:type="gramEnd"/>
      <w:r>
        <w:rPr>
          <w:sz w:val="23"/>
          <w:szCs w:val="23"/>
        </w:rPr>
        <w:t xml:space="preserve">, </w:t>
      </w:r>
      <w:r w:rsidRPr="00791391">
        <w:rPr>
          <w:sz w:val="23"/>
          <w:szCs w:val="23"/>
        </w:rPr>
        <w:t>whites are not amenable to generous welfare policy allocation because they assume</w:t>
      </w:r>
      <w:r w:rsidRPr="008010B8">
        <w:rPr>
          <w:sz w:val="23"/>
          <w:szCs w:val="23"/>
        </w:rPr>
        <w:t xml:space="preserve"> are</w:t>
      </w:r>
      <w:r>
        <w:rPr>
          <w:sz w:val="23"/>
          <w:szCs w:val="23"/>
        </w:rPr>
        <w:t xml:space="preserve"> lazy,</w:t>
      </w:r>
      <w:r w:rsidRPr="008010B8">
        <w:rPr>
          <w:sz w:val="23"/>
          <w:szCs w:val="23"/>
        </w:rPr>
        <w:t xml:space="preserve"> Black</w:t>
      </w:r>
      <w:r>
        <w:rPr>
          <w:sz w:val="23"/>
          <w:szCs w:val="23"/>
        </w:rPr>
        <w:t xml:space="preserve"> individuals.</w:t>
      </w:r>
      <w:r w:rsidRPr="008010B8">
        <w:rPr>
          <w:sz w:val="23"/>
          <w:szCs w:val="23"/>
        </w:rPr>
        <w:t xml:space="preserve"> </w:t>
      </w:r>
      <w:r>
        <w:rPr>
          <w:sz w:val="23"/>
          <w:szCs w:val="23"/>
        </w:rPr>
        <w:t xml:space="preserve">And </w:t>
      </w:r>
      <w:r w:rsidRPr="008010B8">
        <w:rPr>
          <w:sz w:val="23"/>
          <w:szCs w:val="23"/>
        </w:rPr>
        <w:t>Gilliam (1999)</w:t>
      </w:r>
      <w:r>
        <w:rPr>
          <w:sz w:val="23"/>
          <w:szCs w:val="23"/>
        </w:rPr>
        <w:t xml:space="preserve"> </w:t>
      </w:r>
      <w:r w:rsidRPr="008010B8">
        <w:rPr>
          <w:sz w:val="23"/>
          <w:szCs w:val="23"/>
        </w:rPr>
        <w:t>found that welfare recipients are stereotyped as Black women</w:t>
      </w:r>
      <w:r>
        <w:rPr>
          <w:sz w:val="23"/>
          <w:szCs w:val="23"/>
        </w:rPr>
        <w:t xml:space="preserve">; this </w:t>
      </w:r>
      <w:r w:rsidRPr="008010B8">
        <w:rPr>
          <w:sz w:val="23"/>
          <w:szCs w:val="23"/>
        </w:rPr>
        <w:t xml:space="preserve">“narrative script” was constructed through media representation and political rhetoric about welfare recipients and policy in the Reagan era. </w:t>
      </w:r>
    </w:p>
    <w:p w14:paraId="1340FABC" w14:textId="77777777" w:rsidR="00691421" w:rsidRDefault="00691421" w:rsidP="00691421">
      <w:pPr>
        <w:spacing w:line="360" w:lineRule="auto"/>
        <w:rPr>
          <w:sz w:val="23"/>
          <w:szCs w:val="23"/>
        </w:rPr>
      </w:pPr>
    </w:p>
    <w:p w14:paraId="3EDFB79E" w14:textId="77777777" w:rsidR="00691421" w:rsidRPr="008010B8" w:rsidRDefault="00691421" w:rsidP="00691421">
      <w:pPr>
        <w:spacing w:line="360" w:lineRule="auto"/>
        <w:rPr>
          <w:sz w:val="23"/>
          <w:szCs w:val="23"/>
        </w:rPr>
      </w:pPr>
      <w:r w:rsidRPr="008010B8">
        <w:rPr>
          <w:sz w:val="23"/>
          <w:szCs w:val="23"/>
        </w:rPr>
        <w:t xml:space="preserve">Media </w:t>
      </w:r>
      <w:r>
        <w:rPr>
          <w:sz w:val="23"/>
          <w:szCs w:val="23"/>
        </w:rPr>
        <w:t>also</w:t>
      </w:r>
      <w:r w:rsidRPr="008010B8">
        <w:rPr>
          <w:sz w:val="23"/>
          <w:szCs w:val="23"/>
        </w:rPr>
        <w:t xml:space="preserve"> discursively shape perceptions of race and </w:t>
      </w:r>
      <w:proofErr w:type="spellStart"/>
      <w:r w:rsidRPr="008010B8">
        <w:rPr>
          <w:sz w:val="23"/>
          <w:szCs w:val="23"/>
        </w:rPr>
        <w:t>carceral</w:t>
      </w:r>
      <w:r>
        <w:rPr>
          <w:sz w:val="23"/>
          <w:szCs w:val="23"/>
        </w:rPr>
        <w:t>ity</w:t>
      </w:r>
      <w:proofErr w:type="spellEnd"/>
      <w:r w:rsidRPr="008010B8">
        <w:rPr>
          <w:sz w:val="23"/>
          <w:szCs w:val="23"/>
        </w:rPr>
        <w:t>. Not only are “racial minorities [overrepresented] as crime suspects and whites as crime victims,” but media also presents “Black and Latino suspects…in a non-individualized and threatening way</w:t>
      </w:r>
      <w:r>
        <w:rPr>
          <w:sz w:val="23"/>
          <w:szCs w:val="23"/>
        </w:rPr>
        <w:t>,</w:t>
      </w:r>
      <w:r w:rsidRPr="008010B8">
        <w:rPr>
          <w:sz w:val="23"/>
          <w:szCs w:val="23"/>
        </w:rPr>
        <w:t>” conditioning the public to both hold racialized perceptions of criminality and to associate information-scarce affective responses with carceral citizens of color</w:t>
      </w:r>
      <w:r>
        <w:rPr>
          <w:sz w:val="23"/>
          <w:szCs w:val="23"/>
        </w:rPr>
        <w:t xml:space="preserve"> </w:t>
      </w:r>
      <w:r w:rsidRPr="008010B8">
        <w:rPr>
          <w:sz w:val="23"/>
          <w:szCs w:val="23"/>
        </w:rPr>
        <w:t>(</w:t>
      </w:r>
      <w:proofErr w:type="spellStart"/>
      <w:r w:rsidRPr="008010B8">
        <w:rPr>
          <w:sz w:val="23"/>
          <w:szCs w:val="23"/>
        </w:rPr>
        <w:t>Ghandnoosh</w:t>
      </w:r>
      <w:proofErr w:type="spellEnd"/>
      <w:r w:rsidRPr="008010B8">
        <w:rPr>
          <w:sz w:val="23"/>
          <w:szCs w:val="23"/>
        </w:rPr>
        <w:t xml:space="preserve"> 2014).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27940084" w14:textId="77777777" w:rsidR="00691421" w:rsidRPr="008010B8" w:rsidRDefault="00691421" w:rsidP="00691421">
      <w:pPr>
        <w:spacing w:line="360" w:lineRule="auto"/>
        <w:rPr>
          <w:sz w:val="23"/>
          <w:szCs w:val="23"/>
        </w:rPr>
      </w:pPr>
    </w:p>
    <w:p w14:paraId="73E492CE" w14:textId="77777777" w:rsidR="00691421" w:rsidRPr="008010B8" w:rsidRDefault="00691421" w:rsidP="00691421">
      <w:pPr>
        <w:spacing w:line="360" w:lineRule="auto"/>
        <w:rPr>
          <w:sz w:val="23"/>
          <w:szCs w:val="23"/>
        </w:rPr>
      </w:pPr>
      <w:r w:rsidRPr="008010B8">
        <w:rPr>
          <w:sz w:val="23"/>
          <w:szCs w:val="23"/>
        </w:rPr>
        <w:t>Well before the “turn” and mass incarceration, systems of punishment</w:t>
      </w:r>
      <w:r>
        <w:rPr>
          <w:sz w:val="23"/>
          <w:szCs w:val="23"/>
        </w:rPr>
        <w:t xml:space="preserve">, </w:t>
      </w:r>
      <w:r w:rsidRPr="008010B8">
        <w:rPr>
          <w:sz w:val="23"/>
          <w:szCs w:val="23"/>
        </w:rPr>
        <w:t>policing</w:t>
      </w:r>
      <w:r>
        <w:rPr>
          <w:sz w:val="23"/>
          <w:szCs w:val="23"/>
        </w:rPr>
        <w:t>, and disenfranchisement</w:t>
      </w:r>
      <w:r w:rsidRPr="008010B8">
        <w:rPr>
          <w:sz w:val="23"/>
          <w:szCs w:val="23"/>
        </w:rPr>
        <w:t xml:space="preserve"> were established to control and curtail Black Americans and Black political power (Fresh and Eubank,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Johnston). This racialization present</w:t>
      </w:r>
      <w:r>
        <w:rPr>
          <w:sz w:val="23"/>
          <w:szCs w:val="23"/>
        </w:rPr>
        <w:t>s</w:t>
      </w:r>
      <w:r w:rsidRPr="008010B8">
        <w:rPr>
          <w:sz w:val="23"/>
          <w:szCs w:val="23"/>
        </w:rPr>
        <w:t xml:space="preserve"> itself throughout levels of the criminal legal system: police disproportionately target and act more aggressively towards Black men and men of color (Gelman, Fagan, and Kiss 2007, Baumgartner, Epp, and </w:t>
      </w:r>
      <w:proofErr w:type="spellStart"/>
      <w:r w:rsidRPr="008010B8">
        <w:rPr>
          <w:sz w:val="23"/>
          <w:szCs w:val="23"/>
        </w:rPr>
        <w:t>Shoub</w:t>
      </w:r>
      <w:proofErr w:type="spellEnd"/>
      <w:r w:rsidRPr="008010B8">
        <w:rPr>
          <w:sz w:val="23"/>
          <w:szCs w:val="23"/>
        </w:rPr>
        <w:t xml:space="preserve"> 2018, Davenport, Soule, and Armstrong 2011), juries seek out mitigating information for white but not Black defendants (Levinson 2007), assume Black men’s guilt (Levinson, Cai and Young 2010) </w:t>
      </w:r>
      <w:r w:rsidRPr="008010B8">
        <w:rPr>
          <w:sz w:val="23"/>
          <w:szCs w:val="23"/>
        </w:rPr>
        <w:lastRenderedPageBreak/>
        <w:t>and sentence Black people more harshly (</w:t>
      </w:r>
      <w:proofErr w:type="spellStart"/>
      <w:r w:rsidRPr="008010B8">
        <w:rPr>
          <w:sz w:val="23"/>
          <w:szCs w:val="23"/>
        </w:rPr>
        <w:t>Rehavi</w:t>
      </w:r>
      <w:proofErr w:type="spellEnd"/>
      <w:r w:rsidRPr="008010B8">
        <w:rPr>
          <w:sz w:val="23"/>
          <w:szCs w:val="23"/>
        </w:rPr>
        <w:t xml:space="preserve"> and Starr 2014), and feel most confident in guilty verdicts based on pigmentation (Levinson and Young 2010)</w:t>
      </w:r>
      <w:r>
        <w:rPr>
          <w:sz w:val="23"/>
          <w:szCs w:val="23"/>
        </w:rPr>
        <w:t>. T</w:t>
      </w:r>
      <w:r w:rsidRPr="008010B8">
        <w:rPr>
          <w:sz w:val="23"/>
          <w:szCs w:val="23"/>
        </w:rPr>
        <w:t xml:space="preserve">rial judges present the same levels of biases as the </w:t>
      </w:r>
      <w:proofErr w:type="gramStart"/>
      <w:r w:rsidRPr="008010B8">
        <w:rPr>
          <w:sz w:val="23"/>
          <w:szCs w:val="23"/>
        </w:rPr>
        <w:t>general public</w:t>
      </w:r>
      <w:proofErr w:type="gramEnd"/>
      <w:r w:rsidRPr="008010B8">
        <w:rPr>
          <w:sz w:val="23"/>
          <w:szCs w:val="23"/>
        </w:rPr>
        <w:t xml:space="preserve"> (</w:t>
      </w:r>
      <w:proofErr w:type="spellStart"/>
      <w:r w:rsidRPr="008010B8">
        <w:rPr>
          <w:sz w:val="23"/>
          <w:szCs w:val="23"/>
        </w:rPr>
        <w:t>Rachlinsi</w:t>
      </w:r>
      <w:proofErr w:type="spellEnd"/>
      <w:r w:rsidRPr="008010B8">
        <w:rPr>
          <w:sz w:val="23"/>
          <w:szCs w:val="23"/>
        </w:rPr>
        <w:t>, Johnson, Wistrich &amp; Guthrie 2009)</w:t>
      </w:r>
      <w:r>
        <w:rPr>
          <w:sz w:val="23"/>
          <w:szCs w:val="23"/>
        </w:rPr>
        <w:t>,</w:t>
      </w:r>
      <w:r w:rsidRPr="008010B8">
        <w:rPr>
          <w:sz w:val="23"/>
          <w:szCs w:val="23"/>
        </w:rPr>
        <w:t xml:space="preserve">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w:t>
      </w:r>
      <w:proofErr w:type="spellStart"/>
      <w:r w:rsidRPr="008010B8">
        <w:rPr>
          <w:sz w:val="23"/>
          <w:szCs w:val="23"/>
        </w:rPr>
        <w:t>Trummer</w:t>
      </w:r>
      <w:proofErr w:type="spellEnd"/>
      <w:r w:rsidRPr="008010B8">
        <w:rPr>
          <w:sz w:val="23"/>
          <w:szCs w:val="23"/>
        </w:rPr>
        <w:t xml:space="preserve"> and Streeter 2021). </w:t>
      </w:r>
    </w:p>
    <w:p w14:paraId="22E0D449" w14:textId="77777777" w:rsidR="00691421" w:rsidRPr="008010B8" w:rsidRDefault="00691421" w:rsidP="00691421">
      <w:pPr>
        <w:spacing w:line="360" w:lineRule="auto"/>
        <w:rPr>
          <w:sz w:val="23"/>
          <w:szCs w:val="23"/>
        </w:rPr>
      </w:pPr>
    </w:p>
    <w:p w14:paraId="4187945F" w14:textId="44ADCD99" w:rsidR="00691421" w:rsidRPr="00721902" w:rsidRDefault="00691421" w:rsidP="00721902">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 </w:t>
      </w:r>
      <w:proofErr w:type="spellStart"/>
      <w:r w:rsidRPr="008010B8">
        <w:rPr>
          <w:sz w:val="23"/>
          <w:szCs w:val="23"/>
        </w:rPr>
        <w:t>Zhirkov</w:t>
      </w:r>
      <w:proofErr w:type="spellEnd"/>
      <w:r w:rsidRPr="008010B8">
        <w:rPr>
          <w:sz w:val="23"/>
          <w:szCs w:val="23"/>
        </w:rPr>
        <w:t xml:space="preserve"> and </w:t>
      </w:r>
      <w:proofErr w:type="spellStart"/>
      <w:r w:rsidRPr="008010B8">
        <w:rPr>
          <w:sz w:val="23"/>
          <w:szCs w:val="23"/>
        </w:rPr>
        <w:t>Quintilla</w:t>
      </w:r>
      <w:proofErr w:type="spellEnd"/>
      <w:r w:rsidRPr="008010B8">
        <w:rPr>
          <w:sz w:val="23"/>
          <w:szCs w:val="23"/>
        </w:rPr>
        <w:t xml:space="preserve"> 2024). But other recent studies find that racial frames have null or negative effects, including on policies that are generally “race neutral” (English and Kalla 2021).</w:t>
      </w:r>
      <w:r w:rsidRPr="008010B8">
        <w:rPr>
          <w:rStyle w:val="FootnoteReference"/>
          <w:sz w:val="23"/>
          <w:szCs w:val="23"/>
        </w:rPr>
        <w:footnoteReference w:id="4"/>
      </w:r>
      <w:r w:rsidRPr="008010B8">
        <w:rPr>
          <w:sz w:val="23"/>
          <w:szCs w:val="23"/>
        </w:rPr>
        <w:t xml:space="preserve"> In a study of perceptions of student loan borrower deservingness, </w:t>
      </w:r>
      <w:proofErr w:type="spellStart"/>
      <w:r w:rsidRPr="008010B8">
        <w:rPr>
          <w:sz w:val="23"/>
          <w:szCs w:val="23"/>
        </w:rPr>
        <w:t>Sorelle</w:t>
      </w:r>
      <w:proofErr w:type="spellEnd"/>
      <w:r w:rsidRPr="008010B8">
        <w:rPr>
          <w:sz w:val="23"/>
          <w:szCs w:val="23"/>
        </w:rPr>
        <w:t xml:space="preserv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w:t>
      </w:r>
      <w:r>
        <w:rPr>
          <w:sz w:val="23"/>
          <w:szCs w:val="23"/>
        </w:rPr>
        <w:t>; t</w:t>
      </w:r>
      <w:r w:rsidRPr="008010B8">
        <w:rPr>
          <w:sz w:val="23"/>
          <w:szCs w:val="23"/>
        </w:rPr>
        <w:t>hey</w:t>
      </w:r>
      <w:r>
        <w:rPr>
          <w:sz w:val="23"/>
          <w:szCs w:val="23"/>
        </w:rPr>
        <w:t xml:space="preserve"> also</w:t>
      </w:r>
      <w:r w:rsidRPr="008010B8">
        <w:rPr>
          <w:sz w:val="23"/>
          <w:szCs w:val="23"/>
        </w:rPr>
        <w:t xml:space="preserve"> find positive racial appeals decrease support for loan relief for Republicans</w:t>
      </w:r>
      <w:r>
        <w:rPr>
          <w:sz w:val="23"/>
          <w:szCs w:val="23"/>
        </w:rPr>
        <w:t xml:space="preserve"> but</w:t>
      </w:r>
      <w:r w:rsidRPr="008010B8">
        <w:rPr>
          <w:sz w:val="23"/>
          <w:szCs w:val="23"/>
        </w:rPr>
        <w:t xml:space="preserve"> have no effect on Democrats.</w:t>
      </w:r>
    </w:p>
    <w:p w14:paraId="739F1FAB" w14:textId="77777777" w:rsidR="008C0B11" w:rsidRDefault="008C0B11" w:rsidP="008C0B11">
      <w:pPr>
        <w:spacing w:line="360" w:lineRule="auto"/>
        <w:rPr>
          <w:sz w:val="23"/>
          <w:szCs w:val="23"/>
        </w:rPr>
      </w:pPr>
    </w:p>
    <w:p w14:paraId="3A8EE2A6" w14:textId="77777777" w:rsidR="008C0B11" w:rsidRDefault="008C0B11" w:rsidP="008C0B11">
      <w:pPr>
        <w:spacing w:line="360" w:lineRule="auto"/>
        <w:rPr>
          <w:sz w:val="23"/>
          <w:szCs w:val="23"/>
        </w:rPr>
      </w:pPr>
      <w:r w:rsidRPr="005D5C09">
        <w:rPr>
          <w:b/>
          <w:bCs/>
          <w:sz w:val="23"/>
          <w:szCs w:val="23"/>
        </w:rPr>
        <w:t>Theory and Hypotheses</w:t>
      </w:r>
    </w:p>
    <w:p w14:paraId="1699DA24" w14:textId="77777777" w:rsidR="008C0B11" w:rsidRDefault="008C0B11" w:rsidP="008C0B11">
      <w:pPr>
        <w:spacing w:line="360" w:lineRule="auto"/>
        <w:rPr>
          <w:sz w:val="23"/>
          <w:szCs w:val="23"/>
        </w:rPr>
      </w:pPr>
      <w:r>
        <w:rPr>
          <w:sz w:val="23"/>
          <w:szCs w:val="23"/>
        </w:rPr>
        <w:t>In this paper, I ask how direct experience with the criminal legal system shapes perceptions of what incarcerated people deserve. Here, I contribute to the research by ascertaining whether</w:t>
      </w:r>
      <w:r w:rsidRPr="0016031C">
        <w:rPr>
          <w:sz w:val="23"/>
          <w:szCs w:val="23"/>
        </w:rPr>
        <w:t xml:space="preserve"> the relationship between perceptions of deservingness and policy preferences differ between those with and without direct experience</w:t>
      </w:r>
      <w:r>
        <w:rPr>
          <w:sz w:val="23"/>
          <w:szCs w:val="23"/>
        </w:rPr>
        <w:t xml:space="preserve">. </w:t>
      </w:r>
    </w:p>
    <w:p w14:paraId="275256C5" w14:textId="77777777" w:rsidR="008C0B11" w:rsidRDefault="008C0B11" w:rsidP="008C0B11">
      <w:pPr>
        <w:spacing w:line="360" w:lineRule="auto"/>
        <w:rPr>
          <w:sz w:val="23"/>
          <w:szCs w:val="23"/>
        </w:rPr>
      </w:pPr>
    </w:p>
    <w:p w14:paraId="1CD7862E" w14:textId="77777777" w:rsidR="008C0B11" w:rsidRPr="0016031C" w:rsidRDefault="008C0B11" w:rsidP="008C0B11">
      <w:pPr>
        <w:spacing w:line="360" w:lineRule="auto"/>
        <w:rPr>
          <w:sz w:val="23"/>
          <w:szCs w:val="23"/>
        </w:rPr>
      </w:pPr>
      <w:r>
        <w:rPr>
          <w:sz w:val="23"/>
          <w:szCs w:val="23"/>
        </w:rPr>
        <w:t>Second, and more broadly, I seek to discern how perceptions of deservingness in the carceral context operate in relation to perceptions in other policy domains – such as welfare, healthcare, or education</w:t>
      </w:r>
      <w:r w:rsidDel="00F04811">
        <w:rPr>
          <w:sz w:val="23"/>
          <w:szCs w:val="23"/>
        </w:rPr>
        <w:t xml:space="preserve"> </w:t>
      </w:r>
      <w:r>
        <w:rPr>
          <w:sz w:val="23"/>
          <w:szCs w:val="23"/>
        </w:rPr>
        <w:t>-- and</w:t>
      </w:r>
      <w:r w:rsidRPr="008010B8">
        <w:rPr>
          <w:sz w:val="23"/>
          <w:szCs w:val="23"/>
        </w:rPr>
        <w:t xml:space="preserve"> specifically </w:t>
      </w:r>
      <w:r>
        <w:rPr>
          <w:sz w:val="23"/>
          <w:szCs w:val="23"/>
        </w:rPr>
        <w:t>with respect to how</w:t>
      </w:r>
      <w:r w:rsidRPr="008010B8">
        <w:rPr>
          <w:sz w:val="23"/>
          <w:szCs w:val="23"/>
        </w:rPr>
        <w:t xml:space="preserve"> affect (moral disgust/dehumanization) and identity shape deservingness perceptions differently in </w:t>
      </w:r>
      <w:r>
        <w:rPr>
          <w:sz w:val="23"/>
          <w:szCs w:val="23"/>
        </w:rPr>
        <w:t>matters of deserving punishment versus deserving help.</w:t>
      </w:r>
    </w:p>
    <w:p w14:paraId="1343588C" w14:textId="77777777" w:rsidR="008C0B11" w:rsidRDefault="008C0B11" w:rsidP="008C0B11">
      <w:pPr>
        <w:spacing w:line="360" w:lineRule="auto"/>
        <w:rPr>
          <w:sz w:val="23"/>
          <w:szCs w:val="23"/>
        </w:rPr>
      </w:pPr>
    </w:p>
    <w:p w14:paraId="19A8B16D" w14:textId="77777777" w:rsidR="008C0B11" w:rsidRPr="005D5C09" w:rsidRDefault="008C0B11" w:rsidP="008C0B11">
      <w:pPr>
        <w:spacing w:line="360" w:lineRule="auto"/>
        <w:rPr>
          <w:b/>
          <w:bCs/>
          <w:sz w:val="23"/>
          <w:szCs w:val="23"/>
        </w:rPr>
      </w:pPr>
      <w:r w:rsidRPr="005D5C09">
        <w:rPr>
          <w:b/>
          <w:bCs/>
          <w:sz w:val="23"/>
          <w:szCs w:val="23"/>
        </w:rPr>
        <w:lastRenderedPageBreak/>
        <w:t>Exposure: Social Networks &amp; Victims</w:t>
      </w:r>
    </w:p>
    <w:p w14:paraId="77AB6FC5" w14:textId="77777777" w:rsidR="008C0B11" w:rsidRDefault="008C0B11" w:rsidP="008C0B11">
      <w:pPr>
        <w:spacing w:line="360" w:lineRule="auto"/>
        <w:rPr>
          <w:sz w:val="23"/>
          <w:szCs w:val="23"/>
        </w:rPr>
      </w:pPr>
      <w:r>
        <w:rPr>
          <w:sz w:val="23"/>
          <w:szCs w:val="23"/>
        </w:rPr>
        <w:t xml:space="preserve">Experience with the carceral system, I </w:t>
      </w:r>
      <w:proofErr w:type="gramStart"/>
      <w:r>
        <w:rPr>
          <w:sz w:val="23"/>
          <w:szCs w:val="23"/>
        </w:rPr>
        <w:t>expect,</w:t>
      </w:r>
      <w:proofErr w:type="gramEnd"/>
      <w:r>
        <w:rPr>
          <w:sz w:val="23"/>
          <w:szCs w:val="23"/>
        </w:rPr>
        <w:t xml:space="preserve"> shapes how people think about, and what people think, incarcerated individuals deserve. While direct impact can be far more </w:t>
      </w:r>
      <w:proofErr w:type="gramStart"/>
      <w:r>
        <w:rPr>
          <w:sz w:val="23"/>
          <w:szCs w:val="23"/>
        </w:rPr>
        <w:t>broadly-conceived</w:t>
      </w:r>
      <w:proofErr w:type="gramEnd"/>
      <w:r>
        <w:rPr>
          <w:sz w:val="23"/>
          <w:szCs w:val="23"/>
        </w:rPr>
        <w:t xml:space="preserve">, here I consider three forms:  being incarcerated, having social ties that include people in prison, and also being victimized. I theorize that personal impact plays a distinct role in deservingness perceptions in carceral contexts as it may impact affective responses to carceral citizens – and because it has important identity attributes of its own. </w:t>
      </w:r>
    </w:p>
    <w:p w14:paraId="06EBDC38" w14:textId="77777777" w:rsidR="008C0B11" w:rsidRDefault="008C0B11" w:rsidP="008C0B11">
      <w:pPr>
        <w:spacing w:line="360" w:lineRule="auto"/>
        <w:rPr>
          <w:sz w:val="23"/>
          <w:szCs w:val="23"/>
        </w:rPr>
      </w:pPr>
    </w:p>
    <w:p w14:paraId="216C095E" w14:textId="77777777" w:rsidR="008C0B11" w:rsidRDefault="008C0B11" w:rsidP="008C0B11">
      <w:pPr>
        <w:spacing w:line="360" w:lineRule="auto"/>
        <w:rPr>
          <w:sz w:val="23"/>
          <w:szCs w:val="23"/>
        </w:rPr>
      </w:pPr>
      <w:r>
        <w:rPr>
          <w:sz w:val="23"/>
          <w:szCs w:val="23"/>
        </w:rPr>
        <w:t>CARIN mechanisms were developed to explain how people deal with uncertainty and discern between “helpers” and “freeloaders” (</w:t>
      </w:r>
      <w:r w:rsidRPr="008010B8">
        <w:rPr>
          <w:sz w:val="23"/>
          <w:szCs w:val="23"/>
        </w:rPr>
        <w:t>Petersen 2012</w:t>
      </w:r>
      <w:r>
        <w:rPr>
          <w:sz w:val="23"/>
          <w:szCs w:val="23"/>
        </w:rPr>
        <w:t>).  But w</w:t>
      </w:r>
      <w:r w:rsidRPr="008010B8">
        <w:rPr>
          <w:sz w:val="23"/>
          <w:szCs w:val="23"/>
        </w:rPr>
        <w:t>hether termed “criminals,” “prisoners,” “felons,” or “inmates,” language most-commonly used to refer to</w:t>
      </w:r>
      <w:r>
        <w:rPr>
          <w:sz w:val="23"/>
          <w:szCs w:val="23"/>
        </w:rPr>
        <w:t xml:space="preserve"> or frame</w:t>
      </w:r>
      <w:r w:rsidRPr="008010B8">
        <w:rPr>
          <w:sz w:val="23"/>
          <w:szCs w:val="23"/>
        </w:rPr>
        <w:t xml:space="preserve"> incarcerated people </w:t>
      </w:r>
      <w:r>
        <w:rPr>
          <w:sz w:val="23"/>
          <w:szCs w:val="23"/>
        </w:rPr>
        <w:t xml:space="preserve">and criminal legal policy </w:t>
      </w:r>
      <w:r w:rsidRPr="008010B8">
        <w:rPr>
          <w:sz w:val="23"/>
          <w:szCs w:val="23"/>
        </w:rPr>
        <w:t>is information rich. It communicates a pre-determined norm-violator status – the very definition of “deviance”</w:t>
      </w:r>
      <w:r>
        <w:rPr>
          <w:sz w:val="23"/>
          <w:szCs w:val="23"/>
        </w:rPr>
        <w:t xml:space="preserve"> – and directly invokes dehumanized stereotypes, which both independently generate disgust. Carceral citizens are also a discursively dehumanized (Vasiljevic and Viki 2014). This likely strengthens prejudicial views, bias, support for particularly harsh treatment, and punitiveness (Dasgupta et al 2009, Bain et al 2024, </w:t>
      </w:r>
      <w:proofErr w:type="spellStart"/>
      <w:r>
        <w:rPr>
          <w:sz w:val="23"/>
          <w:szCs w:val="23"/>
        </w:rPr>
        <w:t>Ellemers</w:t>
      </w:r>
      <w:proofErr w:type="spellEnd"/>
      <w:r>
        <w:rPr>
          <w:sz w:val="23"/>
          <w:szCs w:val="23"/>
        </w:rPr>
        <w:t xml:space="preserve"> 2017). Disgust may override “CARIN” mechanisms. Alternatively, given assumptions of innate culpability, aggression, incompetence, and coldness (Rozin et al 2008, Fiske et al 2002), affective responses could directly inform a perception that the carceral citizen has total control of their status and thus have no need, and further assumptions that incarcerated people are ungrateful (attitude) and unwilling to reciprocate; together, these assessments translate into an undeserving status (Oorschot 2006). </w:t>
      </w:r>
    </w:p>
    <w:p w14:paraId="48B01764" w14:textId="77777777" w:rsidR="008C0B11" w:rsidRDefault="008C0B11" w:rsidP="008C0B11">
      <w:pPr>
        <w:spacing w:line="360" w:lineRule="auto"/>
        <w:rPr>
          <w:sz w:val="23"/>
          <w:szCs w:val="23"/>
        </w:rPr>
      </w:pPr>
    </w:p>
    <w:p w14:paraId="267E32AB" w14:textId="77777777" w:rsidR="008C0B11" w:rsidRDefault="008C0B11" w:rsidP="008C0B11">
      <w:pPr>
        <w:spacing w:line="360" w:lineRule="auto"/>
        <w:rPr>
          <w:sz w:val="23"/>
          <w:szCs w:val="23"/>
        </w:rPr>
      </w:pPr>
      <w:r>
        <w:rPr>
          <w:sz w:val="23"/>
          <w:szCs w:val="23"/>
        </w:rPr>
        <w:t>However, affect 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Pr="00CB058D">
        <w:rPr>
          <w:sz w:val="23"/>
          <w:szCs w:val="23"/>
        </w:rPr>
        <w:t>support for rehabilitative policies (</w:t>
      </w:r>
      <w:proofErr w:type="spellStart"/>
      <w:r w:rsidRPr="00CB058D">
        <w:rPr>
          <w:sz w:val="23"/>
          <w:szCs w:val="23"/>
        </w:rPr>
        <w:t>Thielo</w:t>
      </w:r>
      <w:proofErr w:type="spellEnd"/>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2019).</w:t>
      </w:r>
      <w:r w:rsidRPr="00F312B5">
        <w:rPr>
          <w:sz w:val="23"/>
          <w:szCs w:val="23"/>
        </w:rPr>
        <w:t xml:space="preserve"> </w:t>
      </w:r>
      <w:r>
        <w:rPr>
          <w:sz w:val="23"/>
          <w:szCs w:val="23"/>
        </w:rPr>
        <w:t xml:space="preserve">As in the CARIN literature, identity refers to the extent to which a target is perceived as proximate to one’s own group or identity.  I offer that identity should also refer to the identity of the carceral citizen, </w:t>
      </w:r>
      <w:proofErr w:type="gramStart"/>
      <w:r>
        <w:rPr>
          <w:sz w:val="23"/>
          <w:szCs w:val="23"/>
        </w:rPr>
        <w:t>and in particular, what</w:t>
      </w:r>
      <w:proofErr w:type="gramEnd"/>
      <w:r>
        <w:rPr>
          <w:sz w:val="23"/>
          <w:szCs w:val="23"/>
        </w:rPr>
        <w:t xml:space="preserve"> “carceral subset” they are a part as well as a whether the evaluator is directly impacted by the carceral system</w:t>
      </w:r>
      <w:r w:rsidRPr="005A1C0E">
        <w:rPr>
          <w:sz w:val="23"/>
          <w:szCs w:val="23"/>
        </w:rPr>
        <w:t xml:space="preserve">. </w:t>
      </w:r>
      <w:r>
        <w:rPr>
          <w:sz w:val="23"/>
          <w:szCs w:val="23"/>
        </w:rPr>
        <w:t xml:space="preserve">I suggest identity may mediate affect. </w:t>
      </w:r>
    </w:p>
    <w:p w14:paraId="526A8DB5" w14:textId="77777777" w:rsidR="008C0B11" w:rsidRDefault="008C0B11" w:rsidP="008C0B11">
      <w:pPr>
        <w:spacing w:line="360" w:lineRule="auto"/>
        <w:rPr>
          <w:sz w:val="23"/>
          <w:szCs w:val="23"/>
        </w:rPr>
      </w:pPr>
    </w:p>
    <w:p w14:paraId="5CCB2C73" w14:textId="77777777" w:rsidR="008C0B11" w:rsidRDefault="008C0B11" w:rsidP="008C0B11">
      <w:pPr>
        <w:spacing w:line="360" w:lineRule="auto"/>
        <w:rPr>
          <w:sz w:val="23"/>
          <w:szCs w:val="23"/>
        </w:rPr>
      </w:pPr>
      <w:r>
        <w:rPr>
          <w:sz w:val="23"/>
          <w:szCs w:val="23"/>
        </w:rPr>
        <w:t xml:space="preserve">Impacted groups’ perceptions might involve a different – if only muted – affective response.  </w:t>
      </w:r>
    </w:p>
    <w:p w14:paraId="79750D7E" w14:textId="380017D6" w:rsidR="008C0B11" w:rsidRDefault="008C0B11" w:rsidP="008C0B11">
      <w:pPr>
        <w:spacing w:line="360" w:lineRule="auto"/>
        <w:rPr>
          <w:sz w:val="23"/>
          <w:szCs w:val="23"/>
        </w:rPr>
      </w:pPr>
      <w:r>
        <w:rPr>
          <w:sz w:val="23"/>
          <w:szCs w:val="23"/>
        </w:rPr>
        <w:t>People</w:t>
      </w:r>
      <w:r w:rsidRPr="008010B8">
        <w:rPr>
          <w:sz w:val="23"/>
          <w:szCs w:val="23"/>
        </w:rPr>
        <w:t xml:space="preserve"> with incarcerated family members or friends </w:t>
      </w:r>
      <w:r>
        <w:rPr>
          <w:sz w:val="23"/>
          <w:szCs w:val="23"/>
        </w:rPr>
        <w:t xml:space="preserve">may rely less on </w:t>
      </w:r>
      <w:r w:rsidRPr="008010B8">
        <w:rPr>
          <w:sz w:val="23"/>
          <w:szCs w:val="23"/>
        </w:rPr>
        <w:t xml:space="preserve">dehumanizing stereotypes that often drive immediate affective responses. Where I suspect that individuals with no incarcerated </w:t>
      </w:r>
      <w:r w:rsidRPr="008010B8">
        <w:rPr>
          <w:sz w:val="23"/>
          <w:szCs w:val="23"/>
        </w:rPr>
        <w:lastRenderedPageBreak/>
        <w:t>social network can more readily construct “the prisoner” as a dehumanized abstraction or a stereotype, people who are impacted may instead form judgements drawing on concrete experiences</w:t>
      </w:r>
      <w:r>
        <w:rPr>
          <w:sz w:val="23"/>
          <w:szCs w:val="23"/>
        </w:rPr>
        <w:t xml:space="preserve"> and </w:t>
      </w:r>
      <w:r w:rsidR="00D56089">
        <w:rPr>
          <w:sz w:val="23"/>
          <w:szCs w:val="23"/>
        </w:rPr>
        <w:t>relationships</w:t>
      </w:r>
      <w:r w:rsidRPr="008010B8">
        <w:rPr>
          <w:sz w:val="23"/>
          <w:szCs w:val="23"/>
        </w:rPr>
        <w:t xml:space="preserve">. </w:t>
      </w:r>
      <w:r>
        <w:rPr>
          <w:sz w:val="23"/>
          <w:szCs w:val="23"/>
        </w:rPr>
        <w:t>A</w:t>
      </w:r>
      <w:r w:rsidRPr="008010B8">
        <w:rPr>
          <w:sz w:val="23"/>
          <w:szCs w:val="23"/>
        </w:rPr>
        <w:t xml:space="preserve"> more intimate knowledge of systemic drivers of incarceration and realities of conditions of confinement, or the myriad costs incurred by families of the incarcerated, may shape perceptions of need, control, attitude and reciprocity</w:t>
      </w:r>
      <w:bookmarkStart w:id="1" w:name="OLE_LINK1"/>
      <w:r>
        <w:rPr>
          <w:sz w:val="23"/>
          <w:szCs w:val="23"/>
        </w:rPr>
        <w:t xml:space="preserve">. Closeness to the group may, to </w:t>
      </w:r>
      <w:r w:rsidRPr="008010B8">
        <w:rPr>
          <w:sz w:val="23"/>
          <w:szCs w:val="23"/>
        </w:rPr>
        <w:t>some degree</w:t>
      </w:r>
      <w:r>
        <w:rPr>
          <w:sz w:val="23"/>
          <w:szCs w:val="23"/>
        </w:rPr>
        <w:t>,</w:t>
      </w:r>
      <w:r w:rsidRPr="008010B8">
        <w:rPr>
          <w:sz w:val="23"/>
          <w:szCs w:val="23"/>
        </w:rPr>
        <w:t xml:space="preserve"> reduce susceptibility to information scarcity (Lee, Porter, and Comfort 2014, Christian et al. 2019). </w:t>
      </w:r>
      <w:r>
        <w:rPr>
          <w:sz w:val="23"/>
          <w:szCs w:val="23"/>
        </w:rPr>
        <w:t xml:space="preserve"> </w:t>
      </w:r>
      <w:bookmarkEnd w:id="1"/>
      <w:r>
        <w:rPr>
          <w:sz w:val="23"/>
          <w:szCs w:val="23"/>
        </w:rPr>
        <w:t>Further, “acceptable” punitiveness has changed over time and across contexts (Foucault 1975), and it is important to people to be perceived as moral, particularly by their in-group (</w:t>
      </w:r>
      <w:proofErr w:type="spellStart"/>
      <w:r>
        <w:rPr>
          <w:sz w:val="23"/>
          <w:szCs w:val="23"/>
        </w:rPr>
        <w:t>Ellemers</w:t>
      </w:r>
      <w:proofErr w:type="spellEnd"/>
      <w:r>
        <w:rPr>
          <w:sz w:val="23"/>
          <w:szCs w:val="23"/>
        </w:rPr>
        <w:t xml:space="preserve"> and Van der </w:t>
      </w:r>
      <w:proofErr w:type="spellStart"/>
      <w:r>
        <w:rPr>
          <w:sz w:val="23"/>
          <w:szCs w:val="23"/>
        </w:rPr>
        <w:t>Toorn</w:t>
      </w:r>
      <w:proofErr w:type="spellEnd"/>
      <w:r>
        <w:rPr>
          <w:sz w:val="23"/>
          <w:szCs w:val="23"/>
        </w:rPr>
        <w:t xml:space="preserve"> 2015). This may suggest having people whose social networks that include incarcerated people are more likely to experience reflexivity in reaction to their own disgust directed at another person. In other words, these groups could feel shame in response to their own disgusted or punitive reaction (Heffner and Feldman Hall 2019)</w:t>
      </w:r>
    </w:p>
    <w:p w14:paraId="1A939330" w14:textId="77777777" w:rsidR="008C0B11" w:rsidRDefault="008C0B11" w:rsidP="008C0B11">
      <w:pPr>
        <w:spacing w:line="360" w:lineRule="auto"/>
        <w:rPr>
          <w:sz w:val="23"/>
          <w:szCs w:val="23"/>
        </w:rPr>
      </w:pPr>
    </w:p>
    <w:p w14:paraId="2A824805" w14:textId="00EEB7CB" w:rsidR="008C0B11" w:rsidRDefault="008C0B11" w:rsidP="008C0B11">
      <w:pPr>
        <w:spacing w:line="360" w:lineRule="auto"/>
        <w:rPr>
          <w:sz w:val="23"/>
          <w:szCs w:val="23"/>
        </w:rPr>
      </w:pPr>
      <w:r>
        <w:rPr>
          <w:sz w:val="23"/>
          <w:szCs w:val="23"/>
        </w:rPr>
        <w:t xml:space="preserve">Impacted and non-impact people may also experience policy contexts differently. Policy context involves a relational dynamic between the perceiver, policy object, and person or group whose deservingness of the object is in question. </w:t>
      </w:r>
      <w:r w:rsidR="00D56089">
        <w:rPr>
          <w:sz w:val="23"/>
          <w:szCs w:val="23"/>
        </w:rPr>
        <w:t>As noted, t</w:t>
      </w:r>
      <w:r>
        <w:rPr>
          <w:sz w:val="23"/>
          <w:szCs w:val="23"/>
        </w:rPr>
        <w:t xml:space="preserve">his dynamic may be hierarchical – a perceiver considers how a policy towards a target impacts their own status relative to the target. Such considerations can determine who deserves what, and policy context matters because some policies will challenge these hierarchies and others will not – informing perceptions of deservingness (Fanon 1952, 1961). </w:t>
      </w:r>
    </w:p>
    <w:p w14:paraId="6311A867" w14:textId="77777777" w:rsidR="008C0B11" w:rsidRDefault="008C0B11" w:rsidP="008C0B11">
      <w:pPr>
        <w:spacing w:line="360" w:lineRule="auto"/>
        <w:rPr>
          <w:sz w:val="23"/>
          <w:szCs w:val="23"/>
        </w:rPr>
      </w:pPr>
    </w:p>
    <w:p w14:paraId="37766749" w14:textId="77777777" w:rsidR="008C0B11" w:rsidRDefault="008C0B11" w:rsidP="008C0B11">
      <w:pPr>
        <w:spacing w:line="360" w:lineRule="auto"/>
        <w:rPr>
          <w:sz w:val="23"/>
          <w:szCs w:val="23"/>
        </w:rPr>
      </w:pPr>
      <w:r>
        <w:rPr>
          <w:sz w:val="23"/>
          <w:szCs w:val="23"/>
        </w:rPr>
        <w:t>In carceral contexts, affective responses may prompt people to want to morally differentiate a carceral target. Some policies will challenge this moral differentiation, and others will not. Prison education policies, for instance, may maintain an evaluator’s sense of moral differentiation, or square with a racially paternalist impulse to a support rights and ‘betterment’ of a still-subordinated group (Jackman 1994, van Cleve).  California’s rejected equal-pay ballot question, conversely, suggests the carceral citizen and perceiver are economic and moral equals – instead of being someone who graciously supports “helping the deviant better themselves,” the notion of a “prisoners’” entitlement to the same minimum wage as oneself may be perceived as a matter of lowering one’s own position to that of the “deviant.” People whose interest is in reducing recidivism or reducing economic inequality might otherwise lead them to support minimum-wage pay may be blocked from doing so – leaving their values at prison gates.</w:t>
      </w:r>
    </w:p>
    <w:p w14:paraId="54653CA0" w14:textId="77777777" w:rsidR="008C0B11" w:rsidRDefault="008C0B11" w:rsidP="008C0B11">
      <w:pPr>
        <w:spacing w:line="360" w:lineRule="auto"/>
        <w:rPr>
          <w:sz w:val="23"/>
          <w:szCs w:val="23"/>
        </w:rPr>
      </w:pPr>
    </w:p>
    <w:p w14:paraId="4AD3AF8C" w14:textId="77777777" w:rsidR="008C0B11" w:rsidRPr="008010B8" w:rsidRDefault="008C0B11" w:rsidP="008C0B11">
      <w:pPr>
        <w:spacing w:line="360" w:lineRule="auto"/>
        <w:rPr>
          <w:sz w:val="23"/>
          <w:szCs w:val="23"/>
        </w:rPr>
      </w:pPr>
      <w:r>
        <w:rPr>
          <w:sz w:val="23"/>
          <w:szCs w:val="23"/>
        </w:rPr>
        <w:lastRenderedPageBreak/>
        <w:t xml:space="preserve">However, directly impacted groups may be less motivated to differentiate themselves from carceral citizens, and thus less motivated to differentiate in the kinds of policy they support. </w:t>
      </w:r>
    </w:p>
    <w:p w14:paraId="36027D81" w14:textId="77777777" w:rsidR="008C0B11" w:rsidRPr="008010B8" w:rsidRDefault="008C0B11" w:rsidP="008C0B11">
      <w:pPr>
        <w:spacing w:line="360" w:lineRule="auto"/>
        <w:rPr>
          <w:sz w:val="23"/>
          <w:szCs w:val="23"/>
        </w:rPr>
      </w:pPr>
    </w:p>
    <w:p w14:paraId="18958A11" w14:textId="77777777" w:rsidR="008C0B11" w:rsidRDefault="008C0B11" w:rsidP="008C0B11">
      <w:pPr>
        <w:spacing w:line="360" w:lineRule="auto"/>
        <w:rPr>
          <w:sz w:val="23"/>
          <w:szCs w:val="23"/>
        </w:rPr>
      </w:pPr>
      <w:r w:rsidRPr="008010B8">
        <w:rPr>
          <w:sz w:val="23"/>
          <w:szCs w:val="23"/>
        </w:rPr>
        <w:t xml:space="preserve">While victims’ rights groups are often portrayed as drivers of punitive policy, I expect that many victims (particularly of violent crime) have different judgements about what incarcerated people deserve and policy that that narrative might suggest. </w:t>
      </w:r>
      <w:r>
        <w:rPr>
          <w:sz w:val="23"/>
          <w:szCs w:val="23"/>
        </w:rPr>
        <w:t xml:space="preserve">Perceptions may substantively differ between victims themselves, and friends and family of victims. 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 This may explain why being victimized does not increase support for harsher punishment (</w:t>
      </w:r>
      <w:proofErr w:type="spellStart"/>
      <w:r>
        <w:rPr>
          <w:sz w:val="23"/>
          <w:szCs w:val="23"/>
        </w:rPr>
        <w:t>Kleck</w:t>
      </w:r>
      <w:proofErr w:type="spellEnd"/>
      <w:r>
        <w:rPr>
          <w:sz w:val="23"/>
          <w:szCs w:val="23"/>
        </w:rPr>
        <w:t xml:space="preserve"> and Jackson 2016</w:t>
      </w:r>
      <w:proofErr w:type="gramStart"/>
      <w:r>
        <w:rPr>
          <w:sz w:val="23"/>
          <w:szCs w:val="23"/>
        </w:rPr>
        <w:t>), and</w:t>
      </w:r>
      <w:proofErr w:type="gramEnd"/>
      <w:r>
        <w:rPr>
          <w:sz w:val="23"/>
          <w:szCs w:val="23"/>
        </w:rPr>
        <w:t xml:space="preserve"> instead increases support for policies that address “root causes” of crime (ASJ 2024). Further, it may contribute to sentiment among victims that </w:t>
      </w:r>
      <w:r w:rsidRPr="008010B8">
        <w:rPr>
          <w:sz w:val="23"/>
          <w:szCs w:val="23"/>
        </w:rPr>
        <w:t xml:space="preserve">the criminal legal system is inadequately oriented towards </w:t>
      </w:r>
      <w:r w:rsidRPr="000D3B1A">
        <w:rPr>
          <w:i/>
          <w:iCs/>
          <w:sz w:val="23"/>
          <w:szCs w:val="23"/>
        </w:rPr>
        <w:t>meaningful</w:t>
      </w:r>
      <w:r w:rsidRPr="008010B8">
        <w:rPr>
          <w:sz w:val="23"/>
          <w:szCs w:val="23"/>
        </w:rPr>
        <w:t xml:space="preserve"> victim safety and justice (see Thompson 2009).  </w:t>
      </w:r>
    </w:p>
    <w:p w14:paraId="3BDE7D9A" w14:textId="77777777" w:rsidR="008C0B11" w:rsidRDefault="008C0B11" w:rsidP="008C0B11">
      <w:pPr>
        <w:spacing w:line="360" w:lineRule="auto"/>
        <w:rPr>
          <w:sz w:val="23"/>
          <w:szCs w:val="23"/>
        </w:rPr>
      </w:pPr>
    </w:p>
    <w:p w14:paraId="61854519" w14:textId="7DAF33BE" w:rsidR="008C0B11" w:rsidRDefault="008C0B11" w:rsidP="008C0B11">
      <w:pPr>
        <w:spacing w:line="360" w:lineRule="auto"/>
        <w:rPr>
          <w:sz w:val="23"/>
          <w:szCs w:val="23"/>
        </w:rPr>
      </w:pPr>
      <w:r>
        <w:rPr>
          <w:sz w:val="23"/>
          <w:szCs w:val="23"/>
        </w:rPr>
        <w:t>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if not false binar</w:t>
      </w:r>
      <w:r>
        <w:rPr>
          <w:sz w:val="23"/>
          <w:szCs w:val="23"/>
        </w:rPr>
        <w:t>y. A</w:t>
      </w:r>
      <w:r w:rsidRPr="008010B8">
        <w:rPr>
          <w:sz w:val="23"/>
          <w:szCs w:val="23"/>
        </w:rPr>
        <w:t>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Pr>
          <w:sz w:val="23"/>
          <w:szCs w:val="23"/>
        </w:rPr>
        <w:t>. W</w:t>
      </w:r>
      <w:r w:rsidRPr="008010B8">
        <w:rPr>
          <w:sz w:val="23"/>
          <w:szCs w:val="23"/>
        </w:rPr>
        <w:t>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w:t>
      </w:r>
      <w:r w:rsidR="000B6E68">
        <w:rPr>
          <w:sz w:val="23"/>
          <w:szCs w:val="23"/>
        </w:rPr>
        <w:t>4</w:t>
      </w:r>
      <w:r w:rsidRPr="008010B8">
        <w:rPr>
          <w:sz w:val="23"/>
          <w:szCs w:val="23"/>
        </w:rPr>
        <w:t>), victims of violent crime may also be more likely to have social ties that exten</w:t>
      </w:r>
      <w:r>
        <w:rPr>
          <w:sz w:val="23"/>
          <w:szCs w:val="23"/>
        </w:rPr>
        <w:t>d</w:t>
      </w:r>
      <w:r w:rsidRPr="008010B8">
        <w:rPr>
          <w:sz w:val="23"/>
          <w:szCs w:val="23"/>
        </w:rPr>
        <w:t xml:space="preserve"> beyond prison walls. </w:t>
      </w:r>
    </w:p>
    <w:p w14:paraId="50B8CD36" w14:textId="77777777" w:rsidR="008C0B11" w:rsidRPr="008010B8" w:rsidRDefault="008C0B11" w:rsidP="008C0B11">
      <w:pPr>
        <w:spacing w:line="360" w:lineRule="auto"/>
        <w:rPr>
          <w:sz w:val="23"/>
          <w:szCs w:val="23"/>
        </w:rPr>
      </w:pPr>
    </w:p>
    <w:p w14:paraId="5CA5777E" w14:textId="77777777" w:rsidR="008C0B11" w:rsidRDefault="008C0B11" w:rsidP="008C0B11">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(Jefferson 2019, Bonilla-Silva 2003, Jackman 1994, Fanon 1952).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Pr>
          <w:sz w:val="23"/>
          <w:szCs w:val="23"/>
        </w:rPr>
        <w:t xml:space="preserve"> While I do not </w:t>
      </w:r>
      <w:r>
        <w:rPr>
          <w:sz w:val="23"/>
          <w:szCs w:val="23"/>
        </w:rPr>
        <w:lastRenderedPageBreak/>
        <w:t>expect impacted groups to be entirely unreactive to differences between groups of carcel citizens, I do</w:t>
      </w:r>
      <w:r w:rsidRPr="008010B8">
        <w:rPr>
          <w:sz w:val="23"/>
          <w:szCs w:val="23"/>
        </w:rPr>
        <w:t xml:space="preserve"> expect</w:t>
      </w:r>
      <w:r>
        <w:rPr>
          <w:sz w:val="23"/>
          <w:szCs w:val="23"/>
        </w:rPr>
        <w:t xml:space="preserve"> to find that they</w:t>
      </w:r>
      <w:r w:rsidRPr="008010B8">
        <w:rPr>
          <w:sz w:val="23"/>
          <w:szCs w:val="23"/>
        </w:rPr>
        <w:t xml:space="preserve"> </w:t>
      </w:r>
      <w:r>
        <w:rPr>
          <w:sz w:val="23"/>
          <w:szCs w:val="23"/>
        </w:rPr>
        <w:t xml:space="preserve">see carceral citizens as more deserving and hold opinions on what policies carceral citizens deserve that are less contingent on maintaining symbolic punitiveness and a relegated carceral status. </w:t>
      </w:r>
    </w:p>
    <w:p w14:paraId="52E605AC" w14:textId="77777777" w:rsidR="008C0B11" w:rsidRDefault="008C0B11" w:rsidP="008C0B11">
      <w:pPr>
        <w:spacing w:line="360" w:lineRule="auto"/>
        <w:rPr>
          <w:sz w:val="23"/>
          <w:szCs w:val="23"/>
        </w:rPr>
      </w:pPr>
    </w:p>
    <w:p w14:paraId="5D747CB6" w14:textId="77777777" w:rsidR="008C0B11" w:rsidRDefault="008C0B11" w:rsidP="008C0B11">
      <w:pPr>
        <w:spacing w:line="360" w:lineRule="auto"/>
        <w:rPr>
          <w:sz w:val="23"/>
          <w:szCs w:val="23"/>
        </w:rPr>
      </w:pPr>
      <w:r>
        <w:rPr>
          <w:sz w:val="23"/>
          <w:szCs w:val="23"/>
        </w:rPr>
        <w:t xml:space="preserve">To conclude, I expect that impact matters for how people think about incarcerated people and what they deserve. I expect people who are impacted – victims, and those who have been or know incarcerated people – generally will see carceral citizens as more </w:t>
      </w:r>
      <w:proofErr w:type="gramStart"/>
      <w:r>
        <w:rPr>
          <w:sz w:val="23"/>
          <w:szCs w:val="23"/>
        </w:rPr>
        <w:t>deserving, and</w:t>
      </w:r>
      <w:proofErr w:type="gramEnd"/>
      <w:r>
        <w:rPr>
          <w:sz w:val="23"/>
          <w:szCs w:val="23"/>
        </w:rPr>
        <w:t xml:space="preserve"> hold more consistent views on what they deserve. In part, this is a result of different affective responses to the idea of an incarcerated person or criminal because it is not an idea, but a known person and because impacted people may disentangle an emotional response from how they think about fair and effective policy.</w:t>
      </w:r>
    </w:p>
    <w:p w14:paraId="58E13B2A" w14:textId="77777777" w:rsidR="008C0B11" w:rsidRPr="00AC2054" w:rsidRDefault="008C0B11" w:rsidP="008C0B11">
      <w:pPr>
        <w:spacing w:line="360" w:lineRule="auto"/>
        <w:rPr>
          <w:sz w:val="23"/>
          <w:szCs w:val="23"/>
        </w:rPr>
      </w:pPr>
    </w:p>
    <w:p w14:paraId="53A7AD6C" w14:textId="278479BA" w:rsidR="008C0B11" w:rsidRDefault="008C0B11" w:rsidP="008C0B11">
      <w:pPr>
        <w:spacing w:line="360" w:lineRule="auto"/>
        <w:rPr>
          <w:sz w:val="23"/>
          <w:szCs w:val="23"/>
        </w:rPr>
      </w:pPr>
      <w:r w:rsidRPr="00AC2054">
        <w:rPr>
          <w:sz w:val="23"/>
          <w:szCs w:val="23"/>
        </w:rPr>
        <w:t xml:space="preserve">I offer </w:t>
      </w:r>
      <w:r>
        <w:rPr>
          <w:sz w:val="23"/>
          <w:szCs w:val="23"/>
        </w:rPr>
        <w:t>five</w:t>
      </w:r>
      <w:r w:rsidRPr="00AC2054">
        <w:rPr>
          <w:sz w:val="23"/>
          <w:szCs w:val="23"/>
        </w:rPr>
        <w:t xml:space="preserve"> interrelated</w:t>
      </w:r>
      <w:r>
        <w:rPr>
          <w:sz w:val="23"/>
          <w:szCs w:val="23"/>
        </w:rPr>
        <w:t xml:space="preserve"> hypotheses</w:t>
      </w:r>
      <w:r w:rsidR="009B6E73">
        <w:rPr>
          <w:sz w:val="23"/>
          <w:szCs w:val="23"/>
        </w:rPr>
        <w:t>.</w:t>
      </w:r>
    </w:p>
    <w:p w14:paraId="1DF9A838" w14:textId="77777777" w:rsidR="009B6E73" w:rsidRDefault="009B6E73" w:rsidP="00D56089">
      <w:pPr>
        <w:spacing w:line="360" w:lineRule="auto"/>
        <w:rPr>
          <w:i/>
          <w:iCs/>
        </w:rPr>
      </w:pPr>
      <w:r>
        <w:rPr>
          <w:i/>
          <w:iCs/>
          <w:sz w:val="23"/>
          <w:szCs w:val="23"/>
        </w:rPr>
        <w:t>(</w:t>
      </w:r>
      <w:r w:rsidR="008C0B11" w:rsidRPr="00D56089">
        <w:rPr>
          <w:i/>
          <w:iCs/>
          <w:sz w:val="23"/>
          <w:szCs w:val="23"/>
        </w:rPr>
        <w:t>H1A</w:t>
      </w:r>
      <w:r>
        <w:rPr>
          <w:i/>
          <w:iCs/>
          <w:sz w:val="23"/>
          <w:szCs w:val="23"/>
        </w:rPr>
        <w:t>)</w:t>
      </w:r>
      <w:r w:rsidR="008C0B11" w:rsidRPr="00D56089">
        <w:rPr>
          <w:i/>
          <w:iCs/>
          <w:sz w:val="23"/>
          <w:szCs w:val="23"/>
        </w:rPr>
        <w:t xml:space="preserve">: </w:t>
      </w:r>
      <w:r w:rsidR="008C0B11" w:rsidRPr="00D56089">
        <w:rPr>
          <w:i/>
          <w:iCs/>
        </w:rPr>
        <w:t>Groups who are impacted by the criminal legal system perceive carceral citizens as more deserving.</w:t>
      </w:r>
      <w:r w:rsidR="00D56089" w:rsidRPr="00D56089">
        <w:rPr>
          <w:i/>
          <w:iCs/>
        </w:rPr>
        <w:t xml:space="preserve"> </w:t>
      </w:r>
    </w:p>
    <w:p w14:paraId="24C85011" w14:textId="0D93041A" w:rsidR="009B6E73" w:rsidRPr="009B6E73" w:rsidRDefault="00D56089" w:rsidP="00D56089">
      <w:pPr>
        <w:spacing w:line="360" w:lineRule="auto"/>
        <w:rPr>
          <w:i/>
          <w:iCs/>
        </w:rPr>
      </w:pPr>
      <w:r>
        <w:t>As noted, personal impact is a distinct component of identity that may mute negative affective responses. Where many who have not been impacted may respond to dehumanized constructions of carceral citizens, impacted groups may not. However, knowing or being incarcerated and being victimized are distinct experiences, suggesting that how they differentiate between different carceral citizens may not be identical</w:t>
      </w:r>
      <w:r w:rsidR="009B6E73">
        <w:t>, leading to my second hypothesis</w:t>
      </w:r>
      <w:r>
        <w:t xml:space="preserve">: </w:t>
      </w:r>
    </w:p>
    <w:p w14:paraId="7B838C9F" w14:textId="23523BAE" w:rsidR="008C0B11" w:rsidRPr="00D56089" w:rsidRDefault="009B6E73" w:rsidP="009B6E73">
      <w:pPr>
        <w:spacing w:line="360" w:lineRule="auto"/>
        <w:ind w:left="720"/>
      </w:pPr>
      <w:r>
        <w:rPr>
          <w:i/>
          <w:iCs/>
          <w:sz w:val="23"/>
          <w:szCs w:val="23"/>
        </w:rPr>
        <w:t>(</w:t>
      </w:r>
      <w:r w:rsidR="008C0B11" w:rsidRPr="00D56089">
        <w:rPr>
          <w:i/>
          <w:iCs/>
          <w:sz w:val="23"/>
          <w:szCs w:val="23"/>
        </w:rPr>
        <w:t>H1B</w:t>
      </w:r>
      <w:r>
        <w:rPr>
          <w:i/>
          <w:iCs/>
          <w:sz w:val="23"/>
          <w:szCs w:val="23"/>
        </w:rPr>
        <w:t>)</w:t>
      </w:r>
      <w:r w:rsidR="008C0B11" w:rsidRPr="00D56089">
        <w:rPr>
          <w:i/>
          <w:iCs/>
          <w:sz w:val="23"/>
          <w:szCs w:val="23"/>
        </w:rPr>
        <w:t>: Groups who are impacted by the criminal legal system differentiate between carceral subsets (a) less than those who are not directly impacted and (b) differently from each other – as in, victims versus people with incarcerated friends/family.</w:t>
      </w:r>
    </w:p>
    <w:p w14:paraId="4D650B25" w14:textId="77777777" w:rsidR="009B6E73" w:rsidRDefault="009B6E73" w:rsidP="008C0B11">
      <w:pPr>
        <w:spacing w:line="360" w:lineRule="auto"/>
        <w:rPr>
          <w:sz w:val="23"/>
          <w:szCs w:val="23"/>
        </w:rPr>
      </w:pPr>
    </w:p>
    <w:p w14:paraId="7F1C0615" w14:textId="10CAC144" w:rsidR="00D56089" w:rsidRDefault="00D56089" w:rsidP="008C0B11">
      <w:pPr>
        <w:spacing w:line="360" w:lineRule="auto"/>
        <w:rPr>
          <w:sz w:val="23"/>
          <w:szCs w:val="23"/>
        </w:rPr>
      </w:pPr>
      <w:r>
        <w:rPr>
          <w:sz w:val="23"/>
          <w:szCs w:val="23"/>
        </w:rPr>
        <w:t xml:space="preserve">Further, I expect to see differences in particular policy contexts: </w:t>
      </w:r>
    </w:p>
    <w:p w14:paraId="47187845" w14:textId="77777777" w:rsidR="009B6E73" w:rsidRDefault="009B6E73" w:rsidP="008C0B11">
      <w:pPr>
        <w:spacing w:line="360" w:lineRule="auto"/>
        <w:rPr>
          <w:i/>
          <w:iCs/>
          <w:sz w:val="23"/>
          <w:szCs w:val="23"/>
        </w:rPr>
      </w:pPr>
    </w:p>
    <w:p w14:paraId="7944C299" w14:textId="0DB72BD0" w:rsidR="008C0B11" w:rsidRPr="00D56089" w:rsidRDefault="009B6E73" w:rsidP="008C0B11">
      <w:pPr>
        <w:spacing w:line="360" w:lineRule="auto"/>
        <w:rPr>
          <w:i/>
          <w:iCs/>
          <w:sz w:val="23"/>
          <w:szCs w:val="23"/>
        </w:rPr>
      </w:pPr>
      <w:r>
        <w:rPr>
          <w:i/>
          <w:iCs/>
          <w:sz w:val="23"/>
          <w:szCs w:val="23"/>
        </w:rPr>
        <w:t>(</w:t>
      </w:r>
      <w:r w:rsidR="008C0B11" w:rsidRPr="00D56089">
        <w:rPr>
          <w:i/>
          <w:iCs/>
          <w:sz w:val="23"/>
          <w:szCs w:val="23"/>
        </w:rPr>
        <w:t>H2</w:t>
      </w:r>
      <w:r>
        <w:rPr>
          <w:i/>
          <w:iCs/>
          <w:sz w:val="23"/>
          <w:szCs w:val="23"/>
        </w:rPr>
        <w:t>)</w:t>
      </w:r>
      <w:r w:rsidR="008C0B11" w:rsidRPr="00D56089">
        <w:rPr>
          <w:i/>
          <w:iCs/>
          <w:sz w:val="23"/>
          <w:szCs w:val="23"/>
        </w:rPr>
        <w:t>: People impacted by the carceral system’s views of what policy help carceral citizens deserve – both material and symbolic policies – will be different than those not impacted</w:t>
      </w:r>
      <w:r w:rsidR="00D56089">
        <w:rPr>
          <w:i/>
          <w:iCs/>
          <w:sz w:val="23"/>
          <w:szCs w:val="23"/>
        </w:rPr>
        <w:t>.</w:t>
      </w:r>
    </w:p>
    <w:p w14:paraId="5DEA62C4" w14:textId="2F3C065D" w:rsidR="008C0B11" w:rsidRDefault="009B6E73" w:rsidP="008C0B11">
      <w:pPr>
        <w:spacing w:line="360" w:lineRule="auto"/>
        <w:rPr>
          <w:sz w:val="23"/>
          <w:szCs w:val="23"/>
        </w:rPr>
      </w:pPr>
      <w:r>
        <w:rPr>
          <w:sz w:val="23"/>
          <w:szCs w:val="23"/>
        </w:rPr>
        <w:t xml:space="preserve">In part, I expect that impacted groups have distinct understandings of the causes and consequences of </w:t>
      </w:r>
      <w:proofErr w:type="gramStart"/>
      <w:r>
        <w:rPr>
          <w:sz w:val="23"/>
          <w:szCs w:val="23"/>
        </w:rPr>
        <w:t>incarceration, and</w:t>
      </w:r>
      <w:proofErr w:type="gramEnd"/>
      <w:r>
        <w:rPr>
          <w:sz w:val="23"/>
          <w:szCs w:val="23"/>
        </w:rPr>
        <w:t xml:space="preserve"> are less willing to revert to affective responses in shaping their decisions about what help or punishment carceral citizens deserve. They may still, to be clear, have negative affective </w:t>
      </w:r>
      <w:r>
        <w:rPr>
          <w:sz w:val="23"/>
          <w:szCs w:val="23"/>
        </w:rPr>
        <w:lastRenderedPageBreak/>
        <w:t>reactions to carceral citizens, and hold views about their overall deservingness that are more negative than when tethered to a particular policy matter or anchor:</w:t>
      </w:r>
    </w:p>
    <w:p w14:paraId="03DBCFE6" w14:textId="53EB63AE" w:rsidR="008C0B11" w:rsidRPr="009B6E73" w:rsidRDefault="009B6E73" w:rsidP="008C0B11">
      <w:pPr>
        <w:spacing w:line="360" w:lineRule="auto"/>
        <w:ind w:left="720"/>
        <w:rPr>
          <w:i/>
          <w:iCs/>
          <w:sz w:val="23"/>
          <w:szCs w:val="23"/>
        </w:rPr>
      </w:pPr>
      <w:r>
        <w:rPr>
          <w:i/>
          <w:iCs/>
          <w:sz w:val="23"/>
          <w:szCs w:val="23"/>
        </w:rPr>
        <w:t>(</w:t>
      </w:r>
      <w:r w:rsidR="008C0B11" w:rsidRPr="009B6E73">
        <w:rPr>
          <w:i/>
          <w:iCs/>
          <w:sz w:val="23"/>
          <w:szCs w:val="23"/>
        </w:rPr>
        <w:t>H2A</w:t>
      </w:r>
      <w:r>
        <w:rPr>
          <w:i/>
          <w:iCs/>
          <w:sz w:val="23"/>
          <w:szCs w:val="23"/>
        </w:rPr>
        <w:t>)</w:t>
      </w:r>
      <w:r w:rsidR="008C0B11" w:rsidRPr="009B6E73">
        <w:rPr>
          <w:i/>
          <w:iCs/>
          <w:sz w:val="23"/>
          <w:szCs w:val="23"/>
        </w:rPr>
        <w:t>: People impacted by the carceral system’s views of what policy help carceral citizens deserve will be less informed by their overall perception of incarcerated people’s deservingness.</w:t>
      </w:r>
    </w:p>
    <w:p w14:paraId="4BE62EC0" w14:textId="3D46BBEC" w:rsidR="009B6E73" w:rsidRDefault="009B6E73" w:rsidP="008C0B11">
      <w:pPr>
        <w:spacing w:line="360" w:lineRule="auto"/>
        <w:rPr>
          <w:sz w:val="23"/>
          <w:szCs w:val="23"/>
        </w:rPr>
      </w:pPr>
      <w:r>
        <w:rPr>
          <w:sz w:val="23"/>
          <w:szCs w:val="23"/>
        </w:rPr>
        <w:t xml:space="preserve">Similarly, impacted groups may be less motivated to self-differentiate from carceral citizens, and willing to extend resources that may be perceived as coming at “a cost” </w:t>
      </w:r>
      <w:r w:rsidRPr="009B6E73">
        <w:rPr>
          <w:i/>
          <w:iCs/>
          <w:sz w:val="23"/>
          <w:szCs w:val="23"/>
        </w:rPr>
        <w:t>to</w:t>
      </w:r>
      <w:r>
        <w:rPr>
          <w:sz w:val="23"/>
          <w:szCs w:val="23"/>
        </w:rPr>
        <w:t xml:space="preserve"> carceral citizens. In turn, their policy views of what carceral citizens deserve may be more consistent with their views of what people who are not incarcerated deserve: </w:t>
      </w:r>
    </w:p>
    <w:p w14:paraId="3CE4001A" w14:textId="0592E042" w:rsidR="008C0B11" w:rsidRPr="009B6E73" w:rsidRDefault="009B6E73" w:rsidP="008C0B11">
      <w:pPr>
        <w:spacing w:line="360" w:lineRule="auto"/>
        <w:ind w:left="720"/>
        <w:rPr>
          <w:i/>
          <w:iCs/>
          <w:sz w:val="23"/>
          <w:szCs w:val="23"/>
        </w:rPr>
      </w:pPr>
      <w:r>
        <w:rPr>
          <w:i/>
          <w:iCs/>
          <w:sz w:val="23"/>
          <w:szCs w:val="23"/>
        </w:rPr>
        <w:t>(</w:t>
      </w:r>
      <w:r w:rsidR="008C0B11" w:rsidRPr="009B6E73">
        <w:rPr>
          <w:i/>
          <w:iCs/>
          <w:sz w:val="23"/>
          <w:szCs w:val="23"/>
        </w:rPr>
        <w:t>H2B</w:t>
      </w:r>
      <w:r>
        <w:rPr>
          <w:i/>
          <w:iCs/>
          <w:sz w:val="23"/>
          <w:szCs w:val="23"/>
        </w:rPr>
        <w:t>)</w:t>
      </w:r>
      <w:r w:rsidR="008C0B11" w:rsidRPr="009B6E73">
        <w:rPr>
          <w:i/>
          <w:iCs/>
          <w:sz w:val="23"/>
          <w:szCs w:val="23"/>
        </w:rPr>
        <w:t>: People impacted by the carceral system’s views of what policy help carceral citizens deserve – both material and symbolic policies – will more closely resemble their views of what people who are not incarcerated deserve.</w:t>
      </w:r>
    </w:p>
    <w:p w14:paraId="11E4CA4D" w14:textId="77777777" w:rsidR="008C0B11" w:rsidRDefault="008C0B11" w:rsidP="008C0B11">
      <w:pPr>
        <w:spacing w:line="360" w:lineRule="auto"/>
        <w:rPr>
          <w:b/>
          <w:bCs/>
          <w:sz w:val="23"/>
          <w:szCs w:val="23"/>
        </w:rPr>
      </w:pPr>
    </w:p>
    <w:p w14:paraId="6A0245CA" w14:textId="77777777" w:rsidR="00691421" w:rsidRDefault="00691421"/>
    <w:p w14:paraId="185566E0" w14:textId="77777777" w:rsidR="005D1295" w:rsidRPr="00853669" w:rsidRDefault="005D1295" w:rsidP="005D1295">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1F586AD5" w14:textId="77777777" w:rsidR="005D1295" w:rsidRDefault="005D1295" w:rsidP="005D1295">
      <w:pPr>
        <w:spacing w:line="360" w:lineRule="auto"/>
      </w:pPr>
      <w:r>
        <w:t xml:space="preserve">I propose exploring the application of deservingness to carceral contexts using novel survey data collected in September 2024 by Smith, Bowman, and Mensik.  Kreitzer and Smith, previously </w:t>
      </w:r>
      <w:r w:rsidRPr="00D756A1">
        <w:t>empirically map</w:t>
      </w:r>
      <w:r>
        <w:t>ped</w:t>
      </w:r>
      <w:r w:rsidRPr="00D756A1">
        <w:t xml:space="preserve"> constructions of power and deservingness of 87 target populations by employing </w:t>
      </w:r>
      <w:proofErr w:type="spellStart"/>
      <w:r w:rsidRPr="00D756A1">
        <w:t>MTurk</w:t>
      </w:r>
      <w:proofErr w:type="spellEnd"/>
      <w:r w:rsidRPr="00D756A1">
        <w:t xml:space="preserve"> workers</w:t>
      </w:r>
      <w:r>
        <w:t xml:space="preserve">; this new data set mimics the strengths of that data collection strategy, and makes important changes, such as relying on survey respondents recruited from </w:t>
      </w:r>
      <w:proofErr w:type="spellStart"/>
      <w:r>
        <w:t>Bovitz</w:t>
      </w:r>
      <w:proofErr w:type="spellEnd"/>
      <w:r>
        <w:t xml:space="preserve"> proprietary panel and reducing the number of groups individuals assess, to address issues of respondent fatigue.</w:t>
      </w:r>
    </w:p>
    <w:p w14:paraId="1E0728FD" w14:textId="77777777" w:rsidR="005D1295" w:rsidRPr="00786A24" w:rsidRDefault="005D1295" w:rsidP="005D1295">
      <w:pPr>
        <w:spacing w:line="360" w:lineRule="auto"/>
        <w:rPr>
          <w:sz w:val="23"/>
          <w:szCs w:val="23"/>
        </w:rPr>
      </w:pPr>
    </w:p>
    <w:p w14:paraId="13BC2534" w14:textId="77777777" w:rsidR="005D1295" w:rsidRPr="00853669" w:rsidRDefault="005D1295" w:rsidP="005D1295">
      <w:pPr>
        <w:spacing w:line="360" w:lineRule="auto"/>
        <w:rPr>
          <w:i/>
          <w:iCs/>
        </w:rPr>
      </w:pPr>
      <w:r w:rsidRPr="00853669">
        <w:rPr>
          <w:i/>
          <w:iCs/>
        </w:rPr>
        <w:t>Data Collection Procedures</w:t>
      </w:r>
    </w:p>
    <w:p w14:paraId="33EBE8F6" w14:textId="77777777" w:rsidR="005D1295" w:rsidRPr="00853669" w:rsidRDefault="005D1295" w:rsidP="005D1295">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$10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w:t>
      </w:r>
      <w:r>
        <w:lastRenderedPageBreak/>
        <w:t xml:space="preserve">the expected 30-minute survey, obvious satisfices, and respondents who did not answer dependent variable questions. </w:t>
      </w:r>
    </w:p>
    <w:p w14:paraId="7C54F5E0" w14:textId="77777777" w:rsidR="005D1295" w:rsidRDefault="005D1295" w:rsidP="005D1295">
      <w:pPr>
        <w:spacing w:line="360" w:lineRule="auto"/>
      </w:pPr>
    </w:p>
    <w:p w14:paraId="62698606" w14:textId="77777777" w:rsidR="005D1295" w:rsidRDefault="005D1295" w:rsidP="005D1295">
      <w:pPr>
        <w:spacing w:line="360" w:lineRule="auto"/>
      </w:pPr>
      <w:r>
        <w:t xml:space="preserve">My first 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05478F24" w14:textId="77777777" w:rsidR="005D1295" w:rsidRDefault="005D1295" w:rsidP="005D1295">
      <w:pPr>
        <w:spacing w:line="360" w:lineRule="auto"/>
        <w:rPr>
          <w:i/>
          <w:iCs/>
        </w:rPr>
      </w:pPr>
    </w:p>
    <w:p w14:paraId="254B0E54" w14:textId="77777777" w:rsidR="005D1295" w:rsidRPr="0037746D" w:rsidRDefault="005D1295" w:rsidP="005D1295">
      <w:pPr>
        <w:spacing w:line="360" w:lineRule="auto"/>
        <w:rPr>
          <w:i/>
          <w:iCs/>
        </w:rPr>
      </w:pPr>
      <w:r>
        <w:rPr>
          <w:i/>
          <w:iCs/>
        </w:rPr>
        <w:t>Variables</w:t>
      </w:r>
    </w:p>
    <w:p w14:paraId="4B717379" w14:textId="77777777" w:rsidR="005D1295" w:rsidRDefault="005D1295" w:rsidP="005D1295">
      <w:pPr>
        <w:spacing w:line="360" w:lineRule="auto"/>
      </w:pPr>
      <w:r w:rsidRPr="00100B73">
        <w:t>Respondents</w:t>
      </w:r>
      <w:r>
        <w:t xml:space="preserve">’ perceptions of group deservingness serve first as dependent, and later in the analysis independent variables. </w:t>
      </w:r>
    </w:p>
    <w:p w14:paraId="5A67C352" w14:textId="77777777" w:rsidR="005D1295" w:rsidRDefault="005D1295" w:rsidP="005D1295">
      <w:pPr>
        <w:spacing w:line="360" w:lineRule="auto"/>
      </w:pPr>
    </w:p>
    <w:p w14:paraId="59BCFCE0" w14:textId="77777777" w:rsidR="005D1295" w:rsidRDefault="005D1295" w:rsidP="005D1295">
      <w:pPr>
        <w:spacing w:line="360" w:lineRule="auto"/>
      </w:pPr>
      <w:r>
        <w:t xml:space="preserve">As in Kreitzer and Smith’s original empirical mapping of perceptions of deservingness and power, participants are asked to consider the following prompt before reviewing a total of 65 groups: </w:t>
      </w:r>
    </w:p>
    <w:p w14:paraId="423E0048" w14:textId="77777777" w:rsidR="005D1295" w:rsidRPr="0081458F" w:rsidRDefault="005D1295" w:rsidP="005D1295">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5F9D9B01" w14:textId="77777777" w:rsidR="005D1295" w:rsidRDefault="005D1295" w:rsidP="005D1295">
      <w:pPr>
        <w:spacing w:line="360" w:lineRule="auto"/>
      </w:pPr>
    </w:p>
    <w:p w14:paraId="3C504ED4" w14:textId="77777777" w:rsidR="005D1295" w:rsidRDefault="005D1295" w:rsidP="005D1295">
      <w:pPr>
        <w:spacing w:line="360" w:lineRule="auto"/>
      </w:pPr>
      <w:r>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w:t>
      </w:r>
    </w:p>
    <w:p w14:paraId="6FECF035" w14:textId="77777777" w:rsidR="005D1295" w:rsidRDefault="005D1295" w:rsidP="005D1295">
      <w:pPr>
        <w:spacing w:line="360" w:lineRule="auto"/>
      </w:pPr>
    </w:p>
    <w:p w14:paraId="6FC80F3F" w14:textId="77777777" w:rsidR="005D1295" w:rsidRDefault="005D1295" w:rsidP="005D1295">
      <w:pPr>
        <w:spacing w:line="360" w:lineRule="auto"/>
      </w:pPr>
      <w:r w:rsidRPr="00F243B0">
        <w:t xml:space="preserve">All three </w:t>
      </w:r>
      <w:r>
        <w:t>respondent sections</w:t>
      </w:r>
      <w:r w:rsidRPr="00F243B0">
        <w:t xml:space="preserve"> </w:t>
      </w:r>
      <w:r>
        <w:t xml:space="preserve">evaluated randomized lists of groups that included “criminals,” “incarcerated people/prisoners,” and “incarcerated women,” among other non-carceral groups, </w:t>
      </w:r>
      <w:r>
        <w:lastRenderedPageBreak/>
        <w:t xml:space="preserve">providing a sample of approximately 2,244 respondents after cleaning. One-third of respondents were asked to also </w:t>
      </w:r>
      <w:r w:rsidRPr="00F243B0">
        <w:t xml:space="preserve">evaluate “incarcerated parents” and “exonerated/wrongfully convicted.” </w:t>
      </w:r>
      <w:r>
        <w:t xml:space="preserve">Another one-third </w:t>
      </w:r>
      <w:r w:rsidRPr="00F243B0">
        <w:t>evaluate</w:t>
      </w:r>
      <w:r>
        <w:t>d</w:t>
      </w:r>
      <w:r w:rsidRPr="00F243B0">
        <w:t xml:space="preserve"> the deservingness/power of “formerly incarcerated/ex-felons” and “sex offenders.”</w:t>
      </w:r>
      <w:r>
        <w:t xml:space="preserve"> For these groups, I will use bootstrapping. </w:t>
      </w:r>
    </w:p>
    <w:p w14:paraId="68FDD69A" w14:textId="77777777" w:rsidR="005D1295" w:rsidRPr="00A57D24" w:rsidRDefault="005D1295" w:rsidP="005D1295">
      <w:pPr>
        <w:spacing w:line="360" w:lineRule="auto"/>
      </w:pPr>
    </w:p>
    <w:p w14:paraId="6D1EAF61" w14:textId="77777777" w:rsidR="005D1295" w:rsidRDefault="005D1295" w:rsidP="005D1295">
      <w:pPr>
        <w:spacing w:line="360" w:lineRule="auto"/>
      </w:pPr>
      <w:r>
        <w:t xml:space="preserve">I am interested in these groups as separate independent variables. But except when looking at differentiation between groups (incarcerated parents versus criminals, and so on), I use “incarcerated people” as the dependent variable. </w:t>
      </w:r>
    </w:p>
    <w:p w14:paraId="4D3B097C" w14:textId="77777777" w:rsidR="005D1295" w:rsidRDefault="005D1295" w:rsidP="005D1295">
      <w:pPr>
        <w:spacing w:line="360" w:lineRule="auto"/>
      </w:pPr>
    </w:p>
    <w:p w14:paraId="6CE7AD97" w14:textId="77777777" w:rsidR="005D1295" w:rsidRPr="006325BF" w:rsidRDefault="005D1295" w:rsidP="005D1295">
      <w:pPr>
        <w:spacing w:line="360" w:lineRule="auto"/>
        <w:rPr>
          <w:i/>
          <w:iCs/>
        </w:rPr>
      </w:pPr>
      <w:r>
        <w:rPr>
          <w:i/>
          <w:iCs/>
        </w:rPr>
        <w:t>Impact</w:t>
      </w:r>
    </w:p>
    <w:p w14:paraId="0EFB6801" w14:textId="77777777" w:rsidR="005D1295" w:rsidRDefault="005D1295" w:rsidP="005D1295">
      <w:pPr>
        <w:spacing w:line="360" w:lineRule="auto"/>
      </w:pPr>
      <w:r>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t>citizens</w:t>
      </w:r>
      <w:proofErr w:type="gramEnd"/>
      <w: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5DD1A270" w14:textId="77777777" w:rsidR="005D1295" w:rsidRDefault="005D1295" w:rsidP="005D1295">
      <w:pPr>
        <w:spacing w:line="360" w:lineRule="auto"/>
      </w:pPr>
    </w:p>
    <w:p w14:paraId="4E5185BE" w14:textId="77777777" w:rsidR="005D1295" w:rsidRDefault="005D1295" w:rsidP="005D1295">
      <w:pPr>
        <w:spacing w:line="360" w:lineRule="auto"/>
      </w:pPr>
      <w:r w:rsidRPr="00DE4A4F">
        <w:rPr>
          <w:noProof/>
        </w:rPr>
        <w:drawing>
          <wp:anchor distT="0" distB="0" distL="114300" distR="114300" simplePos="0" relativeHeight="251659264" behindDoc="0" locked="0" layoutInCell="1" allowOverlap="1" wp14:anchorId="7F2A7C7B" wp14:editId="1BF66A08">
            <wp:simplePos x="0" y="0"/>
            <wp:positionH relativeFrom="column">
              <wp:posOffset>3666653</wp:posOffset>
            </wp:positionH>
            <wp:positionV relativeFrom="paragraph">
              <wp:posOffset>83946</wp:posOffset>
            </wp:positionV>
            <wp:extent cx="2399030" cy="2581275"/>
            <wp:effectExtent l="0" t="0" r="1270" b="0"/>
            <wp:wrapSquare wrapText="bothSides"/>
            <wp:docPr id="93337096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Picture 1" descr="A screenshot of a repo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99030" cy="2581275"/>
                    </a:xfrm>
                    <a:prstGeom prst="rect">
                      <a:avLst/>
                    </a:prstGeom>
                  </pic:spPr>
                </pic:pic>
              </a:graphicData>
            </a:graphic>
            <wp14:sizeRelH relativeFrom="page">
              <wp14:pctWidth>0</wp14:pctWidth>
            </wp14:sizeRelH>
            <wp14:sizeRelV relativeFrom="page">
              <wp14:pctHeight>0</wp14:pctHeight>
            </wp14:sizeRelV>
          </wp:anchor>
        </w:drawing>
      </w:r>
      <w:r>
        <w:t>I use different measures for impact at different stages in my analysis. First,</w:t>
      </w:r>
      <w:r w:rsidRPr="00332D42">
        <w:rPr>
          <w:noProof/>
        </w:rPr>
        <w:t xml:space="preserve"> </w:t>
      </w:r>
      <w:r>
        <w:t xml:space="preserve">I create a binary impact variable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w:t>
      </w:r>
      <w:r>
        <w:lastRenderedPageBreak/>
        <w:t>incarcerated and a victim, but 145 only know a victim and 274 only know someone incarcerated).  Second, I use indicator variables for been/know incarcerated, and been/know victims.</w:t>
      </w:r>
    </w:p>
    <w:p w14:paraId="2884A8CF" w14:textId="77777777" w:rsidR="005D1295" w:rsidRDefault="005D1295" w:rsidP="005D1295">
      <w:pPr>
        <w:spacing w:line="360" w:lineRule="auto"/>
      </w:pPr>
    </w:p>
    <w:p w14:paraId="044CDE6D" w14:textId="77777777" w:rsidR="005D1295" w:rsidRDefault="005D1295" w:rsidP="005D1295">
      <w:pPr>
        <w:spacing w:line="360" w:lineRule="auto"/>
      </w:pPr>
    </w:p>
    <w:p w14:paraId="13FDAB2E" w14:textId="77777777" w:rsidR="005D1295" w:rsidRDefault="005D1295" w:rsidP="005D1295">
      <w:pPr>
        <w:spacing w:line="360" w:lineRule="auto"/>
      </w:pPr>
      <w:r>
        <w:rPr>
          <w:i/>
          <w:iCs/>
        </w:rPr>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I use standardize deservingness scores adjusted using the “difference between the score a respondent gives to a given group and the average score the respondent gave across all groups.”</w:t>
      </w:r>
    </w:p>
    <w:p w14:paraId="059CC44E" w14:textId="77777777" w:rsidR="005D1295" w:rsidRDefault="005D1295" w:rsidP="005D1295">
      <w:pPr>
        <w:spacing w:line="360" w:lineRule="auto"/>
        <w:rPr>
          <w:b/>
          <w:bCs/>
        </w:rPr>
      </w:pPr>
    </w:p>
    <w:p w14:paraId="6A23877A" w14:textId="77777777" w:rsidR="005D1295" w:rsidRDefault="005D1295" w:rsidP="005D1295">
      <w:pPr>
        <w:spacing w:line="360" w:lineRule="auto"/>
      </w:pPr>
      <w:r w:rsidRPr="00447ED6">
        <w:t>To</w:t>
      </w:r>
      <w:r>
        <w:rPr>
          <w:b/>
          <w:bCs/>
        </w:rPr>
        <w:t xml:space="preserve"> </w:t>
      </w:r>
      <w:r w:rsidRPr="00447ED6">
        <w:t>e</w:t>
      </w:r>
      <w:r>
        <w:t>xplore whether groups who are impacted by the carceral system hold different perceptions of carceral deservingness than one another, and those who are not impacted using regression and ANOVA. To do so, I create control variables:</w:t>
      </w:r>
    </w:p>
    <w:p w14:paraId="7011346D" w14:textId="77777777" w:rsidR="005D1295" w:rsidRDefault="005D1295" w:rsidP="005D1295">
      <w:pPr>
        <w:spacing w:line="360" w:lineRule="auto"/>
      </w:pPr>
    </w:p>
    <w:p w14:paraId="5F152305" w14:textId="77777777" w:rsidR="005D1295" w:rsidRPr="0037746D" w:rsidRDefault="005D1295" w:rsidP="005D1295">
      <w:pPr>
        <w:spacing w:line="360" w:lineRule="auto"/>
        <w:rPr>
          <w:i/>
          <w:iCs/>
        </w:rPr>
      </w:pPr>
      <w:r w:rsidRPr="0037746D">
        <w:rPr>
          <w:i/>
          <w:iCs/>
        </w:rPr>
        <w:t>Control Variables</w:t>
      </w:r>
    </w:p>
    <w:p w14:paraId="48ED6689" w14:textId="77777777" w:rsidR="005D1295" w:rsidRDefault="005D1295" w:rsidP="005D1295">
      <w:pPr>
        <w:spacing w:line="360" w:lineRule="auto"/>
      </w:pPr>
      <w: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t>meritocracy, and</w:t>
      </w:r>
      <w:proofErr w:type="gramEnd"/>
      <w: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p>
    <w:p w14:paraId="568368F0" w14:textId="77777777" w:rsidR="005D1295" w:rsidRDefault="005D1295" w:rsidP="005D1295">
      <w:pPr>
        <w:spacing w:line="360" w:lineRule="auto"/>
      </w:pPr>
    </w:p>
    <w:p w14:paraId="0A5DB0DB" w14:textId="57BA1535" w:rsidR="005D1295" w:rsidRDefault="005D1295" w:rsidP="005D1295">
      <w:pPr>
        <w:spacing w:line="360" w:lineRule="auto"/>
      </w:pPr>
      <w:r>
        <w:t>I measure p</w:t>
      </w:r>
      <w:r w:rsidRPr="00100B73">
        <w:t xml:space="preserve">unitiveness </w:t>
      </w:r>
      <w:r>
        <w:t xml:space="preserve">with </w:t>
      </w:r>
      <w:r w:rsidRPr="00100B73">
        <w:t>a 7-point scale question reflecting respondent’s views about the purpose of incarceration</w:t>
      </w:r>
      <w:r>
        <w:t xml:space="preserve">, </w:t>
      </w:r>
      <w:r w:rsidR="007A1E27">
        <w:t>or</w:t>
      </w:r>
      <w:r>
        <w:t xml:space="preserve"> whether participants see the purpose being about “punishing incarcerated individuals for past actions” or rehabilitation. To ensure that questions about criminal legal policy in the survey do not bias responses to this scale, the order in which </w:t>
      </w:r>
      <w:r w:rsidRPr="437AE678">
        <w:t xml:space="preserve">respondents see the two </w:t>
      </w:r>
      <w:r>
        <w:t xml:space="preserve">question blocks, </w:t>
      </w:r>
      <w:r w:rsidRPr="437AE678">
        <w:t xml:space="preserve">as well as policy questions </w:t>
      </w:r>
      <w:r>
        <w:t>themselves,</w:t>
      </w:r>
      <w:r w:rsidRPr="437AE678">
        <w:t xml:space="preserve"> </w:t>
      </w:r>
      <w:r>
        <w:t>are</w:t>
      </w:r>
      <w:r w:rsidRPr="437AE678">
        <w:t xml:space="preserve"> randomized. </w:t>
      </w:r>
    </w:p>
    <w:p w14:paraId="47568A17" w14:textId="77777777" w:rsidR="005D1295" w:rsidRDefault="005D1295" w:rsidP="005D1295">
      <w:pPr>
        <w:spacing w:line="360" w:lineRule="auto"/>
      </w:pPr>
    </w:p>
    <w:p w14:paraId="5DFC6799" w14:textId="77777777" w:rsidR="005D1295" w:rsidRPr="00BB62A5" w:rsidRDefault="005D1295" w:rsidP="005D1295">
      <w:pPr>
        <w:spacing w:line="360" w:lineRule="auto"/>
        <w:rPr>
          <w:sz w:val="23"/>
          <w:szCs w:val="23"/>
        </w:rPr>
      </w:pPr>
      <w:r>
        <w:rPr>
          <w:i/>
          <w:iCs/>
          <w:sz w:val="23"/>
          <w:szCs w:val="23"/>
        </w:rPr>
        <w:t xml:space="preserve">I will control for partisanship and political ideology. </w:t>
      </w:r>
      <w:r w:rsidRPr="008010B8">
        <w:rPr>
          <w:sz w:val="23"/>
          <w:szCs w:val="23"/>
        </w:rPr>
        <w:t xml:space="preserve">Democrats, I expect, will vary more than Republicans in their evaluations of sub-groups, as many note that punitiveness is almost pre-determined within conservative ideology (Burton et al 2020, </w:t>
      </w:r>
      <w:proofErr w:type="spellStart"/>
      <w:r w:rsidRPr="008010B8">
        <w:rPr>
          <w:sz w:val="23"/>
          <w:szCs w:val="23"/>
        </w:rPr>
        <w:t>Mancici</w:t>
      </w:r>
      <w:proofErr w:type="spellEnd"/>
      <w:r w:rsidRPr="008010B8">
        <w:rPr>
          <w:sz w:val="23"/>
          <w:szCs w:val="23"/>
        </w:rPr>
        <w:t xml:space="preserve"> et al 2021, Wilson et al 2015). While </w:t>
      </w:r>
      <w:proofErr w:type="spellStart"/>
      <w:r w:rsidRPr="008010B8">
        <w:rPr>
          <w:sz w:val="23"/>
          <w:szCs w:val="23"/>
        </w:rPr>
        <w:t>Sniderman</w:t>
      </w:r>
      <w:proofErr w:type="spellEnd"/>
      <w:r w:rsidRPr="008010B8">
        <w:rPr>
          <w:sz w:val="23"/>
          <w:szCs w:val="23"/>
        </w:rPr>
        <w:t xml:space="preserve"> and Piazza (1993) contend Democrats’ punitiveness reflects ideological beliefs about personal responsibility and the rule of law, </w:t>
      </w:r>
      <w:proofErr w:type="spellStart"/>
      <w:r w:rsidRPr="008010B8">
        <w:rPr>
          <w:sz w:val="23"/>
          <w:szCs w:val="23"/>
        </w:rPr>
        <w:t>Chouhy</w:t>
      </w:r>
      <w:proofErr w:type="spellEnd"/>
      <w:r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r>
        <w:rPr>
          <w:sz w:val="23"/>
          <w:szCs w:val="23"/>
        </w:rPr>
        <w:t>To control for party affiliation, r</w:t>
      </w:r>
      <w:r w:rsidRPr="00BB62A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Pr>
          <w:sz w:val="23"/>
          <w:szCs w:val="23"/>
        </w:rPr>
        <w:t xml:space="preserve"> </w:t>
      </w:r>
    </w:p>
    <w:p w14:paraId="371F5138" w14:textId="77777777" w:rsidR="005D1295" w:rsidRPr="008010B8" w:rsidRDefault="005D1295" w:rsidP="005D1295">
      <w:pPr>
        <w:spacing w:line="360" w:lineRule="auto"/>
        <w:rPr>
          <w:sz w:val="23"/>
          <w:szCs w:val="23"/>
        </w:rPr>
      </w:pPr>
    </w:p>
    <w:p w14:paraId="477B95C1" w14:textId="77777777" w:rsidR="005D1295" w:rsidRPr="008010B8" w:rsidRDefault="005D1295" w:rsidP="005D1295">
      <w:pPr>
        <w:spacing w:line="360" w:lineRule="auto"/>
        <w:rPr>
          <w:sz w:val="23"/>
          <w:szCs w:val="23"/>
        </w:rPr>
      </w:pPr>
      <w:r>
        <w:rPr>
          <w:sz w:val="23"/>
          <w:szCs w:val="23"/>
        </w:rPr>
        <w:t xml:space="preserve">To capture a broader picture of political ideology, respondents are also asked questions about government funding, regulation, and taxation as measures of economic conservativism. They are also asked whether they </w:t>
      </w:r>
      <w:r>
        <w:t xml:space="preserve">consider themselves “liberal, conservative, or somewhere in between” on “questions of social policy, such as welfare, infrastructure, health care, education, and minority rights.” </w:t>
      </w:r>
      <w:r w:rsidRPr="001923EF">
        <w:t>These allow me to create an ideology scale</w:t>
      </w:r>
    </w:p>
    <w:p w14:paraId="6B2CE0BB" w14:textId="77777777" w:rsidR="005D1295" w:rsidRDefault="005D1295" w:rsidP="005D1295">
      <w:pPr>
        <w:spacing w:line="360" w:lineRule="auto"/>
      </w:pPr>
    </w:p>
    <w:p w14:paraId="33B65B0C" w14:textId="77777777" w:rsidR="005D1295" w:rsidRDefault="005D1295" w:rsidP="005D1295">
      <w:pPr>
        <w:spacing w:line="360" w:lineRule="auto"/>
        <w:rPr>
          <w:sz w:val="23"/>
          <w:szCs w:val="23"/>
        </w:rPr>
      </w:pPr>
      <w:r>
        <w:rPr>
          <w:sz w:val="23"/>
          <w:szCs w:val="23"/>
        </w:rPr>
        <w:t xml:space="preserve">I will also control for respondent race and racial attitudes. Respondents are asked </w:t>
      </w:r>
      <w:r w:rsidRPr="00BB62A5">
        <w:rPr>
          <w:sz w:val="23"/>
          <w:szCs w:val="23"/>
        </w:rPr>
        <w:t xml:space="preserve">whether they are </w:t>
      </w:r>
      <w:r>
        <w:t>White, Black or African American, Native American/Alaska Native, Asian/Asian American, Native Hawaiian/Other Pacific Islander, Middle Eastern/North African, Hispanic/Latino/a/e, or “my preferred response is not listed</w:t>
      </w:r>
      <w:r w:rsidRPr="00BB62A5">
        <w:rPr>
          <w:sz w:val="23"/>
          <w:szCs w:val="23"/>
        </w:rPr>
        <w:t xml:space="preserve">.” </w:t>
      </w:r>
      <w:r>
        <w:rPr>
          <w:sz w:val="23"/>
          <w:szCs w:val="23"/>
        </w:rPr>
        <w:t>I will use a series of indicator variables (non-Hispanic white, non-Hispanic Black, Hispanic/Latino, and “other” race).</w:t>
      </w:r>
    </w:p>
    <w:p w14:paraId="75CFB199" w14:textId="77777777" w:rsidR="005D1295" w:rsidRDefault="005D1295" w:rsidP="005D1295">
      <w:pPr>
        <w:spacing w:line="360" w:lineRule="auto"/>
        <w:rPr>
          <w:sz w:val="23"/>
          <w:szCs w:val="23"/>
        </w:rPr>
      </w:pPr>
    </w:p>
    <w:p w14:paraId="3BDD3D68" w14:textId="77777777" w:rsidR="005D1295" w:rsidRPr="008358C6" w:rsidRDefault="005D1295" w:rsidP="005D1295">
      <w:pPr>
        <w:spacing w:line="360" w:lineRule="auto"/>
        <w:rPr>
          <w:sz w:val="23"/>
          <w:szCs w:val="23"/>
        </w:rPr>
      </w:pPr>
      <w:r>
        <w:t xml:space="preserve">To measure racial attitudes, respondents are asked both the ANES Kinder Scales and FIRE Battery questions. </w:t>
      </w:r>
    </w:p>
    <w:p w14:paraId="31899E51" w14:textId="77777777" w:rsidR="005D1295" w:rsidRPr="00AB5E4A" w:rsidRDefault="005D1295" w:rsidP="005D1295">
      <w:pPr>
        <w:spacing w:line="360" w:lineRule="auto"/>
      </w:pPr>
    </w:p>
    <w:p w14:paraId="078B539C" w14:textId="77777777" w:rsidR="005D1295" w:rsidRPr="00A72543" w:rsidRDefault="005D1295" w:rsidP="005D1295">
      <w:pPr>
        <w:spacing w:line="360" w:lineRule="auto"/>
        <w:rPr>
          <w:sz w:val="23"/>
          <w:szCs w:val="23"/>
        </w:rPr>
      </w:pPr>
      <w:r>
        <w:t xml:space="preserve">Finally, I also control for demographic factors. I control for gender </w:t>
      </w:r>
      <w:r>
        <w:rPr>
          <w:sz w:val="23"/>
          <w:szCs w:val="23"/>
        </w:rPr>
        <w:t xml:space="preserve">with a binary variable where respondents who identified as genderqueer or ‘other’ (of which there were relatively few) will be randomly assigned to woman (0) and men (1). </w:t>
      </w:r>
      <w:r w:rsidRPr="001923EF">
        <w:rPr>
          <w:sz w:val="23"/>
          <w:szCs w:val="23"/>
        </w:rPr>
        <w:t xml:space="preserve">Location – using information on participants state and county, I will create an albeit overly simplified binary for urban (0) or not-urban (1). Respondents are </w:t>
      </w:r>
      <w:r w:rsidRPr="001923EF">
        <w:rPr>
          <w:sz w:val="23"/>
          <w:szCs w:val="23"/>
        </w:rPr>
        <w:lastRenderedPageBreak/>
        <w:t>asked their “with what religious affiliation, if any, [they] most strongly identify.”  First, I will create a binary variable indicating whether a respondent is/not religious (1 = non-religious, respondent selected “none,” 0 = religious, respondents selected Protestant, Catholic, Jewish, Muslim/Islam, or Other).</w:t>
      </w:r>
      <w:r>
        <w:rPr>
          <w:sz w:val="23"/>
          <w:szCs w:val="23"/>
        </w:rPr>
        <w:t xml:space="preserve"> If</w:t>
      </w:r>
      <w:r w:rsidRPr="001923EF">
        <w:rPr>
          <w:sz w:val="23"/>
          <w:szCs w:val="23"/>
        </w:rPr>
        <w:t xml:space="preserve"> respondents select an on option (including ‘other’) besides ‘none,’ are asked “how important religion [is] in [their] life.” A binary variable will indicate whether religion is either “somewhat” or “very” important (0), or “not at all” or “not very” important (1).  </w:t>
      </w:r>
    </w:p>
    <w:p w14:paraId="07133468" w14:textId="77777777" w:rsidR="005D1295" w:rsidRDefault="005D1295" w:rsidP="005D1295">
      <w:pPr>
        <w:spacing w:line="360" w:lineRule="auto"/>
        <w:rPr>
          <w:b/>
          <w:bCs/>
        </w:rPr>
      </w:pPr>
    </w:p>
    <w:p w14:paraId="06CE3E1F" w14:textId="77777777" w:rsidR="005D1295" w:rsidRDefault="005D1295" w:rsidP="005D1295">
      <w:pPr>
        <w:spacing w:line="360" w:lineRule="auto"/>
        <w:rPr>
          <w:b/>
          <w:bCs/>
        </w:rPr>
      </w:pPr>
      <w:r w:rsidRPr="00F2594F">
        <w:rPr>
          <w:b/>
          <w:bCs/>
        </w:rPr>
        <w:t xml:space="preserve">Analysis </w:t>
      </w:r>
      <w:r>
        <w:rPr>
          <w:b/>
          <w:bCs/>
        </w:rPr>
        <w:t>1</w:t>
      </w:r>
      <w:r w:rsidRPr="00F2594F">
        <w:rPr>
          <w:b/>
          <w:bCs/>
        </w:rPr>
        <w:t xml:space="preserve">: </w:t>
      </w:r>
    </w:p>
    <w:p w14:paraId="3131D18D" w14:textId="77777777" w:rsidR="005D1295" w:rsidRDefault="005D1295" w:rsidP="005D1295">
      <w:pPr>
        <w:spacing w:line="360" w:lineRule="auto"/>
        <w:rPr>
          <w:sz w:val="23"/>
          <w:szCs w:val="23"/>
        </w:rPr>
      </w:pPr>
      <w:r>
        <w:t>To test whether groups who are impacted by the criminal legal system perceive carceral citizens as more deserving (H1A</w:t>
      </w:r>
      <w:proofErr w:type="gramStart"/>
      <w:r>
        <w:t>), and</w:t>
      </w:r>
      <w:proofErr w:type="gramEnd"/>
      <w:r>
        <w:t xml:space="preserve"> differentiate less between groups than those who are not impacted (H1B) – both i</w:t>
      </w:r>
      <w:r>
        <w:rPr>
          <w:sz w:val="23"/>
          <w:szCs w:val="23"/>
        </w:rPr>
        <w:t xml:space="preserve">n aggregate, and by carceral ‘type,’ I use ANOVA and regression. As discussed, I will utilize deservingness scores that are standardized using the difference between a respondent’s rating of each group and their mean rating across all groups to redress individual tendencies to be particularly harsh or generous. </w:t>
      </w:r>
    </w:p>
    <w:p w14:paraId="5F40E117" w14:textId="77777777" w:rsidR="005D1295" w:rsidRDefault="005D1295" w:rsidP="005D1295">
      <w:pPr>
        <w:spacing w:line="360" w:lineRule="auto"/>
        <w:rPr>
          <w:sz w:val="23"/>
          <w:szCs w:val="23"/>
        </w:rPr>
      </w:pPr>
    </w:p>
    <w:p w14:paraId="57082B83" w14:textId="77777777" w:rsidR="005D1295" w:rsidRDefault="005D1295" w:rsidP="005D1295">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6F7A199A" w14:textId="77777777" w:rsidR="005D1295" w:rsidRDefault="005D1295" w:rsidP="005D1295">
      <w:pPr>
        <w:spacing w:line="360" w:lineRule="auto"/>
        <w:rPr>
          <w:sz w:val="23"/>
          <w:szCs w:val="23"/>
        </w:rPr>
      </w:pPr>
    </w:p>
    <w:p w14:paraId="3A35210E" w14:textId="77777777" w:rsidR="005D1295" w:rsidRDefault="005D1295" w:rsidP="005D1295">
      <w:pPr>
        <w:spacing w:line="360" w:lineRule="auto"/>
      </w:pPr>
      <w:r>
        <w:rPr>
          <w:sz w:val="23"/>
          <w:szCs w:val="23"/>
        </w:rPr>
        <w:t xml:space="preserve">I will 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t>For coefficients or F-statistics that suggest significant differences between groups, I will use</w:t>
      </w:r>
      <w:r w:rsidRPr="00093497">
        <w:t xml:space="preserve"> post-hoc Tukey HSD tests to identify which specific impact categories differ from each other. Effect sizes (η²) quantify the magnitude of impact's influence on ratings. </w:t>
      </w:r>
    </w:p>
    <w:p w14:paraId="2341F685" w14:textId="77777777" w:rsidR="005D1295" w:rsidRPr="00B24BC9" w:rsidRDefault="005D1295" w:rsidP="005D1295">
      <w:pPr>
        <w:spacing w:before="100" w:beforeAutospacing="1" w:after="100" w:afterAutospacing="1" w:line="360" w:lineRule="auto"/>
      </w:pPr>
      <w:r>
        <w:rPr>
          <w:sz w:val="23"/>
          <w:szCs w:val="23"/>
        </w:rPr>
        <w:t xml:space="preserve">To understand the relative importance of impact on perceptions of deservingness compared to other factors, I’ll use regression analyses. I’ll </w:t>
      </w:r>
      <w:r w:rsidRPr="00093497">
        <w:t xml:space="preserve">estimates the magnitude of impact's effect </w:t>
      </w:r>
      <w:r>
        <w:t xml:space="preserve">on deservingness ratings specifically of “incarcerated people/prisoners” </w:t>
      </w:r>
      <w:r w:rsidRPr="00093497">
        <w:t xml:space="preserve">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w:t>
      </w:r>
      <w:r w:rsidRPr="00093497">
        <w:lastRenderedPageBreak/>
        <w:t>accounting for variables like racial resentment and punitiveness that my theoretical framework suggests are important. Third, I can add interaction terms to test whether impact effects vary by respondent characteristics.</w:t>
      </w:r>
      <w:r>
        <w:t xml:space="preserve"> The “Impact” variable is the binary variable showing all impacted groups (1) versus not impacted (0). </w:t>
      </w:r>
    </w:p>
    <w:p w14:paraId="349B1D64" w14:textId="77777777" w:rsidR="005D1295" w:rsidRDefault="005D1295" w:rsidP="005D1295">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 xml:space="preserve">2(Location)+ Controls + </w:t>
      </w:r>
      <w:r>
        <w:sym w:font="Symbol" w:char="F078"/>
      </w:r>
    </w:p>
    <w:p w14:paraId="3DC34D56" w14:textId="77777777" w:rsidR="005D1295" w:rsidRDefault="005D1295" w:rsidP="005D1295">
      <w:pPr>
        <w:rPr>
          <w:sz w:val="23"/>
          <w:szCs w:val="23"/>
        </w:rPr>
      </w:pPr>
    </w:p>
    <w:p w14:paraId="087AA514" w14:textId="77777777" w:rsidR="005D1295" w:rsidRPr="00F07916" w:rsidRDefault="005D1295" w:rsidP="005D1295">
      <w:r w:rsidRPr="00F07916">
        <w:t>This provides a baseline to see how, overall, impact shapes deservingness perceptions. Next, I look at deservingness perceptions of carceral groups (“</w:t>
      </w:r>
      <w:proofErr w:type="spellStart"/>
      <w:r w:rsidRPr="00F07916">
        <w:t>Carceral_target</w:t>
      </w:r>
      <w:proofErr w:type="spellEnd"/>
      <w:r w:rsidRPr="00F07916">
        <w:t xml:space="preserve">”). </w:t>
      </w:r>
    </w:p>
    <w:p w14:paraId="641B92A8" w14:textId="77777777" w:rsidR="005D1295" w:rsidRDefault="005D1295" w:rsidP="005D1295">
      <w:pPr>
        <w:rPr>
          <w:sz w:val="23"/>
          <w:szCs w:val="23"/>
        </w:rPr>
      </w:pPr>
    </w:p>
    <w:p w14:paraId="10D61F2F" w14:textId="784DDBA0" w:rsidR="005D1295" w:rsidRDefault="005D1295" w:rsidP="005D1295">
      <w:pPr>
        <w:spacing w:line="360" w:lineRule="auto"/>
        <w:jc w:val="center"/>
      </w:pPr>
      <w:proofErr w:type="spellStart"/>
      <w:r>
        <w:rPr>
          <w:sz w:val="23"/>
          <w:szCs w:val="23"/>
        </w:rPr>
        <w:t>DeservingnessScore_Group</w:t>
      </w:r>
      <w:proofErr w:type="spellEnd"/>
      <w:r>
        <w:rPr>
          <w:sz w:val="23"/>
          <w:szCs w:val="23"/>
        </w:rPr>
        <w:t xml:space="preserve"> = </w:t>
      </w:r>
      <w:r>
        <w:sym w:font="Symbol" w:char="F062"/>
      </w:r>
      <w:r>
        <w:t xml:space="preserve">0 + </w:t>
      </w:r>
      <w:r>
        <w:sym w:font="Symbol" w:char="F062"/>
      </w:r>
      <w:r>
        <w:sym w:font="Symbol" w:char="F031"/>
      </w:r>
      <w:r>
        <w:t>(</w:t>
      </w:r>
      <w:proofErr w:type="spellStart"/>
      <w:r w:rsidR="00136F29">
        <w:t>Carceral_target</w:t>
      </w:r>
      <w:proofErr w:type="spellEnd"/>
      <w:r>
        <w:t xml:space="preserve">) + Controls + </w:t>
      </w:r>
      <w:r>
        <w:sym w:font="Symbol" w:char="F078"/>
      </w:r>
    </w:p>
    <w:p w14:paraId="017713FD" w14:textId="77777777" w:rsidR="005D1295" w:rsidRDefault="005D1295" w:rsidP="005D1295">
      <w:pPr>
        <w:rPr>
          <w:sz w:val="23"/>
          <w:szCs w:val="23"/>
        </w:rPr>
      </w:pPr>
    </w:p>
    <w:p w14:paraId="50467014" w14:textId="77777777" w:rsidR="005D1295" w:rsidRDefault="005D1295" w:rsidP="005D1295">
      <w:pPr>
        <w:rPr>
          <w:sz w:val="23"/>
          <w:szCs w:val="23"/>
        </w:rPr>
      </w:pPr>
      <w:r>
        <w:rPr>
          <w:sz w:val="23"/>
          <w:szCs w:val="23"/>
        </w:rPr>
        <w:t>This provides a baseline to see how, overall, impact shapes deservingness perceptions of carceral citizens.</w:t>
      </w:r>
    </w:p>
    <w:p w14:paraId="39469EB0" w14:textId="77777777" w:rsidR="005D1295" w:rsidRPr="00D7004A" w:rsidRDefault="005D1295" w:rsidP="005D1295">
      <w:pPr>
        <w:rPr>
          <w:sz w:val="23"/>
          <w:szCs w:val="23"/>
        </w:rPr>
      </w:pPr>
    </w:p>
    <w:p w14:paraId="654288B2" w14:textId="77777777" w:rsidR="005D1295" w:rsidRDefault="005D1295" w:rsidP="005D1295">
      <w:pPr>
        <w:spacing w:line="360" w:lineRule="auto"/>
        <w:rPr>
          <w:sz w:val="23"/>
          <w:szCs w:val="23"/>
        </w:rPr>
      </w:pPr>
      <w:r>
        <w:rPr>
          <w:sz w:val="23"/>
          <w:szCs w:val="23"/>
        </w:rPr>
        <w:t xml:space="preserve">Next, to test whether impacted groups differentiate between carceral subsets less than (a) those who are not directly impacted and (b) differently from each other – as in, victims versus people with incarcerated friends/family, I can use a mixed- effects model, accounting for non-independence of ratings from respondents through random effects. </w:t>
      </w:r>
    </w:p>
    <w:p w14:paraId="44830ECC" w14:textId="77777777" w:rsidR="005D1295" w:rsidRDefault="005D1295" w:rsidP="005D1295">
      <w:pPr>
        <w:spacing w:before="100" w:beforeAutospacing="1" w:after="100" w:afterAutospacing="1" w:line="360" w:lineRule="auto"/>
        <w:jc w:val="center"/>
      </w:pPr>
      <w:proofErr w:type="spellStart"/>
      <w:r w:rsidRPr="00E15AA8">
        <w:t>DeservingScore</w:t>
      </w:r>
      <w:r>
        <w:t>_Differentiations</w:t>
      </w:r>
      <w:proofErr w:type="spellEnd"/>
      <w:r w:rsidRPr="00E15AA8">
        <w:t xml:space="preserve"> = β₀ +</w:t>
      </w:r>
      <w:r w:rsidRPr="00137582">
        <w:t xml:space="preserve"> </w:t>
      </w:r>
      <w:r w:rsidRPr="00E15AA8">
        <w:t>β</w:t>
      </w:r>
      <w:r>
        <w:t>1(Been Inc)</w:t>
      </w:r>
      <w:r w:rsidRPr="00E15AA8">
        <w:t xml:space="preserve"> +</w:t>
      </w:r>
      <w:r w:rsidRPr="00137582">
        <w:t xml:space="preserve"> </w:t>
      </w:r>
      <w:r w:rsidRPr="00E15AA8">
        <w:t>β</w:t>
      </w:r>
      <w:r>
        <w:t>2(Knows Inc)</w:t>
      </w:r>
      <w:r w:rsidRPr="00E15AA8">
        <w:t xml:space="preserve"> +</w:t>
      </w:r>
      <w:r w:rsidRPr="00137582">
        <w:t xml:space="preserve"> </w:t>
      </w:r>
      <w:r w:rsidRPr="00E15AA8">
        <w:t>β</w:t>
      </w:r>
      <w:r>
        <w:t xml:space="preserve">3(Been </w:t>
      </w:r>
      <w:proofErr w:type="spellStart"/>
      <w:r>
        <w:t>Vict</w:t>
      </w:r>
      <w:proofErr w:type="spellEnd"/>
      <w:r>
        <w:t>)</w:t>
      </w:r>
      <w:r w:rsidRPr="00E15AA8">
        <w:t xml:space="preserve"> + β</w:t>
      </w:r>
      <w:r>
        <w:t xml:space="preserve">4(Knows </w:t>
      </w:r>
      <w:proofErr w:type="spellStart"/>
      <w:r>
        <w:t>Vict</w:t>
      </w:r>
      <w:proofErr w:type="spellEnd"/>
      <w:r>
        <w:t xml:space="preserve">) + </w:t>
      </w:r>
      <w:r>
        <w:sym w:font="Symbol" w:char="F062"/>
      </w:r>
      <w:r>
        <w:t>5(</w:t>
      </w:r>
      <w:r>
        <w:rPr>
          <w:sz w:val="23"/>
          <w:szCs w:val="23"/>
        </w:rPr>
        <w:t>Carceral Target)</w:t>
      </w:r>
      <w:r w:rsidRPr="00E15AA8">
        <w:t xml:space="preserve"> + Controls + (1|RespondentID)</w:t>
      </w:r>
    </w:p>
    <w:p w14:paraId="72DB84CB" w14:textId="77777777" w:rsidR="005D1295" w:rsidRPr="00BA5D89" w:rsidRDefault="005D1295" w:rsidP="005D1295">
      <w:pPr>
        <w:spacing w:before="100" w:beforeAutospacing="1" w:after="100" w:afterAutospacing="1" w:line="360" w:lineRule="auto"/>
      </w:pPr>
      <w:r>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6A825408" w14:textId="77777777" w:rsidR="005D1295" w:rsidRPr="00B65339" w:rsidRDefault="005D1295" w:rsidP="005D1295">
      <w:pPr>
        <w:autoSpaceDE w:val="0"/>
        <w:autoSpaceDN w:val="0"/>
        <w:adjustRightInd w:val="0"/>
        <w:spacing w:line="460" w:lineRule="atLeast"/>
        <w:rPr>
          <w:color w:val="000000"/>
          <w:sz w:val="23"/>
          <w:szCs w:val="23"/>
          <w14:ligatures w14:val="standardContextual"/>
        </w:rPr>
      </w:pPr>
      <w:r w:rsidRPr="00B65339">
        <w:rPr>
          <w:i/>
          <w:iCs/>
          <w:sz w:val="23"/>
          <w:szCs w:val="23"/>
        </w:rPr>
        <w:t xml:space="preserve">Hypothesis 2: </w:t>
      </w:r>
      <w:r w:rsidRPr="00B65339">
        <w:rPr>
          <w:color w:val="000000"/>
          <w:sz w:val="23"/>
          <w:szCs w:val="23"/>
          <w14:ligatures w14:val="standardContextual"/>
        </w:rPr>
        <w:t xml:space="preserve">People impacted by the carceral system’s views of what policy help carceral citizens </w:t>
      </w:r>
      <w:proofErr w:type="gramStart"/>
      <w:r w:rsidRPr="00B65339">
        <w:rPr>
          <w:color w:val="000000"/>
          <w:sz w:val="23"/>
          <w:szCs w:val="23"/>
          <w14:ligatures w14:val="standardContextual"/>
        </w:rPr>
        <w:t>deserve  –</w:t>
      </w:r>
      <w:proofErr w:type="gramEnd"/>
      <w:r w:rsidRPr="00B65339">
        <w:rPr>
          <w:color w:val="000000"/>
          <w:sz w:val="23"/>
          <w:szCs w:val="23"/>
          <w14:ligatures w14:val="standardContextual"/>
        </w:rPr>
        <w:t xml:space="preserve"> both material and symbolic policies – will be different than those not impacted:</w:t>
      </w:r>
    </w:p>
    <w:p w14:paraId="24DEB384" w14:textId="77777777" w:rsidR="005D1295" w:rsidRDefault="005D1295" w:rsidP="005D1295">
      <w:pPr>
        <w:spacing w:line="360" w:lineRule="auto"/>
      </w:pPr>
    </w:p>
    <w:p w14:paraId="0E99850E" w14:textId="77777777" w:rsidR="005D1295" w:rsidRDefault="005D1295" w:rsidP="005D1295">
      <w:pPr>
        <w:spacing w:line="360" w:lineRule="auto"/>
      </w:pPr>
      <w:r>
        <w:t xml:space="preserve">To test these next hypotheses, </w:t>
      </w:r>
      <w:r w:rsidRPr="00FC7432">
        <w:t xml:space="preserve">I begin </w:t>
      </w:r>
      <w:r>
        <w:t>by establishing a baseline comparison of</w:t>
      </w:r>
      <w:r w:rsidRPr="00FC7432">
        <w:t xml:space="preserve"> </w:t>
      </w:r>
      <w:r>
        <w:t xml:space="preserve">policy preferences between impacted and non-impacted groups. I will conduct </w:t>
      </w:r>
      <w:r w:rsidRPr="00FC7432">
        <w:t>independent samples t-</w:t>
      </w:r>
      <w:r w:rsidRPr="00FC7432">
        <w:lastRenderedPageBreak/>
        <w:t>tests comparing standardized policy support between impacted and non-impacted groups for each policy</w:t>
      </w:r>
      <w:r>
        <w:t xml:space="preserve"> – prison education, prison calls, parole for parents, minimum wage, voting access, restored voting rights, life without parole, and the death penalty</w:t>
      </w:r>
      <w:r w:rsidRPr="00FC7432">
        <w:t xml:space="preserve">. As with deservingness ratings, I then use one-way ANOVA to examine differences across detailed impact with post-hoc Tukey </w:t>
      </w:r>
      <w:r>
        <w:t xml:space="preserve">HSD </w:t>
      </w:r>
      <w:r w:rsidRPr="00FC7432">
        <w:t>tests identifying which specific impact types differ</w:t>
      </w:r>
      <w:r>
        <w:t xml:space="preserve"> – whether, for example, there is a significant difference between views of victims than those of incarcerated individuals.</w:t>
      </w:r>
    </w:p>
    <w:p w14:paraId="3292231C" w14:textId="77777777" w:rsidR="005D1295" w:rsidRPr="00FC7432" w:rsidRDefault="005D1295" w:rsidP="005D1295">
      <w:pPr>
        <w:spacing w:line="360" w:lineRule="auto"/>
      </w:pPr>
    </w:p>
    <w:p w14:paraId="2B59A56A" w14:textId="77777777" w:rsidR="005D1295" w:rsidRPr="00FC7432" w:rsidRDefault="005D1295" w:rsidP="005D1295">
      <w:pPr>
        <w:spacing w:line="360" w:lineRule="auto"/>
      </w:pPr>
      <w:r w:rsidRPr="00FC7432">
        <w:t>To understand how impact relates to policy support while accounting for other factors, I employ multiple regression analyses:</w:t>
      </w:r>
    </w:p>
    <w:p w14:paraId="292BAED9" w14:textId="77777777" w:rsidR="005D1295" w:rsidRPr="00FC7432" w:rsidRDefault="005D1295" w:rsidP="005D1295">
      <w:pPr>
        <w:spacing w:line="360" w:lineRule="auto"/>
        <w:jc w:val="center"/>
      </w:pPr>
      <w:proofErr w:type="spellStart"/>
      <w:r w:rsidRPr="00FC7432">
        <w:t>PolicySupport</w:t>
      </w:r>
      <w:proofErr w:type="spellEnd"/>
      <w:r w:rsidRPr="00FC7432">
        <w:t xml:space="preserve"> = β₀ + β₁</w:t>
      </w:r>
      <w:r>
        <w:t>(</w:t>
      </w:r>
      <w:r w:rsidRPr="00FC7432">
        <w:t>Impact</w:t>
      </w:r>
      <w:r>
        <w:t>)</w:t>
      </w:r>
      <w:r w:rsidRPr="00FC7432">
        <w:t xml:space="preserve"> + β₂</w:t>
      </w:r>
      <w:r>
        <w:t>(</w:t>
      </w:r>
      <w:r w:rsidRPr="00FC7432">
        <w:t>Race</w:t>
      </w:r>
      <w:r>
        <w:t>)</w:t>
      </w:r>
      <w:r w:rsidRPr="00FC7432">
        <w:t xml:space="preserve"> + β₃Party + β₄Gender + β₅Religion + β₆</w:t>
      </w:r>
      <w:proofErr w:type="spellStart"/>
      <w:r w:rsidRPr="00FC7432">
        <w:t>RacialResentment</w:t>
      </w:r>
      <w:proofErr w:type="spellEnd"/>
      <w:r w:rsidRPr="00FC7432">
        <w:t xml:space="preserve"> + β₇Punitiveness + β₈</w:t>
      </w:r>
      <w:proofErr w:type="spellStart"/>
      <w:r w:rsidRPr="00FC7432">
        <w:t>DeservingScore</w:t>
      </w:r>
      <w:proofErr w:type="spellEnd"/>
      <w:r w:rsidRPr="00FC7432">
        <w:t xml:space="preserve"> + ε</w:t>
      </w:r>
    </w:p>
    <w:p w14:paraId="0BDF7E6C" w14:textId="77777777" w:rsidR="005D1295" w:rsidRDefault="005D1295" w:rsidP="005D1295">
      <w:pPr>
        <w:spacing w:line="360" w:lineRule="auto"/>
      </w:pPr>
    </w:p>
    <w:p w14:paraId="1801A292" w14:textId="77777777" w:rsidR="005D1295" w:rsidRPr="00FC7432" w:rsidRDefault="005D1295" w:rsidP="005D1295">
      <w:pPr>
        <w:spacing w:line="360" w:lineRule="auto"/>
      </w:pPr>
      <w:r w:rsidRPr="00FC7432">
        <w:t>This model includes the standardized deservingness ratings as a predictor, allowing examination of whether policy views relate differently to abstract deservingness perceptions for impacted versus non-impacted groups.</w:t>
      </w:r>
    </w:p>
    <w:p w14:paraId="11C66A66" w14:textId="77777777" w:rsidR="005D1295" w:rsidRDefault="005D1295" w:rsidP="005D1295">
      <w:pPr>
        <w:spacing w:line="360" w:lineRule="auto"/>
      </w:pPr>
    </w:p>
    <w:p w14:paraId="03EC76BE" w14:textId="77777777" w:rsidR="005D1295" w:rsidRDefault="005D1295" w:rsidP="005D1295">
      <w:pPr>
        <w:spacing w:line="360" w:lineRule="auto"/>
      </w:pPr>
      <w:r w:rsidRPr="00FC7432">
        <w:t xml:space="preserve">To test </w:t>
      </w:r>
      <w:r>
        <w:t xml:space="preserve">(H2) </w:t>
      </w:r>
      <w:r w:rsidRPr="00FC7432">
        <w:t>whether impact status affects differentiation in policy support, I employ mixed-effects modeling:</w:t>
      </w:r>
    </w:p>
    <w:p w14:paraId="21940688" w14:textId="77777777" w:rsidR="005D1295" w:rsidRDefault="005D1295" w:rsidP="005D1295">
      <w:pPr>
        <w:spacing w:line="360" w:lineRule="auto"/>
        <w:jc w:val="center"/>
      </w:pPr>
      <w:proofErr w:type="spellStart"/>
      <w:r w:rsidRPr="00FC7432">
        <w:t>PolicySupport</w:t>
      </w:r>
      <w:proofErr w:type="spellEnd"/>
      <w:r w:rsidRPr="00FC7432">
        <w:t xml:space="preserve"> = β₀ + β₁Impact + β₂</w:t>
      </w:r>
      <w:proofErr w:type="spellStart"/>
      <w:r w:rsidRPr="00FC7432">
        <w:t>PolicyType</w:t>
      </w:r>
      <w:proofErr w:type="spellEnd"/>
      <w:r w:rsidRPr="00FC7432">
        <w:t xml:space="preserve"> + β₃(</w:t>
      </w:r>
      <w:proofErr w:type="spellStart"/>
      <w:r w:rsidRPr="00FC7432">
        <w:t>Impact×PolicyType</w:t>
      </w:r>
      <w:proofErr w:type="spellEnd"/>
      <w:r w:rsidRPr="00FC7432">
        <w:t>) + Controls + (1|RespondentID)</w:t>
      </w:r>
    </w:p>
    <w:p w14:paraId="46CB4907" w14:textId="77777777" w:rsidR="005D1295" w:rsidRDefault="005D1295" w:rsidP="005D1295">
      <w:pPr>
        <w:spacing w:line="360" w:lineRule="auto"/>
      </w:pPr>
    </w:p>
    <w:p w14:paraId="7FBD5F2A" w14:textId="77777777" w:rsidR="005D1295" w:rsidRDefault="005D1295" w:rsidP="005D1295">
      <w:pPr>
        <w:spacing w:line="360" w:lineRule="auto"/>
      </w:pPr>
      <w:r>
        <w:t>I then test how different impact experiences affects differentiation in policy support:</w:t>
      </w:r>
    </w:p>
    <w:p w14:paraId="1EF8D55B" w14:textId="77777777" w:rsidR="005D1295" w:rsidRDefault="005D1295" w:rsidP="005D1295">
      <w:pPr>
        <w:spacing w:line="360" w:lineRule="auto"/>
        <w:jc w:val="center"/>
      </w:pPr>
      <w:proofErr w:type="spellStart"/>
      <w:r>
        <w:t>PolicySupport</w:t>
      </w:r>
      <w:proofErr w:type="spellEnd"/>
      <w:r>
        <w:t xml:space="preserve"> = </w:t>
      </w:r>
      <w:r w:rsidRPr="00FC7432">
        <w:t>β₀</w:t>
      </w:r>
      <w:r>
        <w:t xml:space="preserve"> </w:t>
      </w:r>
      <w:r w:rsidRPr="00E15AA8">
        <w:t>+</w:t>
      </w:r>
      <w:r>
        <w:t xml:space="preserve"> </w:t>
      </w:r>
      <w:r w:rsidRPr="00E15AA8">
        <w:t>β</w:t>
      </w:r>
      <w:r>
        <w:t>1(Been Inc)</w:t>
      </w:r>
      <w:r w:rsidRPr="00E15AA8">
        <w:t xml:space="preserve"> +</w:t>
      </w:r>
      <w:r w:rsidRPr="00137582">
        <w:t xml:space="preserve"> </w:t>
      </w:r>
      <w:r w:rsidRPr="00E15AA8">
        <w:t>β</w:t>
      </w:r>
      <w:r>
        <w:t>2(Knows Inc)</w:t>
      </w:r>
      <w:r w:rsidRPr="00E15AA8">
        <w:t xml:space="preserve"> +</w:t>
      </w:r>
      <w:r w:rsidRPr="00137582">
        <w:t xml:space="preserve"> </w:t>
      </w:r>
      <w:r w:rsidRPr="00E15AA8">
        <w:t>β</w:t>
      </w:r>
      <w:r>
        <w:t xml:space="preserve">3(Been </w:t>
      </w:r>
      <w:proofErr w:type="spellStart"/>
      <w:proofErr w:type="gramStart"/>
      <w:r>
        <w:t>Vict</w:t>
      </w:r>
      <w:proofErr w:type="spellEnd"/>
      <w:r>
        <w:t>)</w:t>
      </w:r>
      <w:r w:rsidRPr="00E15AA8">
        <w:t xml:space="preserve">  </w:t>
      </w:r>
      <w:r w:rsidRPr="00FC7432">
        <w:t>+</w:t>
      </w:r>
      <w:proofErr w:type="gramEnd"/>
      <w:r w:rsidRPr="00FC7432">
        <w:t xml:space="preserve"> β</w:t>
      </w:r>
      <w:r>
        <w:t>4(</w:t>
      </w:r>
      <w:proofErr w:type="spellStart"/>
      <w:r w:rsidRPr="00FC7432">
        <w:t>PolicyType</w:t>
      </w:r>
      <w:proofErr w:type="spellEnd"/>
      <w:r>
        <w:t>)</w:t>
      </w:r>
      <w:r w:rsidRPr="00136668">
        <w:t xml:space="preserve"> </w:t>
      </w:r>
      <w:r w:rsidRPr="00FC7432">
        <w:t>β₃(</w:t>
      </w:r>
      <w:r>
        <w:t xml:space="preserve">Been </w:t>
      </w:r>
      <w:proofErr w:type="spellStart"/>
      <w:r>
        <w:t>Inc</w:t>
      </w:r>
      <w:r w:rsidRPr="00FC7432">
        <w:t>×PolicyType</w:t>
      </w:r>
      <w:proofErr w:type="spellEnd"/>
      <w:r w:rsidRPr="00FC7432">
        <w:t>) +</w:t>
      </w:r>
      <w:r>
        <w:t xml:space="preserve"> </w:t>
      </w:r>
      <w:r w:rsidRPr="00FC7432">
        <w:t>β₃(</w:t>
      </w:r>
      <w:r>
        <w:t xml:space="preserve">Knows </w:t>
      </w:r>
      <w:proofErr w:type="spellStart"/>
      <w:r>
        <w:t>Inc</w:t>
      </w:r>
      <w:r w:rsidRPr="00FC7432">
        <w:t>×PolicyType</w:t>
      </w:r>
      <w:proofErr w:type="spellEnd"/>
      <w:r w:rsidRPr="00FC7432">
        <w:t>)  +</w:t>
      </w:r>
      <w:r>
        <w:t xml:space="preserve"> </w:t>
      </w:r>
      <w:r w:rsidRPr="00FC7432">
        <w:t>β₃(</w:t>
      </w:r>
      <w:r>
        <w:t xml:space="preserve">Been </w:t>
      </w:r>
      <w:proofErr w:type="spellStart"/>
      <w:r>
        <w:t>Vict</w:t>
      </w:r>
      <w:r w:rsidRPr="00FC7432">
        <w:t>×PolicyType</w:t>
      </w:r>
      <w:proofErr w:type="spellEnd"/>
      <w:r w:rsidRPr="00FC7432">
        <w:t xml:space="preserve">) </w:t>
      </w:r>
      <w:r w:rsidRPr="00E15AA8">
        <w:t>+</w:t>
      </w:r>
      <w:r w:rsidRPr="00137582">
        <w:t xml:space="preserve"> </w:t>
      </w:r>
      <w:r w:rsidRPr="00FC7432">
        <w:t xml:space="preserve"> Controls + (1|RespondentID)</w:t>
      </w:r>
    </w:p>
    <w:p w14:paraId="4B1DCAB7" w14:textId="77777777" w:rsidR="005D1295" w:rsidRDefault="005D1295" w:rsidP="005D1295">
      <w:pPr>
        <w:spacing w:line="360" w:lineRule="auto"/>
      </w:pPr>
    </w:p>
    <w:p w14:paraId="50F6B355" w14:textId="77777777" w:rsidR="005D1295" w:rsidRDefault="005D1295" w:rsidP="005D1295">
      <w:pPr>
        <w:spacing w:line="360" w:lineRule="auto"/>
      </w:pPr>
      <w:r w:rsidRPr="00FC7432">
        <w:t xml:space="preserve">The interaction term tests whether impact status changes how people differentiate support across policies. For example, impacted people might show more consistent support across policies </w:t>
      </w:r>
      <w:r>
        <w:t xml:space="preserve">(both support prison education and prison wages, </w:t>
      </w:r>
      <w:proofErr w:type="spellStart"/>
      <w:r>
        <w:t>etc</w:t>
      </w:r>
      <w:proofErr w:type="spellEnd"/>
      <w:r>
        <w:t xml:space="preserve">) </w:t>
      </w:r>
      <w:r w:rsidRPr="00FC7432">
        <w:t xml:space="preserve">while non-impacted people more strongly differentiate between </w:t>
      </w:r>
      <w:r>
        <w:t>material and symbolic</w:t>
      </w:r>
      <w:r w:rsidRPr="00FC7432">
        <w:t xml:space="preserve"> measures.</w:t>
      </w:r>
    </w:p>
    <w:p w14:paraId="234AB074" w14:textId="77777777" w:rsidR="005D1295" w:rsidRDefault="005D1295" w:rsidP="005D1295">
      <w:pPr>
        <w:spacing w:line="360" w:lineRule="auto"/>
      </w:pPr>
    </w:p>
    <w:p w14:paraId="03600D30" w14:textId="77777777" w:rsidR="005D1295" w:rsidRDefault="005D1295" w:rsidP="005D1295">
      <w:pPr>
        <w:spacing w:line="360" w:lineRule="auto"/>
      </w:pPr>
      <w:r>
        <w:lastRenderedPageBreak/>
        <w:t>Next, I explore (H2A) how differentiation in deservingness perceptions informs policies. Here, I introduce a variable to capture the degree to which respondents differentiate between “incarcerated person/prisoner” and other carceral types.</w:t>
      </w:r>
    </w:p>
    <w:p w14:paraId="16E6A303" w14:textId="77777777" w:rsidR="005D1295" w:rsidRDefault="005D1295" w:rsidP="005D1295">
      <w:pPr>
        <w:spacing w:line="360" w:lineRule="auto"/>
      </w:pPr>
    </w:p>
    <w:p w14:paraId="290862E3" w14:textId="77777777" w:rsidR="005D1295" w:rsidRDefault="005D1295" w:rsidP="005D1295">
      <w:pPr>
        <w:spacing w:line="360" w:lineRule="auto"/>
        <w:jc w:val="center"/>
      </w:pPr>
      <w:proofErr w:type="spellStart"/>
      <w:r w:rsidRPr="00FC7432">
        <w:t>PolicySupport</w:t>
      </w:r>
      <w:r>
        <w:t>_By</w:t>
      </w:r>
      <w:proofErr w:type="spellEnd"/>
      <w:r>
        <w:t xml:space="preserve"> Differentiation</w:t>
      </w:r>
      <w:r w:rsidRPr="00FC7432">
        <w:t xml:space="preserve"> = β₀ + </w:t>
      </w:r>
      <w:r w:rsidRPr="00E15AA8">
        <w:t>β</w:t>
      </w:r>
      <w:r>
        <w:t>1(Been Inc)</w:t>
      </w:r>
      <w:r w:rsidRPr="00E15AA8">
        <w:t xml:space="preserve"> +</w:t>
      </w:r>
      <w:r w:rsidRPr="00137582">
        <w:t xml:space="preserve"> </w:t>
      </w:r>
      <w:r w:rsidRPr="00E15AA8">
        <w:t>β</w:t>
      </w:r>
      <w:r>
        <w:t>2(Knows Inc)</w:t>
      </w:r>
      <w:r w:rsidRPr="00E15AA8">
        <w:t xml:space="preserve"> +</w:t>
      </w:r>
      <w:r w:rsidRPr="00137582">
        <w:t xml:space="preserve"> </w:t>
      </w:r>
      <w:r w:rsidRPr="00E15AA8">
        <w:t>β</w:t>
      </w:r>
      <w:r>
        <w:t xml:space="preserve">3(Been </w:t>
      </w:r>
      <w:proofErr w:type="spellStart"/>
      <w:proofErr w:type="gramStart"/>
      <w:r>
        <w:t>Vict</w:t>
      </w:r>
      <w:proofErr w:type="spellEnd"/>
      <w:r>
        <w:t>)</w:t>
      </w:r>
      <w:r w:rsidRPr="00E15AA8">
        <w:t xml:space="preserve">  </w:t>
      </w:r>
      <w:r w:rsidRPr="00FC7432">
        <w:t>+</w:t>
      </w:r>
      <w:proofErr w:type="gramEnd"/>
      <w:r w:rsidRPr="00FC7432">
        <w:t xml:space="preserve"> β</w:t>
      </w:r>
      <w:r>
        <w:t>4(</w:t>
      </w:r>
      <w:proofErr w:type="spellStart"/>
      <w:r w:rsidRPr="00FC7432">
        <w:t>PolicyType</w:t>
      </w:r>
      <w:proofErr w:type="spellEnd"/>
      <w:r>
        <w:t>)</w:t>
      </w:r>
      <w:r w:rsidRPr="00FC7432">
        <w:t xml:space="preserve"> + β</w:t>
      </w:r>
      <w:r>
        <w:t>4(Desert Difference)</w:t>
      </w:r>
      <w:r w:rsidRPr="003A12E0">
        <w:t xml:space="preserve"> </w:t>
      </w:r>
      <w:r w:rsidRPr="00FC7432">
        <w:t>+ β</w:t>
      </w:r>
      <w:r>
        <w:t>5</w:t>
      </w:r>
      <w:r w:rsidRPr="00FC7432">
        <w:t>(</w:t>
      </w:r>
      <w:proofErr w:type="spellStart"/>
      <w:r w:rsidRPr="00FC7432">
        <w:t>Impact×PolicyType</w:t>
      </w:r>
      <w:proofErr w:type="spellEnd"/>
      <w:r w:rsidRPr="00FC7432">
        <w:t>) + Controls + (1|RespondentID)</w:t>
      </w:r>
    </w:p>
    <w:p w14:paraId="41C66C2A" w14:textId="77777777" w:rsidR="005D1295" w:rsidRDefault="005D1295" w:rsidP="005D1295">
      <w:pPr>
        <w:spacing w:line="360" w:lineRule="auto"/>
        <w:rPr>
          <w:sz w:val="23"/>
          <w:szCs w:val="23"/>
        </w:rPr>
      </w:pPr>
    </w:p>
    <w:p w14:paraId="74306EF5" w14:textId="77777777" w:rsidR="005D1295" w:rsidRPr="009B0608" w:rsidRDefault="005D1295" w:rsidP="005D1295">
      <w:pPr>
        <w:spacing w:line="360" w:lineRule="auto"/>
      </w:pPr>
      <w:r>
        <w:rPr>
          <w:sz w:val="23"/>
          <w:szCs w:val="23"/>
        </w:rPr>
        <w:t>After mapping differences, I take these policies one by one to examine (H2B) whether how perceptions of what people deserve changes when those people are incarcerated – again, to glean whether changes in perceptions of people who are impacted are distinct. The survey includes questions about other group’s general and policy deservingness that I use as non-incarcerated/deviant anchors (</w:t>
      </w:r>
      <w:r>
        <w:t>children, mothers, students, voters, poor families, blue collar workers, working class Americans, labor unions, and parents of undocumented children)</w:t>
      </w:r>
      <w:r>
        <w:rPr>
          <w:sz w:val="23"/>
          <w:szCs w:val="23"/>
        </w:rPr>
        <w:t xml:space="preserve">. Using these anchors allows me to explore whether, for example, beliefs about the importance of worker protections and reducing economic inequality are effectively “left behind” at prison gates. </w:t>
      </w:r>
    </w:p>
    <w:p w14:paraId="011D95D5" w14:textId="77777777" w:rsidR="005D1295" w:rsidRDefault="005D1295" w:rsidP="005D1295">
      <w:pPr>
        <w:spacing w:line="360" w:lineRule="auto"/>
        <w:rPr>
          <w:sz w:val="23"/>
          <w:szCs w:val="23"/>
        </w:rPr>
      </w:pPr>
    </w:p>
    <w:p w14:paraId="6709C459" w14:textId="77777777" w:rsidR="005D1295" w:rsidRDefault="005D1295" w:rsidP="005D1295">
      <w:pPr>
        <w:spacing w:line="360" w:lineRule="auto"/>
        <w:rPr>
          <w:sz w:val="23"/>
          <w:szCs w:val="23"/>
        </w:rPr>
      </w:pPr>
      <w:r>
        <w:rPr>
          <w:sz w:val="23"/>
          <w:szCs w:val="23"/>
        </w:rPr>
        <w:t>I use data to create covariates for the following carceral policies: (1) prison education, (2) parole options for parents, (3) voting access in jail, (4) voting rights after prison, (5) prison wages, (6) life without the possibility of parole, and (7) the death penalty.</w:t>
      </w:r>
    </w:p>
    <w:p w14:paraId="7CBE7E78" w14:textId="77777777" w:rsidR="005D1295" w:rsidRDefault="005D1295" w:rsidP="005D1295">
      <w:pPr>
        <w:spacing w:line="360" w:lineRule="auto"/>
        <w:rPr>
          <w:sz w:val="23"/>
          <w:szCs w:val="23"/>
        </w:rPr>
      </w:pPr>
    </w:p>
    <w:p w14:paraId="3306BBBA" w14:textId="77777777" w:rsidR="005D1295" w:rsidRDefault="005D1295" w:rsidP="005D1295">
      <w:pPr>
        <w:spacing w:line="360" w:lineRule="auto"/>
        <w:rPr>
          <w:sz w:val="23"/>
          <w:szCs w:val="23"/>
        </w:rPr>
      </w:pPr>
      <w:r w:rsidRPr="00BC7664">
        <w:rPr>
          <w:b/>
          <w:bCs/>
          <w:sz w:val="23"/>
          <w:szCs w:val="23"/>
        </w:rPr>
        <w:t xml:space="preserve">Policy </w:t>
      </w:r>
      <w:r>
        <w:rPr>
          <w:b/>
          <w:bCs/>
          <w:sz w:val="23"/>
          <w:szCs w:val="23"/>
        </w:rPr>
        <w:t>1</w:t>
      </w:r>
      <w:r w:rsidRPr="00BC7664">
        <w:rPr>
          <w:b/>
          <w:bCs/>
          <w:sz w:val="23"/>
          <w:szCs w:val="23"/>
        </w:rPr>
        <w:t>:</w:t>
      </w:r>
      <w:r>
        <w:rPr>
          <w:sz w:val="23"/>
          <w:szCs w:val="23"/>
        </w:rPr>
        <w:t xml:space="preserve"> </w:t>
      </w:r>
      <w:r>
        <w:rPr>
          <w:i/>
          <w:iCs/>
          <w:sz w:val="23"/>
          <w:szCs w:val="23"/>
        </w:rPr>
        <w:t xml:space="preserve">Increasing funding for accredited GED and college courses in prisons. </w:t>
      </w:r>
      <w:r>
        <w:rPr>
          <w:sz w:val="23"/>
          <w:szCs w:val="23"/>
        </w:rPr>
        <w:t xml:space="preserve">Beliefs about access to education in prison normatively should reflect strong support for education and students more broadly. It may also reflect differences in what ‘students’ more broadly deserve, as the question itself may invoke an ‘identity’ of a carceral citizen who </w:t>
      </w:r>
      <w:proofErr w:type="gramStart"/>
      <w:r>
        <w:rPr>
          <w:sz w:val="23"/>
          <w:szCs w:val="23"/>
        </w:rPr>
        <w:t>is a student</w:t>
      </w:r>
      <w:proofErr w:type="gramEnd"/>
      <w:r>
        <w:rPr>
          <w:sz w:val="23"/>
          <w:szCs w:val="23"/>
        </w:rPr>
        <w:t xml:space="preserve"> or seeking education. </w:t>
      </w:r>
    </w:p>
    <w:p w14:paraId="245CAB69" w14:textId="77777777" w:rsidR="005D1295" w:rsidRDefault="005D1295" w:rsidP="005D1295">
      <w:pPr>
        <w:rPr>
          <w:sz w:val="23"/>
          <w:szCs w:val="23"/>
        </w:rPr>
      </w:pPr>
    </w:p>
    <w:p w14:paraId="122890A5" w14:textId="77777777" w:rsidR="005D1295" w:rsidRPr="00E65DB0" w:rsidRDefault="005D1295" w:rsidP="005D1295">
      <w:pPr>
        <w:spacing w:line="360" w:lineRule="auto"/>
        <w:rPr>
          <w:sz w:val="23"/>
          <w:szCs w:val="23"/>
        </w:rPr>
      </w:pPr>
      <w:r>
        <w:rPr>
          <w:sz w:val="23"/>
          <w:szCs w:val="23"/>
        </w:rPr>
        <w:t>I will create two education/student covariates. The first will be for symbolic views. It will include l</w:t>
      </w:r>
      <w:r w:rsidRPr="00BA6AC2">
        <w:rPr>
          <w:sz w:val="23"/>
          <w:szCs w:val="23"/>
        </w:rPr>
        <w:t>evel of agreement (strongly agree, agree, disagree, strongly disagree) that</w:t>
      </w:r>
      <w:r>
        <w:rPr>
          <w:sz w:val="23"/>
          <w:szCs w:val="23"/>
        </w:rPr>
        <w:t xml:space="preserve">: </w:t>
      </w:r>
      <w:r w:rsidRPr="00E65DB0">
        <w:rPr>
          <w:sz w:val="23"/>
          <w:szCs w:val="23"/>
        </w:rPr>
        <w:t xml:space="preserve">“attaining a college degree helps Americans to improve their economic </w:t>
      </w:r>
      <w:proofErr w:type="spellStart"/>
      <w:r w:rsidRPr="00E65DB0">
        <w:rPr>
          <w:sz w:val="23"/>
          <w:szCs w:val="23"/>
        </w:rPr>
        <w:t>well being</w:t>
      </w:r>
      <w:proofErr w:type="spellEnd"/>
      <w:r w:rsidRPr="00E65DB0">
        <w:rPr>
          <w:sz w:val="23"/>
          <w:szCs w:val="23"/>
        </w:rPr>
        <w:t xml:space="preserve">;” “more Americans should attend college;” and that “the benefits of college outweigh the financial costs.” </w:t>
      </w:r>
      <w:r>
        <w:rPr>
          <w:sz w:val="23"/>
          <w:szCs w:val="23"/>
        </w:rPr>
        <w:t>It will also include deservingness perceptions of “students” and “women in college.”</w:t>
      </w:r>
    </w:p>
    <w:p w14:paraId="3941D7F1" w14:textId="77777777" w:rsidR="005D1295" w:rsidRDefault="005D1295" w:rsidP="005D1295">
      <w:pPr>
        <w:spacing w:line="360" w:lineRule="auto"/>
        <w:rPr>
          <w:sz w:val="23"/>
          <w:szCs w:val="23"/>
        </w:rPr>
      </w:pPr>
    </w:p>
    <w:p w14:paraId="2E0615C3" w14:textId="77777777" w:rsidR="005D1295" w:rsidRPr="00E65DB0" w:rsidRDefault="005D1295" w:rsidP="005D1295">
      <w:pPr>
        <w:spacing w:line="360" w:lineRule="auto"/>
        <w:rPr>
          <w:sz w:val="23"/>
          <w:szCs w:val="23"/>
        </w:rPr>
      </w:pPr>
      <w:r>
        <w:rPr>
          <w:sz w:val="23"/>
          <w:szCs w:val="23"/>
        </w:rPr>
        <w:lastRenderedPageBreak/>
        <w:t>The second – a material views covariate – includes three question that either state or imply increases to funding for education: belief in “ensuring that more Americans can attend and pay for college” that “eliminating college debt…would reduce economic inequality,”</w:t>
      </w:r>
      <w:r w:rsidRPr="00E65DB0">
        <w:rPr>
          <w:sz w:val="23"/>
          <w:szCs w:val="23"/>
        </w:rPr>
        <w:t xml:space="preserve"> </w:t>
      </w:r>
      <w:r>
        <w:rPr>
          <w:sz w:val="23"/>
          <w:szCs w:val="23"/>
        </w:rPr>
        <w:t xml:space="preserve">and that </w:t>
      </w:r>
      <w:r w:rsidRPr="00E65DB0">
        <w:rPr>
          <w:sz w:val="23"/>
          <w:szCs w:val="23"/>
        </w:rPr>
        <w:t>“states should provide more funding to public colleges and universities to ensure that they are more affordable to state residents.”</w:t>
      </w:r>
    </w:p>
    <w:p w14:paraId="3A7DB22E" w14:textId="77777777" w:rsidR="005D1295" w:rsidRDefault="005D1295" w:rsidP="005D1295">
      <w:pPr>
        <w:spacing w:line="360" w:lineRule="auto"/>
        <w:rPr>
          <w:sz w:val="23"/>
          <w:szCs w:val="23"/>
        </w:rPr>
      </w:pPr>
    </w:p>
    <w:p w14:paraId="03296E79" w14:textId="77777777" w:rsidR="005D1295" w:rsidRDefault="005D1295" w:rsidP="005D1295">
      <w:pPr>
        <w:spacing w:line="360" w:lineRule="auto"/>
        <w:jc w:val="center"/>
        <w:rPr>
          <w:color w:val="000000"/>
          <w:sz w:val="23"/>
          <w:szCs w:val="23"/>
          <w14:ligatures w14:val="standardContextual"/>
        </w:rPr>
      </w:pPr>
      <w:proofErr w:type="spellStart"/>
      <w:r>
        <w:rPr>
          <w:color w:val="000000"/>
          <w:sz w:val="23"/>
          <w:szCs w:val="23"/>
          <w14:ligatures w14:val="standardContextual"/>
        </w:rPr>
        <w:t>EdInsideOutside</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proofErr w:type="spellStart"/>
      <w:r>
        <w:rPr>
          <w:color w:val="000000"/>
          <w:sz w:val="23"/>
          <w:szCs w:val="23"/>
          <w14:ligatures w14:val="standardContextual"/>
        </w:rPr>
        <w:t>Symbolic_Education</w:t>
      </w:r>
      <w:proofErr w:type="spellEnd"/>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w:t>
      </w:r>
      <w:proofErr w:type="spellStart"/>
      <w:r>
        <w:rPr>
          <w:color w:val="000000"/>
          <w:sz w:val="23"/>
          <w:szCs w:val="23"/>
          <w14:ligatures w14:val="standardContextual"/>
        </w:rPr>
        <w:t>Material_Education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 ×</w:t>
      </w:r>
      <w:proofErr w:type="spellStart"/>
      <w:r>
        <w:rPr>
          <w:color w:val="000000"/>
          <w:sz w:val="23"/>
          <w:szCs w:val="23"/>
          <w14:ligatures w14:val="standardContextual"/>
        </w:rPr>
        <w:t>Symbolic_Education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 ×</w:t>
      </w:r>
      <w:proofErr w:type="spellStart"/>
      <w:r>
        <w:rPr>
          <w:color w:val="000000"/>
          <w:sz w:val="23"/>
          <w:szCs w:val="23"/>
          <w14:ligatures w14:val="standardContextual"/>
        </w:rPr>
        <w:t>Material_Education</w:t>
      </w:r>
      <w:proofErr w:type="spellEnd"/>
      <w:r>
        <w:rPr>
          <w:color w:val="000000"/>
          <w:sz w:val="23"/>
          <w:szCs w:val="23"/>
          <w14:ligatures w14:val="standardContextual"/>
        </w:rPr>
        <w:t xml:space="preserve">) </w:t>
      </w:r>
      <w:r w:rsidRPr="004C57CA">
        <w:rPr>
          <w:color w:val="000000"/>
          <w:sz w:val="23"/>
          <w:szCs w:val="23"/>
          <w14:ligatures w14:val="standardContextual"/>
        </w:rPr>
        <w:t>+ Controls + (1|RespondentID)</w:t>
      </w:r>
    </w:p>
    <w:p w14:paraId="677FD0AD" w14:textId="77777777" w:rsidR="005D1295" w:rsidRDefault="005D1295" w:rsidP="005D1295">
      <w:pPr>
        <w:spacing w:line="360" w:lineRule="auto"/>
        <w:rPr>
          <w:sz w:val="23"/>
          <w:szCs w:val="23"/>
        </w:rPr>
      </w:pPr>
    </w:p>
    <w:p w14:paraId="2D7569F2" w14:textId="77777777" w:rsidR="005D1295" w:rsidRDefault="005D1295" w:rsidP="005D1295">
      <w:pPr>
        <w:spacing w:line="360" w:lineRule="auto"/>
        <w:rPr>
          <w:sz w:val="23"/>
          <w:szCs w:val="23"/>
        </w:rPr>
      </w:pPr>
      <w:r w:rsidRPr="00E65DB0">
        <w:rPr>
          <w:b/>
          <w:bCs/>
          <w:sz w:val="23"/>
          <w:szCs w:val="23"/>
        </w:rPr>
        <w:t xml:space="preserve">Policy </w:t>
      </w:r>
      <w:r>
        <w:rPr>
          <w:b/>
          <w:bCs/>
          <w:sz w:val="23"/>
          <w:szCs w:val="23"/>
        </w:rPr>
        <w:t xml:space="preserve">2: </w:t>
      </w:r>
      <w:r w:rsidRPr="002F40BC">
        <w:rPr>
          <w:i/>
          <w:iCs/>
          <w:sz w:val="23"/>
          <w:szCs w:val="23"/>
        </w:rPr>
        <w:t>E</w:t>
      </w:r>
      <w:r>
        <w:rPr>
          <w:i/>
          <w:iCs/>
          <w:sz w:val="23"/>
          <w:szCs w:val="23"/>
        </w:rPr>
        <w:t>liminating costs for phone calls between people in prison and their families or communities</w:t>
      </w:r>
      <w:r>
        <w:rPr>
          <w:sz w:val="23"/>
          <w:szCs w:val="23"/>
        </w:rPr>
        <w:t xml:space="preserve">, </w:t>
      </w:r>
      <w:r w:rsidRPr="00E65DB0">
        <w:rPr>
          <w:b/>
          <w:bCs/>
          <w:sz w:val="23"/>
          <w:szCs w:val="23"/>
        </w:rPr>
        <w:t xml:space="preserve">and </w:t>
      </w:r>
      <w:r>
        <w:rPr>
          <w:b/>
          <w:bCs/>
          <w:sz w:val="23"/>
          <w:szCs w:val="23"/>
        </w:rPr>
        <w:t>Policy 3:</w:t>
      </w:r>
      <w:r>
        <w:rPr>
          <w:sz w:val="23"/>
          <w:szCs w:val="23"/>
        </w:rPr>
        <w:t xml:space="preserve"> </w:t>
      </w:r>
      <w:r>
        <w:rPr>
          <w:i/>
          <w:iCs/>
          <w:sz w:val="23"/>
          <w:szCs w:val="23"/>
        </w:rPr>
        <w:t>allow</w:t>
      </w:r>
      <w:r w:rsidRPr="00E65DB0">
        <w:rPr>
          <w:sz w:val="23"/>
          <w:szCs w:val="23"/>
        </w:rPr>
        <w:t>(</w:t>
      </w:r>
      <w:proofErr w:type="spellStart"/>
      <w:r w:rsidRPr="00E65DB0">
        <w:rPr>
          <w:sz w:val="23"/>
          <w:szCs w:val="23"/>
        </w:rPr>
        <w:t>ing</w:t>
      </w:r>
      <w:proofErr w:type="spellEnd"/>
      <w:r w:rsidRPr="00E65DB0">
        <w:rPr>
          <w:sz w:val="23"/>
          <w:szCs w:val="23"/>
        </w:rPr>
        <w:t>)</w:t>
      </w:r>
      <w:r>
        <w:rPr>
          <w:i/>
          <w:iCs/>
          <w:sz w:val="23"/>
          <w:szCs w:val="23"/>
        </w:rPr>
        <w:t xml:space="preserve"> judges to offer parents of young children sentencing alternatives, like parole</w:t>
      </w:r>
      <w:r>
        <w:rPr>
          <w:sz w:val="23"/>
          <w:szCs w:val="23"/>
        </w:rPr>
        <w:t>.</w:t>
      </w:r>
      <w:r>
        <w:rPr>
          <w:b/>
          <w:bCs/>
          <w:i/>
          <w:iCs/>
          <w:sz w:val="23"/>
          <w:szCs w:val="23"/>
        </w:rPr>
        <w:t xml:space="preserve"> </w:t>
      </w:r>
      <w:r>
        <w:rPr>
          <w:sz w:val="23"/>
          <w:szCs w:val="23"/>
        </w:rPr>
        <w:t xml:space="preserve">Both policies invoke ‘identities’ of non-incarcerated family members – particularly children – and frame carceral citizens in their identities as family members and, in the latter, parents. Both also may change how “control” and “need” are perceived, in that they are anchored around parents/families/communities/children’s needs to be in contact. In policy 2, eliminating the costs of phone calls technically implies increased expense – whether out of existing department of corrections budgets or in new line items. However, that the question is framed as “eliminating costs,” even for “people in prison” may reduce opposition from some small-budget minded respondents. </w:t>
      </w:r>
      <w:proofErr w:type="gramStart"/>
      <w:r>
        <w:rPr>
          <w:sz w:val="23"/>
          <w:szCs w:val="23"/>
        </w:rPr>
        <w:t>Policy  differs</w:t>
      </w:r>
      <w:proofErr w:type="gramEnd"/>
      <w:r>
        <w:rPr>
          <w:sz w:val="23"/>
          <w:szCs w:val="23"/>
        </w:rPr>
        <w:t xml:space="preserve"> from policy 3 in that carceral citizens are introduced as </w:t>
      </w:r>
      <w:r w:rsidRPr="00960BA6">
        <w:rPr>
          <w:i/>
          <w:iCs/>
          <w:sz w:val="23"/>
          <w:szCs w:val="23"/>
        </w:rPr>
        <w:t>in</w:t>
      </w:r>
      <w:r>
        <w:rPr>
          <w:sz w:val="23"/>
          <w:szCs w:val="23"/>
        </w:rPr>
        <w:t xml:space="preserve"> prison. While individuals facing sentencing are already convicted “criminals,” respondents particularly who lack familiarity with the criminal legal system may not make this </w:t>
      </w:r>
      <w:proofErr w:type="gramStart"/>
      <w:r>
        <w:rPr>
          <w:sz w:val="23"/>
          <w:szCs w:val="23"/>
        </w:rPr>
        <w:t>connection, and</w:t>
      </w:r>
      <w:proofErr w:type="gramEnd"/>
      <w:r>
        <w:rPr>
          <w:sz w:val="23"/>
          <w:szCs w:val="23"/>
        </w:rPr>
        <w:t xml:space="preserve"> react primarily to a framing in which a “parent” is still getting “punished” – paroled – but able to stay with children.  </w:t>
      </w:r>
    </w:p>
    <w:p w14:paraId="0C6E4561" w14:textId="77777777" w:rsidR="005D1295" w:rsidRDefault="005D1295" w:rsidP="005D1295">
      <w:pPr>
        <w:spacing w:line="360" w:lineRule="auto"/>
        <w:rPr>
          <w:sz w:val="23"/>
          <w:szCs w:val="23"/>
        </w:rPr>
      </w:pPr>
    </w:p>
    <w:p w14:paraId="7D685341" w14:textId="77777777" w:rsidR="005D1295" w:rsidRDefault="005D1295" w:rsidP="005D1295">
      <w:pPr>
        <w:spacing w:line="360" w:lineRule="auto"/>
        <w:rPr>
          <w:sz w:val="23"/>
          <w:szCs w:val="23"/>
        </w:rPr>
      </w:pPr>
      <w:r>
        <w:rPr>
          <w:sz w:val="23"/>
          <w:szCs w:val="23"/>
        </w:rPr>
        <w:t xml:space="preserve"> First, I </w:t>
      </w:r>
      <w:proofErr w:type="gramStart"/>
      <w:r>
        <w:rPr>
          <w:sz w:val="23"/>
          <w:szCs w:val="23"/>
        </w:rPr>
        <w:t>am able to</w:t>
      </w:r>
      <w:proofErr w:type="gramEnd"/>
      <w:r>
        <w:rPr>
          <w:sz w:val="23"/>
          <w:szCs w:val="23"/>
        </w:rPr>
        <w:t xml:space="preserve"> create a covariate for deservingness perceptions of “children” (although I will need to address/bootstrap that a third of respondents evaluated this group), and “poor families.” A third of respondents also evaluate the deservingness of “non-citizen parents of citizen children.” While, as I discuss in the implications section, this raises broader questions about how personal experiences shape who we believe deserve what, which merits its own paper, testing whether and how non/impacted people differentiate here will give some insight into whether differences are more universal – or applicable to other contexts involving constructed “deviants” -- than just carceral contexts.</w:t>
      </w:r>
    </w:p>
    <w:p w14:paraId="264EED96" w14:textId="77777777" w:rsidR="005D1295" w:rsidRDefault="005D1295" w:rsidP="005D1295">
      <w:pPr>
        <w:spacing w:line="360" w:lineRule="auto"/>
        <w:rPr>
          <w:sz w:val="23"/>
          <w:szCs w:val="23"/>
        </w:rPr>
      </w:pPr>
    </w:p>
    <w:p w14:paraId="3CFD4878" w14:textId="77777777" w:rsidR="005D1295" w:rsidRDefault="005D1295" w:rsidP="005D1295">
      <w:pPr>
        <w:spacing w:line="360" w:lineRule="auto"/>
        <w:jc w:val="center"/>
        <w:rPr>
          <w:color w:val="000000"/>
          <w:sz w:val="23"/>
          <w:szCs w:val="23"/>
          <w14:ligatures w14:val="standardContextual"/>
        </w:rPr>
      </w:pPr>
      <w:proofErr w:type="spellStart"/>
      <w:r>
        <w:rPr>
          <w:color w:val="000000"/>
          <w:sz w:val="23"/>
          <w:szCs w:val="23"/>
          <w14:ligatures w14:val="standardContextual"/>
        </w:rPr>
        <w:lastRenderedPageBreak/>
        <w:t>FamiliesInsideOutside</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 ×</w:t>
      </w:r>
      <w:r>
        <w:rPr>
          <w:color w:val="000000"/>
          <w:sz w:val="23"/>
          <w:szCs w:val="23"/>
          <w14:ligatures w14:val="standardContextual"/>
        </w:rPr>
        <w:t xml:space="preserve">Children)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 Controls + (1|RespondentID)</w:t>
      </w:r>
    </w:p>
    <w:p w14:paraId="5BD1E72D" w14:textId="77777777" w:rsidR="005D1295" w:rsidRDefault="005D1295" w:rsidP="005D1295">
      <w:pPr>
        <w:spacing w:line="360" w:lineRule="auto"/>
        <w:rPr>
          <w:sz w:val="23"/>
          <w:szCs w:val="23"/>
        </w:rPr>
      </w:pPr>
    </w:p>
    <w:p w14:paraId="1E9EA369" w14:textId="77777777" w:rsidR="005D1295" w:rsidRPr="00C1187E" w:rsidRDefault="005D1295" w:rsidP="005D1295">
      <w:pPr>
        <w:spacing w:line="360" w:lineRule="auto"/>
        <w:rPr>
          <w:sz w:val="23"/>
          <w:szCs w:val="23"/>
        </w:rPr>
      </w:pPr>
      <w:r>
        <w:rPr>
          <w:sz w:val="23"/>
          <w:szCs w:val="23"/>
        </w:rPr>
        <w:t xml:space="preserve">As they are framed, both questions are matters of “help,” rather than “status conferring/punishing.” </w:t>
      </w:r>
    </w:p>
    <w:p w14:paraId="46EFA280" w14:textId="77777777" w:rsidR="005D1295" w:rsidRDefault="005D1295" w:rsidP="005D1295">
      <w:pPr>
        <w:rPr>
          <w:b/>
          <w:bCs/>
          <w:sz w:val="23"/>
          <w:szCs w:val="23"/>
        </w:rPr>
      </w:pPr>
    </w:p>
    <w:p w14:paraId="7239DA8B" w14:textId="77777777" w:rsidR="005D1295" w:rsidRDefault="005D1295" w:rsidP="005D1295">
      <w:pPr>
        <w:rPr>
          <w:i/>
          <w:iCs/>
          <w:sz w:val="23"/>
          <w:szCs w:val="23"/>
        </w:rPr>
      </w:pPr>
      <w:r w:rsidRPr="00E65DB0">
        <w:rPr>
          <w:b/>
          <w:bCs/>
          <w:sz w:val="23"/>
          <w:szCs w:val="23"/>
        </w:rPr>
        <w:t xml:space="preserve">Policy </w:t>
      </w:r>
      <w:r>
        <w:rPr>
          <w:b/>
          <w:bCs/>
          <w:sz w:val="23"/>
          <w:szCs w:val="23"/>
        </w:rPr>
        <w:t xml:space="preserve">4: </w:t>
      </w:r>
      <w:r>
        <w:rPr>
          <w:i/>
          <w:iCs/>
          <w:sz w:val="23"/>
          <w:szCs w:val="23"/>
        </w:rPr>
        <w:t xml:space="preserve">Allow people convicted of felonies to vote after serving their sentences </w:t>
      </w:r>
      <w:r w:rsidRPr="00E65DB0">
        <w:rPr>
          <w:b/>
          <w:bCs/>
          <w:sz w:val="23"/>
          <w:szCs w:val="23"/>
        </w:rPr>
        <w:t xml:space="preserve">and </w:t>
      </w:r>
      <w:r>
        <w:rPr>
          <w:b/>
          <w:bCs/>
          <w:sz w:val="23"/>
          <w:szCs w:val="23"/>
        </w:rPr>
        <w:t>Policy 5</w:t>
      </w:r>
      <w:r w:rsidRPr="00E65DB0">
        <w:rPr>
          <w:b/>
          <w:bCs/>
          <w:sz w:val="23"/>
          <w:szCs w:val="23"/>
        </w:rPr>
        <w:t>:</w:t>
      </w:r>
      <w:r>
        <w:rPr>
          <w:b/>
          <w:bCs/>
          <w:sz w:val="23"/>
          <w:szCs w:val="23"/>
        </w:rPr>
        <w:t xml:space="preserve"> </w:t>
      </w:r>
      <w:r>
        <w:rPr>
          <w:i/>
          <w:iCs/>
          <w:sz w:val="23"/>
          <w:szCs w:val="23"/>
        </w:rPr>
        <w:t xml:space="preserve">Requiring that jail and election officials ensure that people who are eligible to vote while incarcerated </w:t>
      </w:r>
      <w:proofErr w:type="gramStart"/>
      <w:r>
        <w:rPr>
          <w:i/>
          <w:iCs/>
          <w:sz w:val="23"/>
          <w:szCs w:val="23"/>
        </w:rPr>
        <w:t>are able to</w:t>
      </w:r>
      <w:proofErr w:type="gramEnd"/>
      <w:r>
        <w:rPr>
          <w:i/>
          <w:iCs/>
          <w:sz w:val="23"/>
          <w:szCs w:val="23"/>
        </w:rPr>
        <w:t xml:space="preserve"> exercise that right. </w:t>
      </w:r>
    </w:p>
    <w:p w14:paraId="308202BA" w14:textId="77777777" w:rsidR="005D1295" w:rsidRPr="006E08FC" w:rsidRDefault="005D1295" w:rsidP="005D1295">
      <w:pPr>
        <w:rPr>
          <w:i/>
          <w:iCs/>
          <w:sz w:val="23"/>
          <w:szCs w:val="23"/>
        </w:rPr>
      </w:pPr>
    </w:p>
    <w:p w14:paraId="06AF79B5" w14:textId="77777777" w:rsidR="005D1295" w:rsidRDefault="005D1295" w:rsidP="005D1295">
      <w:pPr>
        <w:spacing w:line="360" w:lineRule="auto"/>
        <w:rPr>
          <w:sz w:val="23"/>
          <w:szCs w:val="23"/>
        </w:rPr>
      </w:pPr>
      <w:r>
        <w:rPr>
          <w:sz w:val="23"/>
          <w:szCs w:val="23"/>
        </w:rPr>
        <w:t>The wording of policy questions surrounding voting rights changes how people respond to them, often idiosyncratically when carceral citizens are described as “felons,” “prisoners,” or “inmates,” and when felony convictions or specific crimes are mentioned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w:t>
      </w:r>
      <w:r>
        <w:rPr>
          <w:sz w:val="23"/>
          <w:szCs w:val="23"/>
        </w:rPr>
        <w:t xml:space="preserve"> Sentencing Project 2022,</w:t>
      </w:r>
      <w:r w:rsidRPr="008010B8">
        <w:rPr>
          <w:sz w:val="23"/>
          <w:szCs w:val="23"/>
        </w:rPr>
        <w:t xml:space="preserve"> </w:t>
      </w:r>
      <w:proofErr w:type="spellStart"/>
      <w:r w:rsidRPr="008010B8">
        <w:rPr>
          <w:sz w:val="23"/>
          <w:szCs w:val="23"/>
        </w:rPr>
        <w:t>Uggen</w:t>
      </w:r>
      <w:proofErr w:type="spellEnd"/>
      <w:r w:rsidRPr="008010B8">
        <w:rPr>
          <w:sz w:val="23"/>
          <w:szCs w:val="23"/>
        </w:rPr>
        <w:t xml:space="preserve"> 2023</w:t>
      </w:r>
      <w:r>
        <w:rPr>
          <w:sz w:val="23"/>
          <w:szCs w:val="23"/>
        </w:rPr>
        <w:t xml:space="preserve">). </w:t>
      </w:r>
    </w:p>
    <w:p w14:paraId="14DCC9F5" w14:textId="77777777" w:rsidR="005D1295" w:rsidRDefault="005D1295" w:rsidP="005D1295">
      <w:pPr>
        <w:spacing w:line="360" w:lineRule="auto"/>
        <w:rPr>
          <w:sz w:val="23"/>
          <w:szCs w:val="23"/>
        </w:rPr>
      </w:pPr>
    </w:p>
    <w:p w14:paraId="753C6E21" w14:textId="77777777" w:rsidR="005D1295" w:rsidRDefault="005D1295" w:rsidP="005D1295">
      <w:pPr>
        <w:spacing w:line="360" w:lineRule="auto"/>
        <w:rPr>
          <w:sz w:val="23"/>
          <w:szCs w:val="23"/>
        </w:rPr>
      </w:pPr>
      <w:r>
        <w:rPr>
          <w:sz w:val="23"/>
          <w:szCs w:val="23"/>
        </w:rPr>
        <w:t xml:space="preserve">Policy 4 does not ask about incarcerated people, but formerly incarcerated people. Policy 5 frames carceral citizens as people (firstly) who are already eligible voters. Where questions of “allowing” or “extending” voting “rights,” “privileges,” or “abilities” might invoke a hierarchical response in which the target is a moral and civic “other,” making the question operate as a “status-conferring” matter, in this context it is more a matter of help. </w:t>
      </w:r>
    </w:p>
    <w:p w14:paraId="2A59D5AF" w14:textId="77777777" w:rsidR="005D1295" w:rsidRDefault="005D1295" w:rsidP="005D1295">
      <w:pPr>
        <w:spacing w:line="360" w:lineRule="auto"/>
        <w:rPr>
          <w:sz w:val="23"/>
          <w:szCs w:val="23"/>
        </w:rPr>
      </w:pPr>
    </w:p>
    <w:p w14:paraId="5367716A" w14:textId="77777777" w:rsidR="005D1295" w:rsidRDefault="005D1295" w:rsidP="005D1295">
      <w:pPr>
        <w:spacing w:line="360" w:lineRule="auto"/>
        <w:rPr>
          <w:sz w:val="23"/>
          <w:szCs w:val="23"/>
        </w:rPr>
      </w:pPr>
      <w:r>
        <w:rPr>
          <w:sz w:val="23"/>
          <w:szCs w:val="23"/>
        </w:rPr>
        <w:t xml:space="preserve">To test whether views on these issues reflect strong views on electoral policy and civic-mindedness, I </w:t>
      </w:r>
      <w:proofErr w:type="gramStart"/>
      <w:r>
        <w:rPr>
          <w:sz w:val="23"/>
          <w:szCs w:val="23"/>
        </w:rPr>
        <w:t>am able to</w:t>
      </w:r>
      <w:proofErr w:type="gramEnd"/>
      <w:r>
        <w:rPr>
          <w:sz w:val="23"/>
          <w:szCs w:val="23"/>
        </w:rPr>
        <w:t xml:space="preserve"> create a dummy variable for support or opposition to other electoral reforms, including automatic voter registration, making election day a holiday, voter ID, and allowing non-citizen parents with citizen children to vote in local school board elections. I am then able to create a binary composite for those who voted in the 2020 elections versus were eligible but unable, whether they plan to vote in the 2024 elections, and whether they believe or strongly agree/disagree they “feel the government pays attention to what people think when it decides what to do.”</w:t>
      </w:r>
    </w:p>
    <w:p w14:paraId="4276DD5A" w14:textId="77777777" w:rsidR="005D1295" w:rsidRDefault="005D1295" w:rsidP="005D1295">
      <w:pPr>
        <w:rPr>
          <w:sz w:val="23"/>
          <w:szCs w:val="23"/>
        </w:rPr>
      </w:pPr>
    </w:p>
    <w:p w14:paraId="6516AA79" w14:textId="77777777" w:rsidR="005D1295" w:rsidRDefault="005D1295" w:rsidP="005D1295">
      <w:pPr>
        <w:spacing w:line="360" w:lineRule="auto"/>
        <w:jc w:val="center"/>
        <w:rPr>
          <w:color w:val="000000"/>
          <w:sz w:val="23"/>
          <w:szCs w:val="23"/>
          <w14:ligatures w14:val="standardContextual"/>
        </w:rPr>
      </w:pPr>
      <w:proofErr w:type="spellStart"/>
      <w:r>
        <w:rPr>
          <w:color w:val="000000"/>
          <w:sz w:val="23"/>
          <w:szCs w:val="23"/>
          <w14:ligatures w14:val="standardContextual"/>
        </w:rPr>
        <w:t>VotingInsideOutside</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(Electoral Policy)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(Civic Minded)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w:t>
      </w:r>
      <w:proofErr w:type="spellStart"/>
      <w:r w:rsidRPr="004C57CA">
        <w:rPr>
          <w:color w:val="000000"/>
          <w:sz w:val="23"/>
          <w:szCs w:val="23"/>
          <w14:ligatures w14:val="standardContextual"/>
        </w:rPr>
        <w:t>Impact×SubgroupType×</w:t>
      </w:r>
      <w:r>
        <w:rPr>
          <w:color w:val="000000"/>
          <w:sz w:val="23"/>
          <w:szCs w:val="23"/>
          <w14:ligatures w14:val="standardContextual"/>
        </w:rPr>
        <w:t>Workers</w:t>
      </w:r>
      <w:r w:rsidRPr="004C57CA">
        <w:rPr>
          <w:color w:val="000000"/>
          <w:sz w:val="23"/>
          <w:szCs w:val="23"/>
          <w14:ligatures w14:val="standardContextual"/>
        </w:rPr>
        <w:t>×</w:t>
      </w:r>
      <w:r>
        <w:rPr>
          <w:color w:val="000000"/>
          <w:sz w:val="23"/>
          <w:szCs w:val="23"/>
          <w14:ligatures w14:val="standardContextual"/>
        </w:rPr>
        <w:t>Wagges</w:t>
      </w:r>
      <w:proofErr w:type="spellEnd"/>
      <w:r w:rsidRPr="004C57CA">
        <w:rPr>
          <w:color w:val="000000"/>
          <w:sz w:val="23"/>
          <w:szCs w:val="23"/>
          <w14:ligatures w14:val="standardContextual"/>
        </w:rPr>
        <w:t>) + Controls + (1|RespondentID)</w:t>
      </w:r>
    </w:p>
    <w:p w14:paraId="3196C990" w14:textId="77777777" w:rsidR="005D1295" w:rsidRDefault="005D1295" w:rsidP="005D1295"/>
    <w:p w14:paraId="00BF587B" w14:textId="77777777" w:rsidR="005D1295" w:rsidRPr="00906108" w:rsidRDefault="005D1295" w:rsidP="005D1295">
      <w:pPr>
        <w:spacing w:line="360" w:lineRule="auto"/>
        <w:rPr>
          <w:color w:val="000000"/>
          <w:sz w:val="23"/>
          <w:szCs w:val="23"/>
          <w14:ligatures w14:val="standardContextual"/>
        </w:rPr>
      </w:pPr>
      <w:r>
        <w:rPr>
          <w:b/>
          <w:bCs/>
          <w:sz w:val="23"/>
          <w:szCs w:val="23"/>
        </w:rPr>
        <w:t xml:space="preserve">Policy 6: </w:t>
      </w:r>
      <w:r>
        <w:rPr>
          <w:i/>
          <w:iCs/>
          <w:sz w:val="23"/>
          <w:szCs w:val="23"/>
        </w:rPr>
        <w:t xml:space="preserve">Requiring that prison laborers be paid according to state minimum wage. </w:t>
      </w:r>
      <w:r>
        <w:rPr>
          <w:sz w:val="23"/>
          <w:szCs w:val="23"/>
        </w:rPr>
        <w:t xml:space="preserve">Views about prison pay should reflect broader views about worker deservingness, labor policy, and income inequality – including the role economic inequality and hardship play in carceral outcomes. Conversely, while gaps between support for workers, pro-labor policy, or policies to reduce income </w:t>
      </w:r>
      <w:r>
        <w:rPr>
          <w:sz w:val="23"/>
          <w:szCs w:val="23"/>
        </w:rPr>
        <w:lastRenderedPageBreak/>
        <w:t xml:space="preserve">inequality outside prison versus inside prison could reflect expressive punitiveness – beliefs that the need to punish outweigh the import of reducing conditions (poverty) that drive criminality – I suggest such gaps inherently reflect affect and an opposition to policies that ‘empower’ or challenge morally or racially differentiated status of people who are </w:t>
      </w:r>
      <w:r w:rsidRPr="002F40BC">
        <w:rPr>
          <w:i/>
          <w:iCs/>
          <w:sz w:val="23"/>
          <w:szCs w:val="23"/>
        </w:rPr>
        <w:t>identified</w:t>
      </w:r>
      <w:r>
        <w:rPr>
          <w:sz w:val="23"/>
          <w:szCs w:val="23"/>
        </w:rPr>
        <w:t xml:space="preserve"> as incarcerated. Finally, this question may suggest elements of ‘control’ – a laborer in prison is working, ‘need’ – sub-minimum wage payment should inherently convey need, and a laborer suggests that people who are incarcerated have economic need, as well as ‘attitude’ or ‘reciprocity’ by virtue of being a somewhat humanized ‘laborer.’ </w:t>
      </w:r>
    </w:p>
    <w:p w14:paraId="47B21EE1" w14:textId="77777777" w:rsidR="005D1295" w:rsidRDefault="005D1295" w:rsidP="005D1295">
      <w:pPr>
        <w:spacing w:line="360" w:lineRule="auto"/>
        <w:rPr>
          <w:sz w:val="23"/>
          <w:szCs w:val="23"/>
        </w:rPr>
      </w:pPr>
    </w:p>
    <w:p w14:paraId="1757806C" w14:textId="77777777" w:rsidR="005D1295" w:rsidRDefault="005D1295" w:rsidP="005D1295">
      <w:pPr>
        <w:spacing w:line="360" w:lineRule="auto"/>
        <w:rPr>
          <w:sz w:val="23"/>
          <w:szCs w:val="23"/>
        </w:rPr>
      </w:pPr>
      <w:r>
        <w:rPr>
          <w:sz w:val="23"/>
          <w:szCs w:val="23"/>
        </w:rPr>
        <w:t>I will create a covariate for minimum wages using deservingness perceptions and policy question(s). about worker deservingness will be created using p</w:t>
      </w:r>
      <w:r w:rsidRPr="002A5F9F">
        <w:rPr>
          <w:sz w:val="23"/>
          <w:szCs w:val="23"/>
        </w:rPr>
        <w:t>erception</w:t>
      </w:r>
      <w:r>
        <w:rPr>
          <w:sz w:val="23"/>
          <w:szCs w:val="23"/>
        </w:rPr>
        <w:t>s</w:t>
      </w:r>
      <w:r w:rsidRPr="002A5F9F">
        <w:rPr>
          <w:sz w:val="23"/>
          <w:szCs w:val="23"/>
        </w:rPr>
        <w:t xml:space="preserve"> of “labor unions” deservingness</w:t>
      </w:r>
      <w:r>
        <w:rPr>
          <w:sz w:val="23"/>
          <w:szCs w:val="23"/>
        </w:rPr>
        <w:t xml:space="preserve">, “blue collar workers” deservingness, and “working class Americans’” deservingness. Because only a third of respondents evaluate the latter two groups, I will use bootstrapping. </w:t>
      </w:r>
    </w:p>
    <w:p w14:paraId="12E676A5" w14:textId="77777777" w:rsidR="005D1295" w:rsidRDefault="005D1295" w:rsidP="005D1295">
      <w:pPr>
        <w:spacing w:line="360" w:lineRule="auto"/>
        <w:rPr>
          <w:sz w:val="23"/>
          <w:szCs w:val="23"/>
        </w:rPr>
      </w:pPr>
    </w:p>
    <w:p w14:paraId="2E624F64" w14:textId="77777777" w:rsidR="005D1295" w:rsidRDefault="005D1295" w:rsidP="005D1295">
      <w:pPr>
        <w:spacing w:line="360" w:lineRule="auto"/>
        <w:rPr>
          <w:sz w:val="23"/>
          <w:szCs w:val="23"/>
        </w:rPr>
      </w:pPr>
      <w:r>
        <w:rPr>
          <w:sz w:val="23"/>
          <w:szCs w:val="23"/>
        </w:rPr>
        <w:t>Participants are asked their l</w:t>
      </w:r>
      <w:r w:rsidRPr="002A5F9F">
        <w:rPr>
          <w:sz w:val="23"/>
          <w:szCs w:val="23"/>
        </w:rPr>
        <w:t>evel of belief that,</w:t>
      </w:r>
      <w:r>
        <w:rPr>
          <w:sz w:val="23"/>
          <w:szCs w:val="23"/>
        </w:rPr>
        <w:t xml:space="preserve"> </w:t>
      </w:r>
      <w:r w:rsidRPr="002A5F9F">
        <w:rPr>
          <w:sz w:val="23"/>
          <w:szCs w:val="23"/>
        </w:rPr>
        <w:t>“increasing the federal minimum wage… would reduce economic inequality in the United States” on a 5-point scale from significantly reduce to significantly increase</w:t>
      </w:r>
      <w:r>
        <w:rPr>
          <w:sz w:val="23"/>
          <w:szCs w:val="23"/>
        </w:rPr>
        <w:t>. I will code</w:t>
      </w:r>
      <w:r w:rsidRPr="002A5F9F">
        <w:rPr>
          <w:sz w:val="23"/>
          <w:szCs w:val="23"/>
        </w:rPr>
        <w:t xml:space="preserve"> don’t know/no opinion coded as neutral. </w:t>
      </w:r>
    </w:p>
    <w:p w14:paraId="0C8C72B1" w14:textId="77777777" w:rsidR="005D1295" w:rsidRDefault="005D1295" w:rsidP="005D1295">
      <w:pPr>
        <w:spacing w:line="360" w:lineRule="auto"/>
        <w:rPr>
          <w:sz w:val="23"/>
          <w:szCs w:val="23"/>
        </w:rPr>
      </w:pPr>
    </w:p>
    <w:p w14:paraId="0318AF18" w14:textId="77777777" w:rsidR="005D1295" w:rsidRDefault="005D1295" w:rsidP="005D1295">
      <w:pPr>
        <w:spacing w:line="360" w:lineRule="auto"/>
        <w:jc w:val="center"/>
        <w:rPr>
          <w:color w:val="000000"/>
          <w:sz w:val="23"/>
          <w:szCs w:val="23"/>
          <w14:ligatures w14:val="standardContextual"/>
        </w:rPr>
      </w:pPr>
      <w:proofErr w:type="spellStart"/>
      <w:r>
        <w:rPr>
          <w:color w:val="000000"/>
          <w:sz w:val="23"/>
          <w:szCs w:val="23"/>
          <w14:ligatures w14:val="standardContextual"/>
        </w:rPr>
        <w:t>WagesInsideOutside</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(Workers)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(Wages)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Workers</w:t>
      </w:r>
      <w:r w:rsidRPr="004C57CA">
        <w:rPr>
          <w:color w:val="000000"/>
          <w:sz w:val="23"/>
          <w:szCs w:val="23"/>
          <w14:ligatures w14:val="standardContextual"/>
        </w:rPr>
        <w:t>) +</w:t>
      </w:r>
      <w:r w:rsidRPr="007E50E2">
        <w:rPr>
          <w:color w:val="000000"/>
          <w:sz w:val="23"/>
          <w:szCs w:val="23"/>
          <w14:ligatures w14:val="standardContextual"/>
        </w:rPr>
        <w:t xml:space="preserve">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Wages</w:t>
      </w:r>
      <w:r w:rsidRPr="004C57CA">
        <w:rPr>
          <w:color w:val="000000"/>
          <w:sz w:val="23"/>
          <w:szCs w:val="23"/>
          <w14:ligatures w14:val="standardContextual"/>
        </w:rPr>
        <w:t>) +</w:t>
      </w:r>
      <w:r>
        <w:rPr>
          <w:color w:val="000000"/>
          <w:sz w:val="23"/>
          <w:szCs w:val="23"/>
          <w14:ligatures w14:val="standardContextual"/>
        </w:rPr>
        <w:t xml:space="preserve"> </w:t>
      </w:r>
      <w:r w:rsidRPr="004C57CA">
        <w:rPr>
          <w:color w:val="000000"/>
          <w:sz w:val="23"/>
          <w:szCs w:val="23"/>
          <w14:ligatures w14:val="standardContextual"/>
        </w:rPr>
        <w:t>Controls + (1|RespondentID)</w:t>
      </w:r>
    </w:p>
    <w:p w14:paraId="6501E76F" w14:textId="77777777" w:rsidR="005D1295" w:rsidRDefault="005D1295" w:rsidP="005D1295"/>
    <w:p w14:paraId="1518849E" w14:textId="77777777" w:rsidR="005D1295" w:rsidRDefault="005D1295" w:rsidP="005D1295"/>
    <w:p w14:paraId="68A44C1B" w14:textId="77777777" w:rsidR="005D1295" w:rsidRPr="00303111" w:rsidRDefault="005D1295" w:rsidP="005D1295">
      <w:pPr>
        <w:rPr>
          <w:sz w:val="23"/>
          <w:szCs w:val="23"/>
        </w:rPr>
      </w:pPr>
      <w:r>
        <w:rPr>
          <w:b/>
          <w:bCs/>
          <w:sz w:val="23"/>
          <w:szCs w:val="23"/>
        </w:rPr>
        <w:t xml:space="preserve">Policy 7: </w:t>
      </w:r>
      <w:r>
        <w:rPr>
          <w:i/>
          <w:iCs/>
          <w:sz w:val="23"/>
          <w:szCs w:val="23"/>
        </w:rPr>
        <w:t xml:space="preserve">Maintaining the use of life without the possibility of parole </w:t>
      </w:r>
      <w:r>
        <w:rPr>
          <w:sz w:val="23"/>
          <w:szCs w:val="23"/>
        </w:rPr>
        <w:t xml:space="preserve">and </w:t>
      </w:r>
      <w:r w:rsidRPr="00906108">
        <w:rPr>
          <w:b/>
          <w:bCs/>
          <w:sz w:val="23"/>
          <w:szCs w:val="23"/>
        </w:rPr>
        <w:t>P</w:t>
      </w:r>
      <w:r>
        <w:rPr>
          <w:b/>
          <w:bCs/>
          <w:sz w:val="23"/>
          <w:szCs w:val="23"/>
        </w:rPr>
        <w:t>olicy 8</w:t>
      </w:r>
      <w:r>
        <w:rPr>
          <w:sz w:val="23"/>
          <w:szCs w:val="23"/>
        </w:rPr>
        <w:t xml:space="preserve">: </w:t>
      </w:r>
      <w:r>
        <w:rPr>
          <w:i/>
          <w:iCs/>
          <w:sz w:val="23"/>
          <w:szCs w:val="23"/>
        </w:rPr>
        <w:t>Allow the death penalty for people convicted of murder (LWOP)</w:t>
      </w:r>
      <w:r>
        <w:rPr>
          <w:sz w:val="23"/>
          <w:szCs w:val="23"/>
        </w:rPr>
        <w:t xml:space="preserve">. Both the death penalty and LWOP are usually understood as matters of punitiveness. But being sentenced to die in prison – whether executed by the state or denied the capacity to be understood as changed are also material. And both are status-conferring: suggesting a status of people who do not have a right to life, being seen as human, or being considered as a victim of a mistake in the criminal legal system.  </w:t>
      </w:r>
    </w:p>
    <w:p w14:paraId="0208962F" w14:textId="77777777" w:rsidR="005D1295" w:rsidRDefault="005D1295" w:rsidP="005D1295">
      <w:pPr>
        <w:spacing w:line="360" w:lineRule="auto"/>
        <w:rPr>
          <w:sz w:val="23"/>
          <w:szCs w:val="23"/>
        </w:rPr>
      </w:pPr>
    </w:p>
    <w:p w14:paraId="1E762B8B" w14:textId="77777777" w:rsidR="005D1295" w:rsidRDefault="005D1295" w:rsidP="005D1295">
      <w:pPr>
        <w:spacing w:line="360" w:lineRule="auto"/>
        <w:rPr>
          <w:sz w:val="23"/>
          <w:szCs w:val="23"/>
        </w:rPr>
      </w:pPr>
      <w:r>
        <w:rPr>
          <w:sz w:val="23"/>
          <w:szCs w:val="23"/>
        </w:rPr>
        <w:t>I use survey items that reflect opposition to, or concern with, preventing death outside of prison. I take level of support or opposition to “require[</w:t>
      </w:r>
      <w:proofErr w:type="spellStart"/>
      <w:r>
        <w:rPr>
          <w:sz w:val="23"/>
          <w:szCs w:val="23"/>
        </w:rPr>
        <w:t>ing</w:t>
      </w:r>
      <w:proofErr w:type="spellEnd"/>
      <w:r>
        <w:rPr>
          <w:sz w:val="23"/>
          <w:szCs w:val="23"/>
        </w:rPr>
        <w:t>] police to be trained in nonviolent alternatives to deadly force” and “</w:t>
      </w:r>
      <w:proofErr w:type="spellStart"/>
      <w:r>
        <w:rPr>
          <w:sz w:val="23"/>
          <w:szCs w:val="23"/>
        </w:rPr>
        <w:t>mak</w:t>
      </w:r>
      <w:proofErr w:type="spellEnd"/>
      <w:r>
        <w:rPr>
          <w:sz w:val="23"/>
          <w:szCs w:val="23"/>
        </w:rPr>
        <w:t>[</w:t>
      </w:r>
      <w:proofErr w:type="spellStart"/>
      <w:r>
        <w:rPr>
          <w:sz w:val="23"/>
          <w:szCs w:val="23"/>
        </w:rPr>
        <w:t>ing</w:t>
      </w:r>
      <w:proofErr w:type="spellEnd"/>
      <w:r>
        <w:rPr>
          <w:sz w:val="23"/>
          <w:szCs w:val="23"/>
        </w:rPr>
        <w:t xml:space="preserve">] it a crime for police to use chokeholds or strangleholds.” </w:t>
      </w:r>
    </w:p>
    <w:p w14:paraId="36713C41" w14:textId="77777777" w:rsidR="005D1295" w:rsidRDefault="005D1295" w:rsidP="005D1295">
      <w:pPr>
        <w:spacing w:line="360" w:lineRule="auto"/>
        <w:jc w:val="center"/>
        <w:rPr>
          <w:color w:val="000000"/>
          <w:sz w:val="23"/>
          <w:szCs w:val="23"/>
          <w14:ligatures w14:val="standardContextual"/>
        </w:rPr>
      </w:pPr>
    </w:p>
    <w:p w14:paraId="31216268" w14:textId="77777777" w:rsidR="005D1295" w:rsidRPr="00022D33" w:rsidRDefault="005D1295" w:rsidP="005D1295">
      <w:pPr>
        <w:spacing w:line="360" w:lineRule="auto"/>
        <w:jc w:val="center"/>
        <w:rPr>
          <w:color w:val="000000"/>
          <w:sz w:val="23"/>
          <w:szCs w:val="23"/>
          <w14:ligatures w14:val="standardContextual"/>
        </w:rPr>
      </w:pPr>
      <w:proofErr w:type="spellStart"/>
      <w:r>
        <w:rPr>
          <w:color w:val="000000"/>
          <w:sz w:val="23"/>
          <w:szCs w:val="23"/>
          <w14:ligatures w14:val="standardContextual"/>
        </w:rPr>
        <w:lastRenderedPageBreak/>
        <w:t>LifeInsideOutside</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proofErr w:type="spellStart"/>
      <w:r>
        <w:rPr>
          <w:color w:val="000000"/>
          <w:sz w:val="23"/>
          <w:szCs w:val="23"/>
          <w14:ligatures w14:val="standardContextual"/>
        </w:rPr>
        <w:t>PoliceForce</w:t>
      </w:r>
      <w:proofErr w:type="spellEnd"/>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(LWOP/DPEN) + </w:t>
      </w:r>
      <w:r w:rsidRPr="004C57CA">
        <w:rPr>
          <w:color w:val="000000"/>
          <w:sz w:val="23"/>
          <w:szCs w:val="23"/>
          <w14:ligatures w14:val="standardContextual"/>
        </w:rPr>
        <w:t>β</w:t>
      </w:r>
      <w:r>
        <w:rPr>
          <w:color w:val="000000"/>
          <w:sz w:val="14"/>
          <w:szCs w:val="14"/>
          <w14:ligatures w14:val="standardContextual"/>
        </w:rPr>
        <w:t>5</w:t>
      </w:r>
      <w:r>
        <w:rPr>
          <w:color w:val="000000"/>
          <w:sz w:val="23"/>
          <w:szCs w:val="23"/>
          <w14:ligatures w14:val="standardContextual"/>
        </w:rPr>
        <w:t xml:space="preserve">(Punitiveness)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 ×</w:t>
      </w:r>
      <w:r>
        <w:rPr>
          <w:color w:val="000000"/>
          <w:sz w:val="23"/>
          <w:szCs w:val="23"/>
          <w14:ligatures w14:val="standardContextual"/>
        </w:rPr>
        <w:t>LWOP/</w:t>
      </w:r>
      <w:proofErr w:type="spellStart"/>
      <w:r>
        <w:rPr>
          <w:color w:val="000000"/>
          <w:sz w:val="23"/>
          <w:szCs w:val="23"/>
          <w14:ligatures w14:val="standardContextual"/>
        </w:rPr>
        <w:t>Dpen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7</w:t>
      </w:r>
      <w:r w:rsidRPr="004C57CA">
        <w:rPr>
          <w:color w:val="000000"/>
          <w:sz w:val="23"/>
          <w:szCs w:val="23"/>
          <w14:ligatures w14:val="standardContextual"/>
        </w:rPr>
        <w:t>(</w:t>
      </w:r>
      <w:r>
        <w:rPr>
          <w:color w:val="000000"/>
          <w:sz w:val="23"/>
          <w:szCs w:val="23"/>
          <w14:ligatures w14:val="standardContextual"/>
        </w:rPr>
        <w:t xml:space="preserve">Impact </w:t>
      </w:r>
      <w:r w:rsidRPr="004C57CA">
        <w:rPr>
          <w:color w:val="000000"/>
          <w:sz w:val="23"/>
          <w:szCs w:val="23"/>
          <w14:ligatures w14:val="standardContextual"/>
        </w:rPr>
        <w:t>×</w:t>
      </w:r>
      <w:r>
        <w:rPr>
          <w:color w:val="000000"/>
          <w:sz w:val="23"/>
          <w:szCs w:val="23"/>
          <w14:ligatures w14:val="standardContextual"/>
        </w:rPr>
        <w:t xml:space="preserve"> Punitiveness) + </w:t>
      </w:r>
      <w:r w:rsidRPr="004C57CA">
        <w:rPr>
          <w:color w:val="000000"/>
          <w:sz w:val="23"/>
          <w:szCs w:val="23"/>
          <w14:ligatures w14:val="standardContextual"/>
        </w:rPr>
        <w:t>β</w:t>
      </w:r>
      <w:r>
        <w:rPr>
          <w:color w:val="000000"/>
          <w:sz w:val="14"/>
          <w:szCs w:val="14"/>
          <w14:ligatures w14:val="standardContextual"/>
        </w:rPr>
        <w:t>8</w:t>
      </w:r>
      <w:r w:rsidRPr="004C57CA">
        <w:rPr>
          <w:color w:val="000000"/>
          <w:sz w:val="23"/>
          <w:szCs w:val="23"/>
          <w14:ligatures w14:val="standardContextual"/>
        </w:rPr>
        <w:t>(</w:t>
      </w:r>
      <w:proofErr w:type="spellStart"/>
      <w:r>
        <w:rPr>
          <w:color w:val="000000"/>
          <w:sz w:val="23"/>
          <w:szCs w:val="23"/>
          <w14:ligatures w14:val="standardContextual"/>
        </w:rPr>
        <w:t>PoliceForce</w:t>
      </w:r>
      <w:proofErr w:type="spellEnd"/>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LWOP/DPEN) </w:t>
      </w:r>
      <w:r w:rsidRPr="004C57CA">
        <w:rPr>
          <w:color w:val="000000"/>
          <w:sz w:val="23"/>
          <w:szCs w:val="23"/>
          <w14:ligatures w14:val="standardContextual"/>
        </w:rPr>
        <w:t>+ Controls + (1|RespondentID)</w:t>
      </w:r>
    </w:p>
    <w:p w14:paraId="68C8EC9F" w14:textId="77777777" w:rsidR="005D1295" w:rsidRDefault="005D1295" w:rsidP="005D1295">
      <w:pPr>
        <w:rPr>
          <w:b/>
          <w:bCs/>
          <w:sz w:val="23"/>
          <w:szCs w:val="23"/>
        </w:rPr>
      </w:pPr>
    </w:p>
    <w:p w14:paraId="73B6C99C" w14:textId="173677D2" w:rsidR="00341B90" w:rsidRDefault="00341B90"/>
    <w:p w14:paraId="2DFA464C" w14:textId="555AB73D" w:rsidR="007434C5" w:rsidRDefault="00341B90">
      <w:pPr>
        <w:rPr>
          <w:b/>
          <w:bCs/>
        </w:rPr>
      </w:pPr>
      <w:r w:rsidRPr="00341B90">
        <w:rPr>
          <w:b/>
          <w:bCs/>
        </w:rPr>
        <w:t>Implications</w:t>
      </w:r>
    </w:p>
    <w:p w14:paraId="26AF1E88" w14:textId="77777777" w:rsidR="00341B90" w:rsidRDefault="00341B90">
      <w:pPr>
        <w:rPr>
          <w:b/>
          <w:bCs/>
        </w:rPr>
      </w:pPr>
    </w:p>
    <w:p w14:paraId="404C0AC8" w14:textId="04BB49AE" w:rsidR="006E3A0C" w:rsidRDefault="00341B90" w:rsidP="00341B90">
      <w:pPr>
        <w:spacing w:line="360" w:lineRule="auto"/>
        <w:rPr>
          <w:sz w:val="23"/>
          <w:szCs w:val="23"/>
        </w:rPr>
      </w:pPr>
      <w:r>
        <w:rPr>
          <w:sz w:val="23"/>
          <w:szCs w:val="23"/>
        </w:rPr>
        <w:t>Policies about carceral citizens – such as whether they deserve to be forced to work without pay or for hourly wages in terms of cents rather than dollars, and roles that include life-threatening work like fighting wildfires</w:t>
      </w:r>
      <w:r w:rsidR="006E3A0C">
        <w:rPr>
          <w:sz w:val="23"/>
          <w:szCs w:val="23"/>
        </w:rPr>
        <w:t>,</w:t>
      </w:r>
      <w:r>
        <w:rPr>
          <w:rStyle w:val="FootnoteReference"/>
          <w:sz w:val="23"/>
          <w:szCs w:val="23"/>
        </w:rPr>
        <w:footnoteReference w:id="5"/>
      </w:r>
      <w:r>
        <w:rPr>
          <w:sz w:val="23"/>
          <w:szCs w:val="23"/>
        </w:rPr>
        <w:t xml:space="preserve"> are made in a process that excludes and underrepresents carceral citizens. This may constitute a consequential epistemic problem, particularly if groups who bear none of the punitive burden </w:t>
      </w:r>
      <w:r w:rsidR="006E3A0C">
        <w:rPr>
          <w:sz w:val="23"/>
          <w:szCs w:val="23"/>
        </w:rPr>
        <w:t xml:space="preserve">uniquely see carceral citizens as undeserving, and </w:t>
      </w:r>
      <w:r>
        <w:rPr>
          <w:sz w:val="23"/>
          <w:szCs w:val="23"/>
        </w:rPr>
        <w:t>b</w:t>
      </w:r>
      <w:r w:rsidR="006E3A0C">
        <w:rPr>
          <w:sz w:val="23"/>
          <w:szCs w:val="23"/>
        </w:rPr>
        <w:t>elieve help afforded to them should be limited to kinds that “do not solve problems, to again quote Schneider and Ingram (2019, 229). Further troubling is the possibility that these views diverge from those held by victims, too.</w:t>
      </w:r>
    </w:p>
    <w:p w14:paraId="69E19E74" w14:textId="77777777" w:rsidR="006E3A0C" w:rsidRDefault="006E3A0C" w:rsidP="00341B90">
      <w:pPr>
        <w:spacing w:line="360" w:lineRule="auto"/>
        <w:rPr>
          <w:sz w:val="23"/>
          <w:szCs w:val="23"/>
        </w:rPr>
      </w:pPr>
    </w:p>
    <w:p w14:paraId="23639325" w14:textId="2393E192" w:rsidR="00A229C5" w:rsidRDefault="00714DFA" w:rsidP="006E3A0C">
      <w:pPr>
        <w:spacing w:line="360" w:lineRule="auto"/>
        <w:rPr>
          <w:sz w:val="23"/>
          <w:szCs w:val="23"/>
        </w:rPr>
      </w:pPr>
      <w:r>
        <w:rPr>
          <w:sz w:val="23"/>
          <w:szCs w:val="23"/>
        </w:rPr>
        <w:t>My objective in this project is</w:t>
      </w:r>
      <w:r w:rsidR="006E3A0C">
        <w:rPr>
          <w:sz w:val="23"/>
          <w:szCs w:val="23"/>
        </w:rPr>
        <w:t xml:space="preserve"> </w:t>
      </w:r>
      <w:proofErr w:type="gramStart"/>
      <w:r w:rsidR="006E3A0C">
        <w:rPr>
          <w:sz w:val="23"/>
          <w:szCs w:val="23"/>
        </w:rPr>
        <w:t>begin</w:t>
      </w:r>
      <w:proofErr w:type="gramEnd"/>
      <w:r w:rsidR="006E3A0C">
        <w:rPr>
          <w:sz w:val="23"/>
          <w:szCs w:val="23"/>
        </w:rPr>
        <w:t xml:space="preserve"> to understand what political exclusion means for criminal legal policy,</w:t>
      </w:r>
      <w:r>
        <w:rPr>
          <w:sz w:val="23"/>
          <w:szCs w:val="23"/>
        </w:rPr>
        <w:t xml:space="preserve"> and how policies like political exclusion continue to be tolerated. </w:t>
      </w:r>
      <w:r w:rsidR="006E3A0C">
        <w:rPr>
          <w:sz w:val="23"/>
          <w:szCs w:val="23"/>
        </w:rPr>
        <w:t>I have started by asking how direct interactions with the criminal legal system shape perceptions of carceral citizen</w:t>
      </w:r>
      <w:r w:rsidR="00A229C5">
        <w:rPr>
          <w:sz w:val="23"/>
          <w:szCs w:val="23"/>
        </w:rPr>
        <w:t xml:space="preserve">s’ </w:t>
      </w:r>
      <w:r w:rsidR="006E3A0C">
        <w:rPr>
          <w:sz w:val="23"/>
          <w:szCs w:val="23"/>
        </w:rPr>
        <w:t xml:space="preserve">deservingness generally, and in relation to policy. </w:t>
      </w:r>
      <w:r w:rsidR="00A229C5">
        <w:rPr>
          <w:sz w:val="23"/>
          <w:szCs w:val="23"/>
        </w:rPr>
        <w:t xml:space="preserve">This findings’ project may have </w:t>
      </w:r>
      <w:r w:rsidR="0048416C">
        <w:rPr>
          <w:sz w:val="23"/>
          <w:szCs w:val="23"/>
        </w:rPr>
        <w:t>several</w:t>
      </w:r>
      <w:r w:rsidR="00A229C5">
        <w:rPr>
          <w:sz w:val="23"/>
          <w:szCs w:val="23"/>
        </w:rPr>
        <w:t xml:space="preserve"> important implications, and its development has raised additional questions and ideas for future work. </w:t>
      </w:r>
    </w:p>
    <w:p w14:paraId="219164D6" w14:textId="77777777" w:rsidR="00A229C5" w:rsidRDefault="00A229C5" w:rsidP="006E3A0C">
      <w:pPr>
        <w:spacing w:line="360" w:lineRule="auto"/>
        <w:rPr>
          <w:sz w:val="23"/>
          <w:szCs w:val="23"/>
        </w:rPr>
      </w:pPr>
    </w:p>
    <w:p w14:paraId="6C386A82" w14:textId="38A29132" w:rsidR="004623A2" w:rsidRPr="0048416C" w:rsidRDefault="006E3A0C" w:rsidP="004623A2">
      <w:pPr>
        <w:spacing w:line="360" w:lineRule="auto"/>
        <w:rPr>
          <w:sz w:val="23"/>
          <w:szCs w:val="23"/>
        </w:rPr>
      </w:pPr>
      <w:r>
        <w:rPr>
          <w:sz w:val="23"/>
          <w:szCs w:val="23"/>
        </w:rPr>
        <w:t>Applying the deservingness framework to the carceral context and deve</w:t>
      </w:r>
      <w:r w:rsidR="004623A2">
        <w:rPr>
          <w:sz w:val="23"/>
          <w:szCs w:val="23"/>
        </w:rPr>
        <w:t>loping this proposal raises several questions for future inquiry.</w:t>
      </w:r>
      <w:r w:rsidR="0048416C">
        <w:rPr>
          <w:sz w:val="23"/>
          <w:szCs w:val="23"/>
        </w:rPr>
        <w:t xml:space="preserve"> </w:t>
      </w:r>
      <w:r w:rsidR="004623A2">
        <w:rPr>
          <w:sz w:val="23"/>
          <w:szCs w:val="23"/>
        </w:rPr>
        <w:t xml:space="preserve">First, it raises questions about how, or the extent to which, CARIN attributes explain deservingness in the carceral context, and whether affect plays a distinct role. </w:t>
      </w:r>
      <w:r w:rsidR="004623A2" w:rsidRPr="00100B73">
        <w:t>The deservingness heuristic has been extensively studied in the context of welfare policy (van Oorschot, 2000; Petersen, 2012</w:t>
      </w:r>
      <w:proofErr w:type="gramStart"/>
      <w:r w:rsidR="004623A2" w:rsidRPr="00100B73">
        <w:t>), and</w:t>
      </w:r>
      <w:proofErr w:type="gramEnd"/>
      <w:r w:rsidR="004623A2" w:rsidRPr="00100B73">
        <w:t xml:space="preserve"> offers a substantive alternative to criminological surveys on public punitive attitudes. However, its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standard battery of punitive policies (LWOP and the death penalty). This raises important questions about the universality of the deservingness </w:t>
      </w:r>
      <w:r w:rsidR="004623A2" w:rsidRPr="00100B73">
        <w:lastRenderedPageBreak/>
        <w:t>heuristic and how it operates in different policy domains.</w:t>
      </w:r>
      <w:r w:rsidR="004623A2">
        <w:t xml:space="preserve"> </w:t>
      </w:r>
      <w:r w:rsidR="004623A2">
        <w:rPr>
          <w:sz w:val="23"/>
          <w:szCs w:val="23"/>
        </w:rPr>
        <w:t xml:space="preserve">These questions may best be explored with conjoint designs. </w:t>
      </w:r>
    </w:p>
    <w:p w14:paraId="78104C4D" w14:textId="77777777" w:rsidR="004623A2" w:rsidRDefault="004623A2" w:rsidP="006E3A0C">
      <w:pPr>
        <w:spacing w:line="360" w:lineRule="auto"/>
        <w:rPr>
          <w:sz w:val="23"/>
          <w:szCs w:val="23"/>
        </w:rPr>
      </w:pPr>
    </w:p>
    <w:p w14:paraId="1F070D6E" w14:textId="6E08A27D" w:rsidR="004623A2" w:rsidRPr="00100B73" w:rsidRDefault="004623A2" w:rsidP="004623A2">
      <w:pPr>
        <w:spacing w:line="360" w:lineRule="auto"/>
      </w:pPr>
      <w:r w:rsidRPr="00100B73">
        <w:t xml:space="preserve">Second, this project </w:t>
      </w:r>
      <w:r w:rsidR="0048416C">
        <w:t xml:space="preserve">– or future iterations -- </w:t>
      </w:r>
      <w:r w:rsidRPr="00100B73">
        <w:t>could contribute to ongoing debate about the relative influence of racial attitudes/resentment versus "principled conservatism" in shaping policy preferences, particularly in the realm of criminal justice (</w:t>
      </w:r>
      <w:proofErr w:type="spellStart"/>
      <w:r w:rsidRPr="00100B73">
        <w:t>Peffley</w:t>
      </w:r>
      <w:proofErr w:type="spellEnd"/>
      <w:r w:rsidRPr="00100B73">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t>Sniderman</w:t>
      </w:r>
      <w:proofErr w:type="spellEnd"/>
      <w:r w:rsidRPr="00100B73">
        <w:t xml:space="preserve"> &amp; Piazza, 1993) than racial resentment (Alexander, 2010). Further, while literature has explored how racial resentment mediates/moderates punitiveness, in turn influencing views on policy questions like felony re-enfranchisement (Coll 2024), I think those measures fall short. I hope to this debate by examining how racial attitudes interact with other factors in shaping perceptions of incarcerated individuals' deservingness, and views on non-punitive carceral policies. </w:t>
      </w:r>
    </w:p>
    <w:p w14:paraId="4B01CC16" w14:textId="77777777" w:rsidR="004623A2" w:rsidRDefault="004623A2" w:rsidP="006E3A0C">
      <w:pPr>
        <w:spacing w:line="360" w:lineRule="auto"/>
        <w:rPr>
          <w:sz w:val="23"/>
          <w:szCs w:val="23"/>
        </w:rPr>
      </w:pPr>
    </w:p>
    <w:p w14:paraId="6A8499A0" w14:textId="49760BC1" w:rsidR="00341B90" w:rsidRDefault="004623A2" w:rsidP="00A51005">
      <w:pPr>
        <w:spacing w:line="360" w:lineRule="auto"/>
      </w:pPr>
      <w:r>
        <w:rPr>
          <w:sz w:val="23"/>
          <w:szCs w:val="23"/>
        </w:rPr>
        <w:t xml:space="preserve">Further, concepts of identity and within-group </w:t>
      </w:r>
      <w:proofErr w:type="spellStart"/>
      <w:r>
        <w:rPr>
          <w:sz w:val="23"/>
          <w:szCs w:val="23"/>
        </w:rPr>
        <w:t>subsetting</w:t>
      </w:r>
      <w:proofErr w:type="spellEnd"/>
      <w:r>
        <w:rPr>
          <w:sz w:val="23"/>
          <w:szCs w:val="23"/>
        </w:rPr>
        <w:t xml:space="preserve"> raise questions of their </w:t>
      </w:r>
      <w:proofErr w:type="gramStart"/>
      <w:r>
        <w:rPr>
          <w:sz w:val="23"/>
          <w:szCs w:val="23"/>
        </w:rPr>
        <w:t>own, and</w:t>
      </w:r>
      <w:proofErr w:type="gramEnd"/>
      <w:r>
        <w:rPr>
          <w:sz w:val="23"/>
          <w:szCs w:val="23"/>
        </w:rPr>
        <w:t xml:space="preserve"> suggest that this only scratches the surface of understanding how carceral citizens and beliefs about what they deserve are </w:t>
      </w:r>
      <w:r w:rsidR="00A51005">
        <w:rPr>
          <w:sz w:val="23"/>
          <w:szCs w:val="23"/>
        </w:rPr>
        <w:t xml:space="preserve">constructed and contingent. </w:t>
      </w:r>
      <w:r w:rsidR="0048416C">
        <w:t>P</w:t>
      </w:r>
      <w:r w:rsidR="00A51005" w:rsidRPr="00100B73">
        <w:t xml:space="preserve">olicy feedback literature well-establishes that the institution of the American carceral system begets punitive social constructions and policies.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 and incarcerated coalitional dynamics, may generate feedback effects. I see this project as a first step in a broader project to study feedback effects of existing and changing criminal legal policy surrounding democratic </w:t>
      </w:r>
      <w:proofErr w:type="gramStart"/>
      <w:r w:rsidR="00A51005" w:rsidRPr="00100B73">
        <w:t>rights, and</w:t>
      </w:r>
      <w:proofErr w:type="gramEnd"/>
      <w:r w:rsidR="00A51005" w:rsidRPr="00100B73">
        <w:t xml:space="preserve"> possibly shifting coalition landscapes that increasingly include and center incarcerated activists. Last, as I suspect that new policy in some states (Massachusetts) is not being implemented, understanding how far and in which directions incarcerated subtypes can move the social construction needle may help explain bureaucratic inaction</w:t>
      </w:r>
      <w:r w:rsidR="00E52618">
        <w:t>.</w:t>
      </w:r>
      <w:r w:rsidR="00A51005" w:rsidRPr="00100B73">
        <w:t xml:space="preserve">  </w:t>
      </w:r>
    </w:p>
    <w:p w14:paraId="78597B87" w14:textId="77777777" w:rsidR="00072366" w:rsidRDefault="00072366" w:rsidP="00A51005">
      <w:pPr>
        <w:spacing w:line="360" w:lineRule="auto"/>
      </w:pPr>
    </w:p>
    <w:p w14:paraId="38D2DB02" w14:textId="0C28C0E2" w:rsidR="00072366" w:rsidRDefault="00072366">
      <w:r>
        <w:br w:type="page"/>
      </w:r>
    </w:p>
    <w:p w14:paraId="3F0633A6" w14:textId="44D9909F" w:rsidR="007A7D95" w:rsidRPr="00FE2FF4" w:rsidRDefault="00072366" w:rsidP="00FE2FF4">
      <w:pPr>
        <w:spacing w:line="360" w:lineRule="auto"/>
        <w:jc w:val="center"/>
        <w:rPr>
          <w:b/>
          <w:bCs/>
        </w:rPr>
      </w:pPr>
      <w:r w:rsidRPr="00072366">
        <w:rPr>
          <w:b/>
          <w:bCs/>
        </w:rPr>
        <w:lastRenderedPageBreak/>
        <w:t>Works Cited</w:t>
      </w:r>
    </w:p>
    <w:p w14:paraId="6BF84AA8" w14:textId="77777777" w:rsidR="007A7D95" w:rsidRDefault="007A7D95" w:rsidP="007A7D95">
      <w:pPr>
        <w:pStyle w:val="whitespace-pre-wrap"/>
      </w:pPr>
      <w:proofErr w:type="spellStart"/>
      <w:r>
        <w:t>Aarøe</w:t>
      </w:r>
      <w:proofErr w:type="spellEnd"/>
      <w:r>
        <w:t xml:space="preserve">, Lene, and Michael Bang Petersen. "Crowding Out Culture: Scandinavians and Americans Agree on Social Welfare in the Face of Deservingness Cues." </w:t>
      </w:r>
      <w:r>
        <w:rPr>
          <w:rStyle w:val="Emphasis"/>
          <w:rFonts w:eastAsiaTheme="majorEastAsia"/>
        </w:rPr>
        <w:t>The Journal of Politics</w:t>
      </w:r>
      <w:r>
        <w:t xml:space="preserve"> 76, no. 3 (July 2014): 684–97. </w:t>
      </w:r>
      <w:hyperlink r:id="rId7" w:history="1">
        <w:r>
          <w:rPr>
            <w:rStyle w:val="Hyperlink"/>
            <w:rFonts w:eastAsiaTheme="majorEastAsia"/>
          </w:rPr>
          <w:t>https://doi.org/10.1017/S002238161400019X</w:t>
        </w:r>
      </w:hyperlink>
      <w:r>
        <w:t>.</w:t>
      </w:r>
    </w:p>
    <w:p w14:paraId="2F5509B1" w14:textId="77777777" w:rsidR="007A7D95" w:rsidRDefault="007A7D95" w:rsidP="007A7D95">
      <w:pPr>
        <w:pStyle w:val="whitespace-pre-wrap"/>
      </w:pPr>
      <w:r>
        <w:t xml:space="preserve">Alexander, Michelle. </w:t>
      </w:r>
      <w:r>
        <w:rPr>
          <w:rStyle w:val="Emphasis"/>
          <w:rFonts w:eastAsiaTheme="majorEastAsia"/>
        </w:rPr>
        <w:t>The New Jim Crow: Mass Incarceration in the Age of Colorblindness</w:t>
      </w:r>
      <w:r>
        <w:t>. New York: New Press, 2010.</w:t>
      </w:r>
    </w:p>
    <w:p w14:paraId="6C618C1D" w14:textId="77777777" w:rsidR="007A7D95" w:rsidRDefault="007A7D95" w:rsidP="007A7D95">
      <w:pPr>
        <w:pStyle w:val="whitespace-pre-wrap"/>
      </w:pPr>
      <w:r>
        <w:t xml:space="preserve">Azimi, </w:t>
      </w:r>
      <w:proofErr w:type="spellStart"/>
      <w:r>
        <w:t>Andia</w:t>
      </w:r>
      <w:proofErr w:type="spellEnd"/>
      <w:r>
        <w:t xml:space="preserve"> M., Jane C. Daquin, and Susan J. Hoppe. "Identifying Poly-Victimization Among Prisoners: An Application of Latent Class Analysis." </w:t>
      </w:r>
      <w:r>
        <w:rPr>
          <w:rStyle w:val="Emphasis"/>
          <w:rFonts w:eastAsiaTheme="majorEastAsia"/>
        </w:rPr>
        <w:t>Journal of Interpersonal Violence</w:t>
      </w:r>
      <w:r>
        <w:t xml:space="preserve"> 36, no. 19–20 (October 2021): 10645–69. </w:t>
      </w:r>
      <w:hyperlink r:id="rId8" w:history="1">
        <w:r>
          <w:rPr>
            <w:rStyle w:val="Hyperlink"/>
            <w:rFonts w:eastAsiaTheme="majorEastAsia"/>
          </w:rPr>
          <w:t>https://doi.org/10.1177/0886260519876021</w:t>
        </w:r>
      </w:hyperlink>
      <w:r>
        <w:t>.</w:t>
      </w:r>
    </w:p>
    <w:p w14:paraId="754912F1" w14:textId="77777777" w:rsidR="007A7D95" w:rsidRDefault="007A7D95" w:rsidP="007A7D95">
      <w:pPr>
        <w:pStyle w:val="whitespace-pre-wrap"/>
      </w:pPr>
      <w:r>
        <w:t xml:space="preserve">Bandura, Albert. "Moral Disengagement in the Perpetration of Inhumanities." </w:t>
      </w:r>
      <w:r>
        <w:rPr>
          <w:rStyle w:val="Emphasis"/>
          <w:rFonts w:eastAsiaTheme="majorEastAsia"/>
        </w:rPr>
        <w:t>Personality and Social Psychology Review</w:t>
      </w:r>
      <w:r>
        <w:t xml:space="preserve"> 3, no. 3 (August 1999): 193–209. </w:t>
      </w:r>
      <w:hyperlink r:id="rId9" w:history="1">
        <w:r>
          <w:rPr>
            <w:rStyle w:val="Hyperlink"/>
            <w:rFonts w:eastAsiaTheme="majorEastAsia"/>
          </w:rPr>
          <w:t>https://doi.org/10.1207/s15327957pspr0303_3</w:t>
        </w:r>
      </w:hyperlink>
      <w:r>
        <w:t>.</w:t>
      </w:r>
    </w:p>
    <w:p w14:paraId="0F68A2A9" w14:textId="77777777" w:rsidR="007A7D95" w:rsidRDefault="007A7D95" w:rsidP="007A7D95">
      <w:pPr>
        <w:pStyle w:val="whitespace-pre-wrap"/>
      </w:pPr>
      <w:r>
        <w:t xml:space="preserve">Bandura, Albert, Bill Underwood, and Michael E. Fromson. "Disinhibition of Aggression through Diffusion of Responsibility and Dehumanization of Victims." </w:t>
      </w:r>
      <w:r>
        <w:rPr>
          <w:rStyle w:val="Emphasis"/>
          <w:rFonts w:eastAsiaTheme="majorEastAsia"/>
        </w:rPr>
        <w:t>Journal of Research in Personality</w:t>
      </w:r>
      <w:r>
        <w:t xml:space="preserve"> 9, no. 4 (December 1975): 253–69. </w:t>
      </w:r>
      <w:hyperlink r:id="rId10" w:history="1">
        <w:r>
          <w:rPr>
            <w:rStyle w:val="Hyperlink"/>
            <w:rFonts w:eastAsiaTheme="majorEastAsia"/>
          </w:rPr>
          <w:t>https://doi.org/10.1016/0092-6566(75)90001-X</w:t>
        </w:r>
      </w:hyperlink>
      <w:r>
        <w:t>.</w:t>
      </w:r>
    </w:p>
    <w:p w14:paraId="3C34F1A8" w14:textId="77777777" w:rsidR="007A7D95" w:rsidRDefault="007A7D95" w:rsidP="007A7D95">
      <w:pPr>
        <w:pStyle w:val="whitespace-pre-wrap"/>
      </w:pPr>
      <w:r>
        <w:t xml:space="preserve">Bar-Tal, Daniel. "Delegitimization: The Extreme Case of Stereotyping and Prejudice." In </w:t>
      </w:r>
      <w:r>
        <w:rPr>
          <w:rStyle w:val="Emphasis"/>
          <w:rFonts w:eastAsiaTheme="majorEastAsia"/>
        </w:rPr>
        <w:t>Stereotyping and Prejudice</w:t>
      </w:r>
      <w:r>
        <w:t xml:space="preserve">, edited by Daniel Bar-Tal, Carl F. Graumann, Arie W. </w:t>
      </w:r>
      <w:proofErr w:type="spellStart"/>
      <w:r>
        <w:t>Kruglanski</w:t>
      </w:r>
      <w:proofErr w:type="spellEnd"/>
      <w:r>
        <w:t xml:space="preserve">, and Wolfgang Stroebe. New York: Springer, 1989. </w:t>
      </w:r>
      <w:hyperlink r:id="rId11" w:history="1">
        <w:r>
          <w:rPr>
            <w:rStyle w:val="Hyperlink"/>
            <w:rFonts w:eastAsiaTheme="majorEastAsia"/>
          </w:rPr>
          <w:t>https://doi.org/10.1007/978-1-4612-3582-8_8</w:t>
        </w:r>
      </w:hyperlink>
      <w:r>
        <w:t>.</w:t>
      </w:r>
    </w:p>
    <w:p w14:paraId="56277FB7" w14:textId="77777777" w:rsidR="007A7D95" w:rsidRDefault="007A7D95" w:rsidP="007A7D95">
      <w:pPr>
        <w:pStyle w:val="whitespace-pre-wrap"/>
      </w:pPr>
      <w:r>
        <w:t xml:space="preserve">Bar-Tal, Daniel, Arie W. </w:t>
      </w:r>
      <w:proofErr w:type="spellStart"/>
      <w:r>
        <w:t>Kruglanski</w:t>
      </w:r>
      <w:proofErr w:type="spellEnd"/>
      <w:r>
        <w:t xml:space="preserve">, and </w:t>
      </w:r>
      <w:proofErr w:type="spellStart"/>
      <w:r>
        <w:t>Yechiel</w:t>
      </w:r>
      <w:proofErr w:type="spellEnd"/>
      <w:r>
        <w:t xml:space="preserve"> Klar. "Conflict Termination: An Epistemological Analysis of International Cases." </w:t>
      </w:r>
      <w:r>
        <w:rPr>
          <w:rStyle w:val="Emphasis"/>
          <w:rFonts w:eastAsiaTheme="majorEastAsia"/>
        </w:rPr>
        <w:t>Political Psychology</w:t>
      </w:r>
      <w:r>
        <w:t xml:space="preserve"> 10, no. 2 (1989): 233–55. </w:t>
      </w:r>
      <w:hyperlink r:id="rId12" w:history="1">
        <w:r>
          <w:rPr>
            <w:rStyle w:val="Hyperlink"/>
            <w:rFonts w:eastAsiaTheme="majorEastAsia"/>
          </w:rPr>
          <w:t>https://doi.org/10.2307/3791646</w:t>
        </w:r>
      </w:hyperlink>
      <w:r>
        <w:t>.</w:t>
      </w:r>
    </w:p>
    <w:p w14:paraId="445B6679" w14:textId="77777777" w:rsidR="007A7D95" w:rsidRDefault="007A7D95" w:rsidP="007A7D95">
      <w:pPr>
        <w:pStyle w:val="whitespace-pre-wrap"/>
      </w:pPr>
      <w:r>
        <w:t xml:space="preserve">Bastian, Brock, Thomas F. Denson, and Nick Haslam. "The Roles of Dehumanization and Moral Outrage in Retributive Justice." </w:t>
      </w:r>
      <w:r>
        <w:rPr>
          <w:rStyle w:val="Emphasis"/>
          <w:rFonts w:eastAsiaTheme="majorEastAsia"/>
        </w:rPr>
        <w:t>PLOS ONE</w:t>
      </w:r>
      <w:r>
        <w:t xml:space="preserve"> 8, no. 4 (2013): e61842.</w:t>
      </w:r>
    </w:p>
    <w:p w14:paraId="01770561" w14:textId="77777777" w:rsidR="007A7D95" w:rsidRDefault="007A7D95" w:rsidP="007A7D95">
      <w:pPr>
        <w:pStyle w:val="whitespace-pre-wrap"/>
      </w:pPr>
      <w:r>
        <w:t xml:space="preserve">Baumgartner, Frank R., Marty A. Davidson II, </w:t>
      </w:r>
      <w:proofErr w:type="spellStart"/>
      <w:r>
        <w:t>Kaneesha</w:t>
      </w:r>
      <w:proofErr w:type="spellEnd"/>
      <w:r>
        <w:t xml:space="preserve"> R. Johnson, Arvind Krishnamurthy, and Colin P. Wilson. </w:t>
      </w:r>
      <w:r>
        <w:rPr>
          <w:rStyle w:val="Emphasis"/>
          <w:rFonts w:eastAsiaTheme="majorEastAsia"/>
        </w:rPr>
        <w:t>Deadly Justice: A Statistical Portrait of the Death Penalty</w:t>
      </w:r>
      <w:r>
        <w:t>. New York: Oxford University Press, 2018.</w:t>
      </w:r>
    </w:p>
    <w:p w14:paraId="4E161069" w14:textId="77777777" w:rsidR="007A7D95" w:rsidRDefault="007A7D95" w:rsidP="007A7D95">
      <w:pPr>
        <w:pStyle w:val="whitespace-pre-wrap"/>
      </w:pPr>
      <w:r>
        <w:t xml:space="preserve">Baumgartner, Frank R., Derek A. Epp, and Kelsey </w:t>
      </w:r>
      <w:proofErr w:type="spellStart"/>
      <w:r>
        <w:t>Shoub</w:t>
      </w:r>
      <w:proofErr w:type="spellEnd"/>
      <w:r>
        <w:t xml:space="preserve">. </w:t>
      </w:r>
      <w:r>
        <w:rPr>
          <w:rStyle w:val="Emphasis"/>
          <w:rFonts w:eastAsiaTheme="majorEastAsia"/>
        </w:rPr>
        <w:t xml:space="preserve">Suspect Citizens: What 20 </w:t>
      </w:r>
      <w:proofErr w:type="gramStart"/>
      <w:r>
        <w:rPr>
          <w:rStyle w:val="Emphasis"/>
          <w:rFonts w:eastAsiaTheme="majorEastAsia"/>
        </w:rPr>
        <w:t>Million</w:t>
      </w:r>
      <w:proofErr w:type="gramEnd"/>
      <w:r>
        <w:rPr>
          <w:rStyle w:val="Emphasis"/>
          <w:rFonts w:eastAsiaTheme="majorEastAsia"/>
        </w:rPr>
        <w:t xml:space="preserve"> Traffic Stops Tell Us About Policing and Race</w:t>
      </w:r>
      <w:r>
        <w:t>. Cambridge: Cambridge University Press, 2018.</w:t>
      </w:r>
    </w:p>
    <w:p w14:paraId="3F807280" w14:textId="77777777" w:rsidR="007A7D95" w:rsidRDefault="007A7D95" w:rsidP="007A7D95">
      <w:pPr>
        <w:pStyle w:val="whitespace-pre-wrap"/>
      </w:pPr>
      <w:r>
        <w:t xml:space="preserve">Bishop, Bill, and Robert G. Cushing. </w:t>
      </w:r>
      <w:r>
        <w:rPr>
          <w:rStyle w:val="Emphasis"/>
          <w:rFonts w:eastAsiaTheme="majorEastAsia"/>
        </w:rPr>
        <w:t>The Big Sort: Why the Clustering of Like-Minded America Is Tearing Us Apart</w:t>
      </w:r>
      <w:r>
        <w:t>. Boston: Houghton Mifflin Harcourt, 2009.</w:t>
      </w:r>
    </w:p>
    <w:p w14:paraId="585474E3" w14:textId="5A0DDB73" w:rsidR="003E62B6" w:rsidRPr="003E62B6" w:rsidRDefault="003E62B6" w:rsidP="007A7D95">
      <w:pPr>
        <w:pStyle w:val="whitespace-pre-wrap"/>
      </w:pPr>
      <w:r>
        <w:t xml:space="preserve">Beckett, Katherine and Bruce Western. “Governing Social Marginality: Welfare, Incarceration, and the Transformation of State Policy.” </w:t>
      </w:r>
      <w:r>
        <w:rPr>
          <w:i/>
          <w:iCs/>
        </w:rPr>
        <w:t xml:space="preserve">Punishment and Society </w:t>
      </w:r>
      <w:r>
        <w:t xml:space="preserve">3, no. 1 (2001): 43-59. </w:t>
      </w:r>
    </w:p>
    <w:p w14:paraId="3DB55C16" w14:textId="77777777" w:rsidR="007A7D95" w:rsidRDefault="007A7D95" w:rsidP="007A7D95">
      <w:pPr>
        <w:pStyle w:val="whitespace-pre-wrap"/>
      </w:pPr>
      <w:proofErr w:type="spellStart"/>
      <w:r>
        <w:lastRenderedPageBreak/>
        <w:t>Buckels</w:t>
      </w:r>
      <w:proofErr w:type="spellEnd"/>
      <w:r>
        <w:t xml:space="preserve">, Erin E., and Paul D. </w:t>
      </w:r>
      <w:proofErr w:type="spellStart"/>
      <w:r>
        <w:t>Trapnell</w:t>
      </w:r>
      <w:proofErr w:type="spellEnd"/>
      <w:r>
        <w:t xml:space="preserve">. "Disgust Facilitates Outgroup Dehumanization." </w:t>
      </w:r>
      <w:r>
        <w:rPr>
          <w:rStyle w:val="Emphasis"/>
          <w:rFonts w:eastAsiaTheme="majorEastAsia"/>
        </w:rPr>
        <w:t>Group Processes &amp; Intergroup Relations</w:t>
      </w:r>
      <w:r>
        <w:t xml:space="preserve"> 16, no. 6 (2013): 771–780.</w:t>
      </w:r>
    </w:p>
    <w:p w14:paraId="719A8BAF" w14:textId="77777777" w:rsidR="007A7D95" w:rsidRDefault="007A7D95" w:rsidP="007A7D95">
      <w:pPr>
        <w:pStyle w:val="whitespace-pre-wrap"/>
      </w:pPr>
      <w:proofErr w:type="spellStart"/>
      <w:r>
        <w:t>Carlsmith</w:t>
      </w:r>
      <w:proofErr w:type="spellEnd"/>
      <w:r>
        <w:t xml:space="preserve">, Kevin M., and John M. Darley. "Psychological Aspects of Retributive Justice." In </w:t>
      </w:r>
      <w:r>
        <w:rPr>
          <w:rStyle w:val="Emphasis"/>
          <w:rFonts w:eastAsiaTheme="majorEastAsia"/>
        </w:rPr>
        <w:t>Advances in Experimental Social Psychology</w:t>
      </w:r>
      <w:r>
        <w:t xml:space="preserve">, vol. 40, 193–236. Academic Press, 2008. </w:t>
      </w:r>
      <w:hyperlink r:id="rId13" w:history="1">
        <w:r>
          <w:rPr>
            <w:rStyle w:val="Hyperlink"/>
            <w:rFonts w:eastAsiaTheme="majorEastAsia"/>
          </w:rPr>
          <w:t>https://doi.org/10.1016/S0065-2601(07)00004-4</w:t>
        </w:r>
      </w:hyperlink>
      <w:r>
        <w:t>.</w:t>
      </w:r>
    </w:p>
    <w:p w14:paraId="50EDB4A8" w14:textId="77777777" w:rsidR="007A7D95" w:rsidRDefault="007A7D95" w:rsidP="007A7D95">
      <w:pPr>
        <w:pStyle w:val="whitespace-pre-wrap"/>
      </w:pPr>
      <w:proofErr w:type="spellStart"/>
      <w:r>
        <w:t>Carlsmith</w:t>
      </w:r>
      <w:proofErr w:type="spellEnd"/>
      <w:r>
        <w:t xml:space="preserve">, Kevin M., John M. Darley, and Paul H. Robinson. "Why Do We Punish? Deterrence and Just Deserts as Motives for Punishment." </w:t>
      </w:r>
      <w:r>
        <w:rPr>
          <w:rStyle w:val="Emphasis"/>
          <w:rFonts w:eastAsiaTheme="majorEastAsia"/>
        </w:rPr>
        <w:t>Journal of Personality and Social Psychology</w:t>
      </w:r>
      <w:r>
        <w:t xml:space="preserve"> 83, no. 2 (2002): 284–299. </w:t>
      </w:r>
      <w:hyperlink r:id="rId14" w:history="1">
        <w:r>
          <w:rPr>
            <w:rStyle w:val="Hyperlink"/>
            <w:rFonts w:eastAsiaTheme="majorEastAsia"/>
          </w:rPr>
          <w:t>https://doi.org/10.1037/0022-3514.83.2.284</w:t>
        </w:r>
      </w:hyperlink>
      <w:r>
        <w:t>.</w:t>
      </w:r>
    </w:p>
    <w:p w14:paraId="4A386314" w14:textId="77777777" w:rsidR="007A7D95" w:rsidRDefault="007A7D95" w:rsidP="007A7D95">
      <w:pPr>
        <w:pStyle w:val="whitespace-pre-wrap"/>
      </w:pPr>
      <w:r>
        <w:t xml:space="preserve">Carlson, Bonnie E., and Michael S. Shafer. "Traumatic Histories and Stressful Life Events of Incarcerated Parents: Childhood and Adult Trauma Histories." </w:t>
      </w:r>
      <w:r>
        <w:rPr>
          <w:rStyle w:val="Emphasis"/>
          <w:rFonts w:eastAsiaTheme="majorEastAsia"/>
        </w:rPr>
        <w:t>The Prison Journal</w:t>
      </w:r>
      <w:r>
        <w:t xml:space="preserve"> 90, no. 4 (2010): 475-493. </w:t>
      </w:r>
      <w:hyperlink r:id="rId15" w:history="1">
        <w:r>
          <w:rPr>
            <w:rStyle w:val="Hyperlink"/>
            <w:rFonts w:eastAsiaTheme="majorEastAsia"/>
          </w:rPr>
          <w:t>https://doi.org/10.1177/0032885510382224</w:t>
        </w:r>
      </w:hyperlink>
      <w:r>
        <w:t>.</w:t>
      </w:r>
    </w:p>
    <w:p w14:paraId="703DCC21" w14:textId="77777777" w:rsidR="007A7D95" w:rsidRDefault="007A7D95" w:rsidP="007A7D95">
      <w:pPr>
        <w:pStyle w:val="whitespace-pre-wrap"/>
      </w:pPr>
      <w:r>
        <w:t xml:space="preserve">Carvalho, Henrique, and Anastasia </w:t>
      </w:r>
      <w:proofErr w:type="spellStart"/>
      <w:r>
        <w:t>Chamberlen</w:t>
      </w:r>
      <w:proofErr w:type="spellEnd"/>
      <w:r>
        <w:t xml:space="preserve">. "Why Punishment Pleases: Punitive Feelings in a World of Hostile Solidarity." </w:t>
      </w:r>
      <w:r>
        <w:rPr>
          <w:rStyle w:val="Emphasis"/>
          <w:rFonts w:eastAsiaTheme="majorEastAsia"/>
        </w:rPr>
        <w:t>Punishment &amp; Society</w:t>
      </w:r>
      <w:r>
        <w:t xml:space="preserve"> 20, no. 2 (2018): 217-234.</w:t>
      </w:r>
    </w:p>
    <w:p w14:paraId="0DCD1457" w14:textId="77777777" w:rsidR="007A7D95" w:rsidRDefault="007A7D95" w:rsidP="007A7D95">
      <w:pPr>
        <w:pStyle w:val="whitespace-pre-wrap"/>
      </w:pPr>
      <w:r>
        <w:t xml:space="preserve">Castano, Emanuele, and Roger </w:t>
      </w:r>
      <w:proofErr w:type="spellStart"/>
      <w:r>
        <w:t>Giner-Sorolla</w:t>
      </w:r>
      <w:proofErr w:type="spellEnd"/>
      <w:r>
        <w:t xml:space="preserve">. "Not Quite Human: </w:t>
      </w:r>
      <w:proofErr w:type="spellStart"/>
      <w:r>
        <w:t>Infrahumanization</w:t>
      </w:r>
      <w:proofErr w:type="spellEnd"/>
      <w:r>
        <w:t xml:space="preserve"> in Response to Collective Responsibility for Intergroup Killing." </w:t>
      </w:r>
      <w:r>
        <w:rPr>
          <w:rStyle w:val="Emphasis"/>
          <w:rFonts w:eastAsiaTheme="majorEastAsia"/>
        </w:rPr>
        <w:t>Journal of Personality and Social Psychology</w:t>
      </w:r>
      <w:r>
        <w:t xml:space="preserve"> 90, no. 5 (2006): 804–818.</w:t>
      </w:r>
    </w:p>
    <w:p w14:paraId="0F91F4F2" w14:textId="77777777" w:rsidR="007A7D95" w:rsidRDefault="007A7D95" w:rsidP="007A7D95">
      <w:pPr>
        <w:pStyle w:val="whitespace-pre-wrap"/>
      </w:pPr>
      <w:proofErr w:type="spellStart"/>
      <w:r>
        <w:t>Chudy</w:t>
      </w:r>
      <w:proofErr w:type="spellEnd"/>
      <w:r>
        <w:t xml:space="preserve">, Jennifer. "Racial Sympathy and Its Political Consequences." </w:t>
      </w:r>
      <w:r>
        <w:rPr>
          <w:rStyle w:val="Emphasis"/>
          <w:rFonts w:eastAsiaTheme="majorEastAsia"/>
        </w:rPr>
        <w:t>The Journal of Politics</w:t>
      </w:r>
      <w:r>
        <w:t xml:space="preserve"> 83, no. 1 (January 2021): 122–36. </w:t>
      </w:r>
      <w:hyperlink r:id="rId16" w:history="1">
        <w:r>
          <w:rPr>
            <w:rStyle w:val="Hyperlink"/>
            <w:rFonts w:eastAsiaTheme="majorEastAsia"/>
          </w:rPr>
          <w:t>https://doi.org/10.1086/708953</w:t>
        </w:r>
      </w:hyperlink>
      <w:r>
        <w:t>.</w:t>
      </w:r>
    </w:p>
    <w:p w14:paraId="6D6EA940" w14:textId="77777777" w:rsidR="007A7D95" w:rsidRDefault="007A7D95" w:rsidP="007A7D95">
      <w:pPr>
        <w:pStyle w:val="whitespace-pre-wrap"/>
      </w:pPr>
      <w:r>
        <w:t xml:space="preserve">Coll, Joseph A. "Racial Stereotypes, Racial Threat, and Support for Felon Disenfranchisement Among White Americans." </w:t>
      </w:r>
      <w:r>
        <w:rPr>
          <w:rStyle w:val="Emphasis"/>
          <w:rFonts w:eastAsiaTheme="majorEastAsia"/>
        </w:rPr>
        <w:t>Political Science Research Quarterly</w:t>
      </w:r>
      <w:r>
        <w:t xml:space="preserve"> 0, no. 0 (2024): 1-14. </w:t>
      </w:r>
      <w:hyperlink r:id="rId17" w:history="1">
        <w:r>
          <w:rPr>
            <w:rStyle w:val="Hyperlink"/>
            <w:rFonts w:eastAsiaTheme="majorEastAsia"/>
          </w:rPr>
          <w:t>https://doi.org/10.1177/10659129241287506</w:t>
        </w:r>
      </w:hyperlink>
      <w:r>
        <w:t>.</w:t>
      </w:r>
    </w:p>
    <w:p w14:paraId="495FE513" w14:textId="77777777" w:rsidR="007A7D95" w:rsidRDefault="007A7D95" w:rsidP="007A7D95">
      <w:pPr>
        <w:pStyle w:val="whitespace-pre-wrap"/>
      </w:pPr>
      <w:r>
        <w:t xml:space="preserve">Cullen, Francis T., Leah C. Butler, and Amanda Graham. "Racial Attitudes and Criminal Justice Policy." </w:t>
      </w:r>
      <w:r>
        <w:rPr>
          <w:rStyle w:val="Emphasis"/>
          <w:rFonts w:eastAsiaTheme="majorEastAsia"/>
        </w:rPr>
        <w:t>Crime and Justice</w:t>
      </w:r>
      <w:r>
        <w:t xml:space="preserve"> 50, no. 1 (December 2021): 163–245. </w:t>
      </w:r>
      <w:hyperlink r:id="rId18" w:history="1">
        <w:r>
          <w:rPr>
            <w:rStyle w:val="Hyperlink"/>
            <w:rFonts w:eastAsiaTheme="majorEastAsia"/>
          </w:rPr>
          <w:t>https://doi.org/10.1086/715911</w:t>
        </w:r>
      </w:hyperlink>
      <w:r>
        <w:t>.</w:t>
      </w:r>
    </w:p>
    <w:p w14:paraId="7EE3E83C" w14:textId="77777777" w:rsidR="007A7D95" w:rsidRDefault="007A7D95" w:rsidP="007A7D95">
      <w:pPr>
        <w:pStyle w:val="whitespace-pre-wrap"/>
      </w:pPr>
      <w:proofErr w:type="spellStart"/>
      <w:r>
        <w:t>DeSante</w:t>
      </w:r>
      <w:proofErr w:type="spellEnd"/>
      <w:r>
        <w:t xml:space="preserve">, Christopher D. "Working Twice as Hard to Get Half as Far: Race, Work Ethic, and America's Deserving Poor." </w:t>
      </w:r>
      <w:r>
        <w:rPr>
          <w:rStyle w:val="Emphasis"/>
          <w:rFonts w:eastAsiaTheme="majorEastAsia"/>
        </w:rPr>
        <w:t>American Journal of Political Science</w:t>
      </w:r>
      <w:r>
        <w:t xml:space="preserve"> 57, no. 2 (April 2013): 342–56. </w:t>
      </w:r>
      <w:hyperlink r:id="rId19" w:history="1">
        <w:r>
          <w:rPr>
            <w:rStyle w:val="Hyperlink"/>
            <w:rFonts w:eastAsiaTheme="majorEastAsia"/>
          </w:rPr>
          <w:t>https://doi.org/10.1111/ajps.12006</w:t>
        </w:r>
      </w:hyperlink>
      <w:r>
        <w:t>.</w:t>
      </w:r>
    </w:p>
    <w:p w14:paraId="085139F1" w14:textId="77777777" w:rsidR="007A7D95" w:rsidRDefault="007A7D95" w:rsidP="007A7D95">
      <w:pPr>
        <w:pStyle w:val="whitespace-pre-wrap"/>
      </w:pPr>
      <w:proofErr w:type="spellStart"/>
      <w:r>
        <w:t>Deska</w:t>
      </w:r>
      <w:proofErr w:type="spellEnd"/>
      <w:r>
        <w:t xml:space="preserve">, Jason C., Sarah M. Almaraz, and Kurt </w:t>
      </w:r>
      <w:proofErr w:type="spellStart"/>
      <w:r>
        <w:t>Hugenberg</w:t>
      </w:r>
      <w:proofErr w:type="spellEnd"/>
      <w:r>
        <w:t xml:space="preserve">. "Dehumanizing Prisoners: Remaining Sentence Duration Predicts the Ascription of Mind to Prisoners." </w:t>
      </w:r>
      <w:r>
        <w:rPr>
          <w:rStyle w:val="Emphasis"/>
          <w:rFonts w:eastAsiaTheme="majorEastAsia"/>
        </w:rPr>
        <w:t>Personality and Social Psychology Bulletin</w:t>
      </w:r>
      <w:r>
        <w:t xml:space="preserve"> 46, no. 11 (2020): 1614-1627.</w:t>
      </w:r>
    </w:p>
    <w:p w14:paraId="2F2874A5" w14:textId="77777777" w:rsidR="007A7D95" w:rsidRDefault="007A7D95" w:rsidP="007A7D95">
      <w:pPr>
        <w:pStyle w:val="whitespace-pre-wrap"/>
      </w:pPr>
      <w:proofErr w:type="spellStart"/>
      <w:r>
        <w:t>Deska</w:t>
      </w:r>
      <w:proofErr w:type="spellEnd"/>
      <w:r>
        <w:t xml:space="preserve">, Jason C., Eric P. Lloyd, and Kurt </w:t>
      </w:r>
      <w:proofErr w:type="spellStart"/>
      <w:r>
        <w:t>Hugenberg</w:t>
      </w:r>
      <w:proofErr w:type="spellEnd"/>
      <w:r>
        <w:t xml:space="preserve">. "Facing Humanness: Facial Width-to-Height Ratio Predicts Ascriptions of Humanity." </w:t>
      </w:r>
      <w:r>
        <w:rPr>
          <w:rStyle w:val="Emphasis"/>
          <w:rFonts w:eastAsiaTheme="majorEastAsia"/>
        </w:rPr>
        <w:t>Journal of Personality and Social Psychology</w:t>
      </w:r>
      <w:r>
        <w:t xml:space="preserve"> 114, no. 1 (2018): 75–94.</w:t>
      </w:r>
    </w:p>
    <w:p w14:paraId="3E0FAA38" w14:textId="77777777" w:rsidR="007A7D95" w:rsidRDefault="007A7D95" w:rsidP="007A7D95">
      <w:pPr>
        <w:pStyle w:val="whitespace-pre-wrap"/>
      </w:pPr>
      <w:r>
        <w:lastRenderedPageBreak/>
        <w:t xml:space="preserve">Donovan, Roxanne A. "To Blame or Not </w:t>
      </w:r>
      <w:proofErr w:type="gramStart"/>
      <w:r>
        <w:t>To</w:t>
      </w:r>
      <w:proofErr w:type="gramEnd"/>
      <w:r>
        <w:t xml:space="preserve"> Blame: Influences of Target Race and Observer Sex on Rape Blame Attribution." </w:t>
      </w:r>
      <w:r>
        <w:rPr>
          <w:rStyle w:val="Emphasis"/>
          <w:rFonts w:eastAsiaTheme="majorEastAsia"/>
        </w:rPr>
        <w:t>Journal of Interpersonal Violence</w:t>
      </w:r>
      <w:r>
        <w:t xml:space="preserve"> 22, no. 6 (June 2007): 722–36. </w:t>
      </w:r>
      <w:hyperlink r:id="rId20" w:history="1">
        <w:r>
          <w:rPr>
            <w:rStyle w:val="Hyperlink"/>
            <w:rFonts w:eastAsiaTheme="majorEastAsia"/>
          </w:rPr>
          <w:t>https://doi.org/10.1177/0886260507300754</w:t>
        </w:r>
      </w:hyperlink>
      <w:r>
        <w:t>.</w:t>
      </w:r>
    </w:p>
    <w:p w14:paraId="7A01FCBC" w14:textId="77777777" w:rsidR="007A7D95" w:rsidRDefault="007A7D95" w:rsidP="007A7D95">
      <w:pPr>
        <w:pStyle w:val="whitespace-pre-wrap"/>
      </w:pPr>
      <w:r>
        <w:t xml:space="preserve">Ellis, Christopher, and Christopher </w:t>
      </w:r>
      <w:proofErr w:type="spellStart"/>
      <w:r>
        <w:t>Faricy</w:t>
      </w:r>
      <w:proofErr w:type="spellEnd"/>
      <w:r>
        <w:t xml:space="preserve">. "Race, 'Deservingness,' and Social Spending Attitudes." </w:t>
      </w:r>
      <w:r>
        <w:rPr>
          <w:rStyle w:val="Emphasis"/>
          <w:rFonts w:eastAsiaTheme="majorEastAsia"/>
        </w:rPr>
        <w:t>Political Behavior</w:t>
      </w:r>
      <w:r>
        <w:t xml:space="preserve"> 42, no. 3 (September 2020): 1017-1036. </w:t>
      </w:r>
      <w:hyperlink r:id="rId21" w:history="1">
        <w:r>
          <w:rPr>
            <w:rStyle w:val="Hyperlink"/>
            <w:rFonts w:eastAsiaTheme="majorEastAsia"/>
          </w:rPr>
          <w:t>https://doi.org/10.1007/s11109-018-09521-w</w:t>
        </w:r>
      </w:hyperlink>
      <w:r>
        <w:t>.</w:t>
      </w:r>
    </w:p>
    <w:p w14:paraId="3949A2B2" w14:textId="77777777" w:rsidR="007A7D95" w:rsidRDefault="007A7D95" w:rsidP="007A7D95">
      <w:pPr>
        <w:pStyle w:val="whitespace-pre-wrap"/>
      </w:pPr>
      <w:r>
        <w:t xml:space="preserve">English, Micah, and Joshua Kalla. "Racial Equality Frames and Public Policy Support: Survey Experimental Evidence." OSF, April 23, 2021. </w:t>
      </w:r>
      <w:hyperlink r:id="rId22" w:history="1">
        <w:r>
          <w:rPr>
            <w:rStyle w:val="Hyperlink"/>
            <w:rFonts w:eastAsiaTheme="majorEastAsia"/>
          </w:rPr>
          <w:t>https://doi.org/10.31219/osf.io/tdkf3</w:t>
        </w:r>
      </w:hyperlink>
      <w:r>
        <w:t>.</w:t>
      </w:r>
    </w:p>
    <w:p w14:paraId="58F35DCE" w14:textId="77777777" w:rsidR="007A7D95" w:rsidRDefault="007A7D95" w:rsidP="007A7D95">
      <w:pPr>
        <w:pStyle w:val="whitespace-pre-wrap"/>
      </w:pPr>
      <w:r>
        <w:t xml:space="preserve">Enns, Peter K. "The Public's Increasing Punitiveness and Its Influence on Mass Incarceration in the United States." </w:t>
      </w:r>
      <w:r>
        <w:rPr>
          <w:rStyle w:val="Emphasis"/>
          <w:rFonts w:eastAsiaTheme="majorEastAsia"/>
        </w:rPr>
        <w:t>American Journal of Political Science</w:t>
      </w:r>
      <w:r>
        <w:t xml:space="preserve"> 58, no. 4 (2014): 857-872.</w:t>
      </w:r>
    </w:p>
    <w:p w14:paraId="0B628B32" w14:textId="77777777" w:rsidR="007A7D95" w:rsidRDefault="007A7D95" w:rsidP="007A7D95">
      <w:pPr>
        <w:pStyle w:val="whitespace-pre-wrap"/>
      </w:pPr>
      <w:r>
        <w:t xml:space="preserve">Enns, Peter K., and Julianna Koch. "Public Opinion in the U.S. States: 1956 to 2010." </w:t>
      </w:r>
      <w:r>
        <w:rPr>
          <w:rStyle w:val="Emphasis"/>
          <w:rFonts w:eastAsiaTheme="majorEastAsia"/>
        </w:rPr>
        <w:t>State Politics &amp; Policy Quarterly</w:t>
      </w:r>
      <w:r>
        <w:t xml:space="preserve"> 13, no. 3 (September 2013): 349–72. </w:t>
      </w:r>
      <w:hyperlink r:id="rId23" w:history="1">
        <w:r>
          <w:rPr>
            <w:rStyle w:val="Hyperlink"/>
            <w:rFonts w:eastAsiaTheme="majorEastAsia"/>
          </w:rPr>
          <w:t>https://doi.org/10.1177/1532440013496439</w:t>
        </w:r>
      </w:hyperlink>
      <w:r>
        <w:t>.</w:t>
      </w:r>
    </w:p>
    <w:p w14:paraId="5E82AB18" w14:textId="77777777" w:rsidR="007A7D95" w:rsidRDefault="007A7D95" w:rsidP="007A7D95">
      <w:pPr>
        <w:pStyle w:val="whitespace-pre-wrap"/>
      </w:pPr>
      <w:r>
        <w:t xml:space="preserve">Eubank, Nicholas, and Adriane Fresh. "Enfranchisement and Incarceration after the 1965 Voting Rights Act." </w:t>
      </w:r>
      <w:r>
        <w:rPr>
          <w:rStyle w:val="Emphasis"/>
          <w:rFonts w:eastAsiaTheme="majorEastAsia"/>
        </w:rPr>
        <w:t>American Political Science Review</w:t>
      </w:r>
      <w:r>
        <w:t xml:space="preserve"> 116, no. 3 (August 2022): 791–806. </w:t>
      </w:r>
      <w:hyperlink r:id="rId24" w:history="1">
        <w:r>
          <w:rPr>
            <w:rStyle w:val="Hyperlink"/>
            <w:rFonts w:eastAsiaTheme="majorEastAsia"/>
          </w:rPr>
          <w:t>https://doi.org/10.1017/S0003055421001337</w:t>
        </w:r>
      </w:hyperlink>
      <w:r>
        <w:t>.</w:t>
      </w:r>
    </w:p>
    <w:p w14:paraId="55EA9ED2" w14:textId="77777777" w:rsidR="007A7D95" w:rsidRDefault="007A7D95" w:rsidP="007A7D95">
      <w:pPr>
        <w:pStyle w:val="whitespace-pre-wrap"/>
      </w:pPr>
      <w:r>
        <w:t xml:space="preserve">Fanon, Frantz. </w:t>
      </w:r>
      <w:r>
        <w:rPr>
          <w:rStyle w:val="Emphasis"/>
          <w:rFonts w:eastAsiaTheme="majorEastAsia"/>
        </w:rPr>
        <w:t>Black Skin, White Masks</w:t>
      </w:r>
      <w:r>
        <w:t xml:space="preserve">. Translated by Charles Lam </w:t>
      </w:r>
      <w:proofErr w:type="spellStart"/>
      <w:r>
        <w:t>Markmann</w:t>
      </w:r>
      <w:proofErr w:type="spellEnd"/>
      <w:r>
        <w:t>. New York: Grove Press, 1967.</w:t>
      </w:r>
    </w:p>
    <w:p w14:paraId="24DBB5BB" w14:textId="77777777" w:rsidR="007A7D95" w:rsidRDefault="007A7D95" w:rsidP="007A7D95">
      <w:pPr>
        <w:pStyle w:val="whitespace-pre-wrap"/>
      </w:pPr>
      <w:r>
        <w:t xml:space="preserve">Fanon, Frantz. </w:t>
      </w:r>
      <w:r>
        <w:rPr>
          <w:rStyle w:val="Emphasis"/>
          <w:rFonts w:eastAsiaTheme="majorEastAsia"/>
        </w:rPr>
        <w:t>The Wretched of the Earth</w:t>
      </w:r>
      <w:r>
        <w:t xml:space="preserve">. Translated by Richard </w:t>
      </w:r>
      <w:proofErr w:type="spellStart"/>
      <w:r>
        <w:t>Philcox</w:t>
      </w:r>
      <w:proofErr w:type="spellEnd"/>
      <w:r>
        <w:t>. New York: Grove Press, 1963.</w:t>
      </w:r>
    </w:p>
    <w:p w14:paraId="1BD79FCD" w14:textId="77777777" w:rsidR="007A7D95" w:rsidRDefault="007A7D95" w:rsidP="007A7D95">
      <w:pPr>
        <w:pStyle w:val="whitespace-pre-wrap"/>
      </w:pPr>
      <w:r>
        <w:t xml:space="preserve">Feather, Norman T. "Judgements of Deservingness: Studies in the Psychology of Justice and Achievement." </w:t>
      </w:r>
      <w:r>
        <w:rPr>
          <w:rStyle w:val="Emphasis"/>
          <w:rFonts w:eastAsiaTheme="majorEastAsia"/>
        </w:rPr>
        <w:t>Personality and Social Psychology Review</w:t>
      </w:r>
      <w:r>
        <w:t xml:space="preserve"> 3, no. 2 (1999): 86-106.</w:t>
      </w:r>
    </w:p>
    <w:p w14:paraId="3A1A3F49" w14:textId="77777777" w:rsidR="007A7D95" w:rsidRDefault="007A7D95" w:rsidP="007A7D95">
      <w:pPr>
        <w:pStyle w:val="whitespace-pre-wrap"/>
      </w:pPr>
      <w:r>
        <w:t xml:space="preserve">Feldman, Stanley, and Leonie Huddy. "Racial Resentment and White Opposition to Race-Conscious Programs: Principles or Prejudice?" </w:t>
      </w:r>
      <w:r>
        <w:rPr>
          <w:rStyle w:val="Emphasis"/>
          <w:rFonts w:eastAsiaTheme="majorEastAsia"/>
        </w:rPr>
        <w:t>American Journal of Political Science</w:t>
      </w:r>
      <w:r>
        <w:t xml:space="preserve"> 49, no. 1 (2005): 168-183.</w:t>
      </w:r>
    </w:p>
    <w:p w14:paraId="1BFA95C2" w14:textId="77777777" w:rsidR="007A7D95" w:rsidRDefault="007A7D95" w:rsidP="007A7D95">
      <w:pPr>
        <w:pStyle w:val="whitespace-pre-wrap"/>
      </w:pPr>
      <w:r>
        <w:t xml:space="preserve">Fincher, Katrina M., and Philip E. Tetlock. "Perceptual Dehumanization of Faces is Activated by Norm Violations and Facilitates Norm Enforcement." </w:t>
      </w:r>
      <w:r>
        <w:rPr>
          <w:rStyle w:val="Emphasis"/>
          <w:rFonts w:eastAsiaTheme="majorEastAsia"/>
        </w:rPr>
        <w:t>Journal of Experimental Psychology: General</w:t>
      </w:r>
      <w:r>
        <w:t xml:space="preserve"> 145, no. 2 (2016): 131–146.</w:t>
      </w:r>
    </w:p>
    <w:p w14:paraId="774FFCD4" w14:textId="77777777" w:rsidR="007A7D95" w:rsidRDefault="007A7D95" w:rsidP="007A7D95">
      <w:pPr>
        <w:pStyle w:val="whitespace-pre-wrap"/>
      </w:pPr>
      <w:proofErr w:type="spellStart"/>
      <w:r>
        <w:t>Fondacaro</w:t>
      </w:r>
      <w:proofErr w:type="spellEnd"/>
      <w:r>
        <w:t xml:space="preserve">, Mark R., and Megan J. O'Toole. "American Punitiveness and Mass Incarceration." </w:t>
      </w:r>
      <w:r>
        <w:rPr>
          <w:rStyle w:val="Emphasis"/>
          <w:rFonts w:eastAsiaTheme="majorEastAsia"/>
        </w:rPr>
        <w:t>New Criminal Law Review</w:t>
      </w:r>
      <w:r>
        <w:t xml:space="preserve"> 18, no. 4 (November 2015): 477–509. </w:t>
      </w:r>
      <w:hyperlink r:id="rId25" w:history="1">
        <w:r>
          <w:rPr>
            <w:rStyle w:val="Hyperlink"/>
            <w:rFonts w:eastAsiaTheme="majorEastAsia"/>
          </w:rPr>
          <w:t>https://doi.org/10.1525/nclr.2015.18.4.477</w:t>
        </w:r>
      </w:hyperlink>
      <w:r>
        <w:t>.</w:t>
      </w:r>
    </w:p>
    <w:p w14:paraId="52A34A8C" w14:textId="77777777" w:rsidR="007A7D95" w:rsidRDefault="007A7D95" w:rsidP="007A7D95">
      <w:pPr>
        <w:pStyle w:val="whitespace-pre-wrap"/>
      </w:pPr>
      <w:r>
        <w:t xml:space="preserve">Foucault, Michel. </w:t>
      </w:r>
      <w:r>
        <w:rPr>
          <w:rStyle w:val="Emphasis"/>
          <w:rFonts w:eastAsiaTheme="majorEastAsia"/>
        </w:rPr>
        <w:t>Discipline and Punish: The Birth of the Prison</w:t>
      </w:r>
      <w:r>
        <w:t>. Translated by Alan Sheridan. New York: Vintage Books, 1975.</w:t>
      </w:r>
    </w:p>
    <w:p w14:paraId="5D6FCEAD" w14:textId="77777777" w:rsidR="007A7D95" w:rsidRDefault="007A7D95" w:rsidP="007A7D95">
      <w:pPr>
        <w:pStyle w:val="whitespace-pre-wrap"/>
      </w:pPr>
      <w:r>
        <w:lastRenderedPageBreak/>
        <w:t xml:space="preserve">Gelman, Andrew, Jeffrey Fagan, and Alex Kiss. "An Analysis of the New York City Police Department's 'Stop-and-Frisk' Policy in the Context of Claims of Racial Bias." </w:t>
      </w:r>
      <w:r>
        <w:rPr>
          <w:rStyle w:val="Emphasis"/>
          <w:rFonts w:eastAsiaTheme="majorEastAsia"/>
        </w:rPr>
        <w:t>Journal of the American Statistical Association</w:t>
      </w:r>
      <w:r>
        <w:t xml:space="preserve"> 102, no. 479 (2007): 813–823. </w:t>
      </w:r>
      <w:hyperlink r:id="rId26" w:history="1">
        <w:r>
          <w:rPr>
            <w:rStyle w:val="Hyperlink"/>
            <w:rFonts w:eastAsiaTheme="majorEastAsia"/>
          </w:rPr>
          <w:t>https://doi.org/10.1198/016214506000001040</w:t>
        </w:r>
      </w:hyperlink>
      <w:r>
        <w:t>.</w:t>
      </w:r>
    </w:p>
    <w:p w14:paraId="25589951" w14:textId="77777777" w:rsidR="007A7D95" w:rsidRDefault="007A7D95" w:rsidP="007A7D95">
      <w:pPr>
        <w:pStyle w:val="whitespace-pre-wrap"/>
      </w:pPr>
      <w:r>
        <w:t>Gilliam, Franklin D., Jr. "The 'Welfare Queen' Experiment." Cambridge: Harvard University, Nieman Foundation, 1999.</w:t>
      </w:r>
    </w:p>
    <w:p w14:paraId="52FE836E" w14:textId="77777777" w:rsidR="007A7D95" w:rsidRDefault="007A7D95" w:rsidP="007A7D95">
      <w:pPr>
        <w:pStyle w:val="whitespace-pre-wrap"/>
      </w:pPr>
      <w:proofErr w:type="spellStart"/>
      <w:r>
        <w:t>Gilens</w:t>
      </w:r>
      <w:proofErr w:type="spellEnd"/>
      <w:r>
        <w:t xml:space="preserve">, Martin. "'Race Coding' and White Opposition to Welfare." </w:t>
      </w:r>
      <w:r>
        <w:rPr>
          <w:rStyle w:val="Emphasis"/>
          <w:rFonts w:eastAsiaTheme="majorEastAsia"/>
        </w:rPr>
        <w:t>American Political Science Review</w:t>
      </w:r>
      <w:r>
        <w:t xml:space="preserve"> 90, no. 3 (September 1996): 593–604. </w:t>
      </w:r>
      <w:hyperlink r:id="rId27" w:history="1">
        <w:r>
          <w:rPr>
            <w:rStyle w:val="Hyperlink"/>
            <w:rFonts w:eastAsiaTheme="majorEastAsia"/>
          </w:rPr>
          <w:t>https://doi.org/10.2307/2082611</w:t>
        </w:r>
      </w:hyperlink>
      <w:r>
        <w:t>.</w:t>
      </w:r>
    </w:p>
    <w:p w14:paraId="0904E5FC" w14:textId="77777777" w:rsidR="007A7D95" w:rsidRDefault="007A7D95" w:rsidP="007A7D95">
      <w:pPr>
        <w:pStyle w:val="whitespace-pre-wrap"/>
      </w:pPr>
      <w:proofErr w:type="spellStart"/>
      <w:r>
        <w:t>Giner-Sorolla</w:t>
      </w:r>
      <w:proofErr w:type="spellEnd"/>
      <w:r>
        <w:t xml:space="preserve">, Roger, Bernhard Leidner, and Emanuele Castano. "Dehumanization, Demonization, and Morality Shifting: Paths to Moral Certainty in Extremist Violence." In </w:t>
      </w:r>
      <w:r>
        <w:rPr>
          <w:rStyle w:val="Emphasis"/>
          <w:rFonts w:eastAsiaTheme="majorEastAsia"/>
        </w:rPr>
        <w:t>Extremism and the Psychology of Uncertainty</w:t>
      </w:r>
      <w:r>
        <w:t>, edited by Michael A. Hogg and Danielle L. Blaylock, 165–182. Wiley-Blackwell, 2012.</w:t>
      </w:r>
    </w:p>
    <w:p w14:paraId="1BF7B1EA" w14:textId="77777777" w:rsidR="007A7D95" w:rsidRDefault="007A7D95" w:rsidP="007A7D95">
      <w:pPr>
        <w:pStyle w:val="whitespace-pre-wrap"/>
      </w:pPr>
      <w:r>
        <w:t xml:space="preserve">Grove, Natalie J., and Anthony B. </w:t>
      </w:r>
      <w:proofErr w:type="spellStart"/>
      <w:r>
        <w:t>Zwi</w:t>
      </w:r>
      <w:proofErr w:type="spellEnd"/>
      <w:r>
        <w:t xml:space="preserve">. "Our Health and Theirs: Forced Migration, Othering, and Public Health." </w:t>
      </w:r>
      <w:r>
        <w:rPr>
          <w:rStyle w:val="Emphasis"/>
          <w:rFonts w:eastAsiaTheme="majorEastAsia"/>
        </w:rPr>
        <w:t>Social Science &amp; Medicine</w:t>
      </w:r>
      <w:r>
        <w:t xml:space="preserve"> 62, no. 8 (April 2006): 1931–42. </w:t>
      </w:r>
      <w:hyperlink r:id="rId28" w:history="1">
        <w:r>
          <w:rPr>
            <w:rStyle w:val="Hyperlink"/>
            <w:rFonts w:eastAsiaTheme="majorEastAsia"/>
          </w:rPr>
          <w:t>https://doi.org/10.1016/j.socscimed.2005.08.061</w:t>
        </w:r>
      </w:hyperlink>
      <w:r>
        <w:t>.</w:t>
      </w:r>
    </w:p>
    <w:p w14:paraId="08712EC9" w14:textId="77777777" w:rsidR="007A7D95" w:rsidRDefault="007A7D95" w:rsidP="007A7D95">
      <w:pPr>
        <w:pStyle w:val="whitespace-pre-wrap"/>
      </w:pPr>
      <w:r>
        <w:t xml:space="preserve">Grumbach, Jacob M. "Laboratories of Democratic Backsliding." </w:t>
      </w:r>
      <w:r>
        <w:rPr>
          <w:rStyle w:val="Emphasis"/>
          <w:rFonts w:eastAsiaTheme="majorEastAsia"/>
        </w:rPr>
        <w:t>American Political Science Review</w:t>
      </w:r>
      <w:r>
        <w:t xml:space="preserve"> 116, no. 3 (December 2022): 1-18. </w:t>
      </w:r>
      <w:hyperlink r:id="rId29" w:history="1">
        <w:r>
          <w:rPr>
            <w:rStyle w:val="Hyperlink"/>
            <w:rFonts w:eastAsiaTheme="majorEastAsia"/>
          </w:rPr>
          <w:t>https://doi.org/10.1017/S0003055422000934</w:t>
        </w:r>
      </w:hyperlink>
      <w:r>
        <w:t>.</w:t>
      </w:r>
    </w:p>
    <w:p w14:paraId="791C8126" w14:textId="77777777" w:rsidR="007A7D95" w:rsidRDefault="007A7D95" w:rsidP="007A7D95">
      <w:pPr>
        <w:pStyle w:val="whitespace-pre-wrap"/>
      </w:pPr>
      <w:r>
        <w:t xml:space="preserve">Hansen, Eric R., and Christopher J. Clark. "Diversity in Party Leadership in State Legislatures." </w:t>
      </w:r>
      <w:r>
        <w:rPr>
          <w:rStyle w:val="Emphasis"/>
          <w:rFonts w:eastAsiaTheme="majorEastAsia"/>
        </w:rPr>
        <w:t>State Politics and Policy Quarterly</w:t>
      </w:r>
      <w:r>
        <w:t xml:space="preserve"> 20, no. 1 (2020): 81-107.</w:t>
      </w:r>
    </w:p>
    <w:p w14:paraId="55938E7B" w14:textId="77777777" w:rsidR="007A7D95" w:rsidRDefault="007A7D95" w:rsidP="007A7D95">
      <w:pPr>
        <w:pStyle w:val="whitespace-pre-wrap"/>
      </w:pPr>
      <w:proofErr w:type="spellStart"/>
      <w:r>
        <w:t>Harell</w:t>
      </w:r>
      <w:proofErr w:type="spellEnd"/>
      <w:r>
        <w:t xml:space="preserve">, Allison, Stuart Soroka, and </w:t>
      </w:r>
      <w:proofErr w:type="spellStart"/>
      <w:r>
        <w:t>Shanto</w:t>
      </w:r>
      <w:proofErr w:type="spellEnd"/>
      <w:r>
        <w:t xml:space="preserve"> Iyengar. "Race, Prejudice and Attitudes toward Redistribution: A Comparative Experimental Approach." </w:t>
      </w:r>
      <w:r>
        <w:rPr>
          <w:rStyle w:val="Emphasis"/>
          <w:rFonts w:eastAsiaTheme="majorEastAsia"/>
        </w:rPr>
        <w:t>European Journal of Political Research</w:t>
      </w:r>
      <w:r>
        <w:t xml:space="preserve"> 55, no. 4 (2016): 723–44. </w:t>
      </w:r>
      <w:hyperlink r:id="rId30" w:history="1">
        <w:r>
          <w:rPr>
            <w:rStyle w:val="Hyperlink"/>
            <w:rFonts w:eastAsiaTheme="majorEastAsia"/>
          </w:rPr>
          <w:t>https://doi.org/10.1111/1475-6765.12158</w:t>
        </w:r>
      </w:hyperlink>
      <w:r>
        <w:t>.</w:t>
      </w:r>
    </w:p>
    <w:p w14:paraId="18CDF24E" w14:textId="77777777" w:rsidR="007A7D95" w:rsidRDefault="007A7D95" w:rsidP="007A7D95">
      <w:pPr>
        <w:pStyle w:val="whitespace-pre-wrap"/>
      </w:pPr>
      <w:r>
        <w:t xml:space="preserve">Harris, </w:t>
      </w:r>
      <w:proofErr w:type="spellStart"/>
      <w:r>
        <w:t>Lasana</w:t>
      </w:r>
      <w:proofErr w:type="spellEnd"/>
      <w:r>
        <w:t xml:space="preserve"> T., and Susan T. Fiske. "Dehumanizing the Lowest of the Low: Neuroimaging Responses to Extreme Out-groups." </w:t>
      </w:r>
      <w:r>
        <w:rPr>
          <w:rStyle w:val="Emphasis"/>
          <w:rFonts w:eastAsiaTheme="majorEastAsia"/>
        </w:rPr>
        <w:t>Psychological Science</w:t>
      </w:r>
      <w:r>
        <w:t xml:space="preserve"> 17, no. 10 (2006): 847–853.</w:t>
      </w:r>
    </w:p>
    <w:p w14:paraId="2FD56A36" w14:textId="77777777" w:rsidR="007A7D95" w:rsidRDefault="007A7D95" w:rsidP="007A7D95">
      <w:pPr>
        <w:pStyle w:val="whitespace-pre-wrap"/>
      </w:pPr>
      <w:r>
        <w:t xml:space="preserve">Haslam, Nick, and Paul Bain. "Humanizing the Self: Moderators of the Attribution of Lesser Humanness to Others." </w:t>
      </w:r>
      <w:r>
        <w:rPr>
          <w:rStyle w:val="Emphasis"/>
          <w:rFonts w:eastAsiaTheme="majorEastAsia"/>
        </w:rPr>
        <w:t>Personality and Social Psychology Bulletin</w:t>
      </w:r>
      <w:r>
        <w:t xml:space="preserve"> 33, no. 1 (January 2007): 57–68. </w:t>
      </w:r>
      <w:hyperlink r:id="rId31" w:history="1">
        <w:r>
          <w:rPr>
            <w:rStyle w:val="Hyperlink"/>
            <w:rFonts w:eastAsiaTheme="majorEastAsia"/>
          </w:rPr>
          <w:t>https://doi.org/10.1177/0146167206293191</w:t>
        </w:r>
      </w:hyperlink>
      <w:r>
        <w:t>.</w:t>
      </w:r>
    </w:p>
    <w:p w14:paraId="29586539" w14:textId="77777777" w:rsidR="007A7D95" w:rsidRDefault="007A7D95" w:rsidP="007A7D95">
      <w:pPr>
        <w:pStyle w:val="whitespace-pre-wrap"/>
      </w:pPr>
      <w:r>
        <w:t xml:space="preserve">Haslam, Nick, and Steve Loughnan. "Dehumanization and </w:t>
      </w:r>
      <w:proofErr w:type="spellStart"/>
      <w:r>
        <w:t>Infrahumanization</w:t>
      </w:r>
      <w:proofErr w:type="spellEnd"/>
      <w:r>
        <w:t xml:space="preserve">." </w:t>
      </w:r>
      <w:r>
        <w:rPr>
          <w:rStyle w:val="Emphasis"/>
          <w:rFonts w:eastAsiaTheme="majorEastAsia"/>
        </w:rPr>
        <w:t>Annual Review of Psychology</w:t>
      </w:r>
      <w:r>
        <w:t xml:space="preserve"> 65 (2014): 399–423.</w:t>
      </w:r>
    </w:p>
    <w:p w14:paraId="3F2FF9BF" w14:textId="77777777" w:rsidR="007A7D95" w:rsidRDefault="007A7D95" w:rsidP="007A7D95">
      <w:pPr>
        <w:pStyle w:val="whitespace-pre-wrap"/>
      </w:pPr>
      <w:r>
        <w:t xml:space="preserve">Heffner, Joseph, and Oriel </w:t>
      </w:r>
      <w:proofErr w:type="spellStart"/>
      <w:r>
        <w:t>FeldmanHall</w:t>
      </w:r>
      <w:proofErr w:type="spellEnd"/>
      <w:r>
        <w:t xml:space="preserve">. "Why We Don't Always Punish: Preferences for Non-Punitive Responses to Moral Violations." </w:t>
      </w:r>
      <w:r>
        <w:rPr>
          <w:rStyle w:val="Emphasis"/>
          <w:rFonts w:eastAsiaTheme="majorEastAsia"/>
        </w:rPr>
        <w:t>Scientific Reports</w:t>
      </w:r>
      <w:r>
        <w:t xml:space="preserve"> 9, no. 1 (September 2019): 13219. </w:t>
      </w:r>
      <w:hyperlink r:id="rId32" w:history="1">
        <w:r>
          <w:rPr>
            <w:rStyle w:val="Hyperlink"/>
            <w:rFonts w:eastAsiaTheme="majorEastAsia"/>
          </w:rPr>
          <w:t>https://doi.org/10.1038/s41598-019-49680-2</w:t>
        </w:r>
      </w:hyperlink>
      <w:r>
        <w:t>.</w:t>
      </w:r>
    </w:p>
    <w:p w14:paraId="2E8CFD83" w14:textId="77777777" w:rsidR="007A7D95" w:rsidRDefault="007A7D95" w:rsidP="007A7D95">
      <w:pPr>
        <w:pStyle w:val="whitespace-pre-wrap"/>
      </w:pPr>
      <w:r>
        <w:t xml:space="preserve">Hinton, Elizabeth. </w:t>
      </w:r>
      <w:r>
        <w:rPr>
          <w:rStyle w:val="Emphasis"/>
          <w:rFonts w:eastAsiaTheme="majorEastAsia"/>
        </w:rPr>
        <w:t>America on Fire: The Untold History of Police Violence and Black Rebellion since the 1960s</w:t>
      </w:r>
      <w:r>
        <w:t>. New York: Liveright Publishing, 2021.</w:t>
      </w:r>
    </w:p>
    <w:p w14:paraId="0D23354F" w14:textId="77777777" w:rsidR="006528A8" w:rsidRPr="006528A8" w:rsidRDefault="006528A8" w:rsidP="006528A8">
      <w:pPr>
        <w:pStyle w:val="whitespace-pre-wrap"/>
      </w:pPr>
      <w:r w:rsidRPr="006528A8">
        <w:lastRenderedPageBreak/>
        <w:t xml:space="preserve">Hinton, Elizabeth, and </w:t>
      </w:r>
      <w:proofErr w:type="spellStart"/>
      <w:r w:rsidRPr="006528A8">
        <w:t>DeAnza</w:t>
      </w:r>
      <w:proofErr w:type="spellEnd"/>
      <w:r w:rsidRPr="006528A8">
        <w:t xml:space="preserve"> Cook. “The Mass Criminalization of Black Americans: A Historical Overview.” </w:t>
      </w:r>
      <w:r w:rsidRPr="006528A8">
        <w:rPr>
          <w:i/>
          <w:iCs/>
        </w:rPr>
        <w:t>Annual Review of Criminology</w:t>
      </w:r>
      <w:r w:rsidRPr="006528A8">
        <w:t xml:space="preserve"> 4, no. 1 (January 13, 2021): 261–86. </w:t>
      </w:r>
      <w:hyperlink r:id="rId33" w:history="1">
        <w:r w:rsidRPr="006528A8">
          <w:rPr>
            <w:rStyle w:val="Hyperlink"/>
          </w:rPr>
          <w:t>https://doi.org/10.1146/annurev-criminol-060520-033306</w:t>
        </w:r>
      </w:hyperlink>
      <w:r w:rsidRPr="006528A8">
        <w:t>.</w:t>
      </w:r>
    </w:p>
    <w:p w14:paraId="27755AFD" w14:textId="77777777" w:rsidR="006528A8" w:rsidRDefault="006528A8" w:rsidP="007A7D95">
      <w:pPr>
        <w:pStyle w:val="whitespace-pre-wrap"/>
      </w:pPr>
    </w:p>
    <w:p w14:paraId="71E65E5B" w14:textId="77777777" w:rsidR="007A7D95" w:rsidRDefault="007A7D95" w:rsidP="007A7D95">
      <w:pPr>
        <w:pStyle w:val="whitespace-pre-wrap"/>
      </w:pPr>
      <w:r>
        <w:t>Israel-</w:t>
      </w:r>
      <w:proofErr w:type="spellStart"/>
      <w:r>
        <w:t>Trummel</w:t>
      </w:r>
      <w:proofErr w:type="spellEnd"/>
      <w:r>
        <w:t xml:space="preserve">, Mackenzie, and Shea Streeter. "Police Abuse or Just Deserts?" </w:t>
      </w:r>
      <w:r>
        <w:rPr>
          <w:rStyle w:val="Emphasis"/>
          <w:rFonts w:eastAsiaTheme="majorEastAsia"/>
        </w:rPr>
        <w:t>Public Opinion Quarterly</w:t>
      </w:r>
      <w:r>
        <w:t xml:space="preserve"> 86, no. S1 (August 2022): 499–522. </w:t>
      </w:r>
      <w:hyperlink r:id="rId34" w:history="1">
        <w:r>
          <w:rPr>
            <w:rStyle w:val="Hyperlink"/>
            <w:rFonts w:eastAsiaTheme="majorEastAsia"/>
          </w:rPr>
          <w:t>https://doi.org/10.1093/poq/nfac017</w:t>
        </w:r>
      </w:hyperlink>
      <w:r>
        <w:t>.</w:t>
      </w:r>
    </w:p>
    <w:p w14:paraId="2DBECC1C" w14:textId="77777777" w:rsidR="007A7D95" w:rsidRDefault="007A7D95" w:rsidP="007A7D95">
      <w:pPr>
        <w:pStyle w:val="whitespace-pre-wrap"/>
      </w:pPr>
      <w:r>
        <w:t xml:space="preserve">Jackman, Mary. </w:t>
      </w:r>
      <w:r>
        <w:rPr>
          <w:rStyle w:val="Emphasis"/>
          <w:rFonts w:eastAsiaTheme="majorEastAsia"/>
        </w:rPr>
        <w:t>The Velvet Glove: Paternalism and Conflict in Gender, Class, and Race Relations</w:t>
      </w:r>
      <w:r>
        <w:t>. Berkeley: University of California Press, 1994.</w:t>
      </w:r>
    </w:p>
    <w:p w14:paraId="0BA91C2D" w14:textId="77777777" w:rsidR="007A7D95" w:rsidRDefault="007A7D95" w:rsidP="007A7D95">
      <w:pPr>
        <w:pStyle w:val="whitespace-pre-wrap"/>
      </w:pPr>
      <w:r>
        <w:t>Jefferson, Hakeem. "Policing Norms: Punishment and the Politics of Respectability Among Black Americans." PhD diss., University of Michigan, 2019.</w:t>
      </w:r>
    </w:p>
    <w:p w14:paraId="71AAA131" w14:textId="77777777" w:rsidR="007A7D95" w:rsidRDefault="007A7D95" w:rsidP="007A7D95">
      <w:pPr>
        <w:pStyle w:val="whitespace-pre-wrap"/>
      </w:pPr>
      <w:r>
        <w:t xml:space="preserve">Jensen, Carsten, and Michael Bang Petersen. "The Deservingness Heuristic and the Politics of Health Care." </w:t>
      </w:r>
      <w:r>
        <w:rPr>
          <w:rStyle w:val="Emphasis"/>
          <w:rFonts w:eastAsiaTheme="majorEastAsia"/>
        </w:rPr>
        <w:t>American Journal of Political Science</w:t>
      </w:r>
      <w:r>
        <w:t xml:space="preserve"> 61, no. 1 (January 2017): 68–83. </w:t>
      </w:r>
      <w:hyperlink r:id="rId35" w:history="1">
        <w:r>
          <w:rPr>
            <w:rStyle w:val="Hyperlink"/>
            <w:rFonts w:eastAsiaTheme="majorEastAsia"/>
          </w:rPr>
          <w:t>https://doi.org/10.1111/ajps.12251</w:t>
        </w:r>
      </w:hyperlink>
      <w:r>
        <w:t>.</w:t>
      </w:r>
    </w:p>
    <w:p w14:paraId="39F6D381" w14:textId="77777777" w:rsidR="007A7D95" w:rsidRDefault="007A7D95" w:rsidP="007A7D95">
      <w:pPr>
        <w:pStyle w:val="whitespace-pre-wrap"/>
      </w:pPr>
      <w:r>
        <w:t xml:space="preserve">Jennings, Wesley G., Alex R. Piquero, and Jennifer M. </w:t>
      </w:r>
      <w:proofErr w:type="spellStart"/>
      <w:r>
        <w:t>Reingle</w:t>
      </w:r>
      <w:proofErr w:type="spellEnd"/>
      <w:r>
        <w:t xml:space="preserve">. "On the Overlap between Victimization and Offending: A Review of the Literature." </w:t>
      </w:r>
      <w:r>
        <w:rPr>
          <w:rStyle w:val="Emphasis"/>
          <w:rFonts w:eastAsiaTheme="majorEastAsia"/>
        </w:rPr>
        <w:t>Aggression and Violent Behavior</w:t>
      </w:r>
      <w:r>
        <w:t xml:space="preserve"> 17, no. 1 (January 2012): 16–26. </w:t>
      </w:r>
      <w:hyperlink r:id="rId36" w:history="1">
        <w:r>
          <w:rPr>
            <w:rStyle w:val="Hyperlink"/>
            <w:rFonts w:eastAsiaTheme="majorEastAsia"/>
          </w:rPr>
          <w:t>https://doi.org/10.1016/j.avb.2011.09.003</w:t>
        </w:r>
      </w:hyperlink>
      <w:r>
        <w:t>.</w:t>
      </w:r>
    </w:p>
    <w:p w14:paraId="4D1CDBB2" w14:textId="77777777" w:rsidR="007A7D95" w:rsidRDefault="007A7D95" w:rsidP="007A7D95">
      <w:pPr>
        <w:pStyle w:val="whitespace-pre-wrap"/>
      </w:pPr>
      <w:r>
        <w:t xml:space="preserve">Kahneman, Daniel. "A Perspective on Judgment and Choice: Mapping Bounded Rationality." </w:t>
      </w:r>
      <w:r>
        <w:rPr>
          <w:rStyle w:val="Emphasis"/>
          <w:rFonts w:eastAsiaTheme="majorEastAsia"/>
        </w:rPr>
        <w:t>American Psychologist</w:t>
      </w:r>
      <w:r>
        <w:t xml:space="preserve"> 58, no. 9 (2003): 697–720. </w:t>
      </w:r>
      <w:hyperlink r:id="rId37" w:history="1">
        <w:r>
          <w:rPr>
            <w:rStyle w:val="Hyperlink"/>
            <w:rFonts w:eastAsiaTheme="majorEastAsia"/>
          </w:rPr>
          <w:t>https://doi.org/10.1037/0003-066X.58.9.697</w:t>
        </w:r>
      </w:hyperlink>
      <w:r>
        <w:t>.</w:t>
      </w:r>
    </w:p>
    <w:p w14:paraId="672521B7" w14:textId="77777777" w:rsidR="007A7D95" w:rsidRDefault="007A7D95" w:rsidP="007A7D95">
      <w:pPr>
        <w:pStyle w:val="whitespace-pre-wrap"/>
      </w:pPr>
      <w:r>
        <w:t xml:space="preserve">Kahneman, Daniel. </w:t>
      </w:r>
      <w:r>
        <w:rPr>
          <w:rStyle w:val="Emphasis"/>
          <w:rFonts w:eastAsiaTheme="majorEastAsia"/>
        </w:rPr>
        <w:t>Thinking Fast and Slow</w:t>
      </w:r>
      <w:r>
        <w:t>. New York: Farrar, Straus and Giroux, 2011.</w:t>
      </w:r>
    </w:p>
    <w:p w14:paraId="168B5275" w14:textId="77777777" w:rsidR="007A7D95" w:rsidRDefault="007A7D95" w:rsidP="007A7D95">
      <w:pPr>
        <w:pStyle w:val="whitespace-pre-wrap"/>
      </w:pPr>
      <w:r>
        <w:t xml:space="preserve">Kant, Immanuel. </w:t>
      </w:r>
      <w:r>
        <w:rPr>
          <w:rStyle w:val="Emphasis"/>
          <w:rFonts w:eastAsiaTheme="majorEastAsia"/>
        </w:rPr>
        <w:t>The Science of Right</w:t>
      </w:r>
      <w:r>
        <w:t>. Translated by W. Hastie. Lawrence: Digireads.com Publishing, 2009.</w:t>
      </w:r>
    </w:p>
    <w:p w14:paraId="79E71855" w14:textId="77777777" w:rsidR="007A7D95" w:rsidRDefault="007A7D95" w:rsidP="007A7D95">
      <w:pPr>
        <w:pStyle w:val="whitespace-pre-wrap"/>
      </w:pPr>
      <w:r>
        <w:t xml:space="preserve">Kelman, Herbert C. "Violence without Moral Restraint: Reflections on the Dehumanization of Victims and Victimizers." </w:t>
      </w:r>
      <w:r>
        <w:rPr>
          <w:rStyle w:val="Emphasis"/>
          <w:rFonts w:eastAsiaTheme="majorEastAsia"/>
        </w:rPr>
        <w:t>Journal of Social Issues</w:t>
      </w:r>
      <w:r>
        <w:t xml:space="preserve"> 29, no. 4 (1973): 25-61.</w:t>
      </w:r>
    </w:p>
    <w:p w14:paraId="319D802C" w14:textId="77777777" w:rsidR="007A7D95" w:rsidRDefault="007A7D95" w:rsidP="007A7D95">
      <w:pPr>
        <w:pStyle w:val="whitespace-pre-wrap"/>
      </w:pPr>
      <w:r>
        <w:t xml:space="preserve">Khalid, </w:t>
      </w:r>
      <w:proofErr w:type="spellStart"/>
      <w:r>
        <w:t>Saera</w:t>
      </w:r>
      <w:proofErr w:type="spellEnd"/>
      <w:r>
        <w:t xml:space="preserve">, Jason C. </w:t>
      </w:r>
      <w:proofErr w:type="spellStart"/>
      <w:r>
        <w:t>Deska</w:t>
      </w:r>
      <w:proofErr w:type="spellEnd"/>
      <w:r>
        <w:t xml:space="preserve">, and Kurt </w:t>
      </w:r>
      <w:proofErr w:type="spellStart"/>
      <w:r>
        <w:t>Hugenberg</w:t>
      </w:r>
      <w:proofErr w:type="spellEnd"/>
      <w:r>
        <w:t xml:space="preserve">. "The Eyes Are the Windows to the Mind: Direct Eye Gaze Triggers the Ascription of Others' Minds." </w:t>
      </w:r>
      <w:r>
        <w:rPr>
          <w:rStyle w:val="Emphasis"/>
          <w:rFonts w:eastAsiaTheme="majorEastAsia"/>
        </w:rPr>
        <w:t>Personality and Social Psychology Bulletin</w:t>
      </w:r>
      <w:r>
        <w:t xml:space="preserve"> 42, no. 12 (2016): 1666–1677.</w:t>
      </w:r>
    </w:p>
    <w:p w14:paraId="024AE53D" w14:textId="77777777" w:rsidR="007A7D95" w:rsidRDefault="007A7D95" w:rsidP="007A7D95">
      <w:pPr>
        <w:pStyle w:val="whitespace-pre-wrap"/>
      </w:pPr>
      <w:proofErr w:type="spellStart"/>
      <w:r>
        <w:t>Kleck</w:t>
      </w:r>
      <w:proofErr w:type="spellEnd"/>
      <w:r>
        <w:t xml:space="preserve">, Gary, and Dylan B. Jackson. "Does Crime Cause Punitiveness?" </w:t>
      </w:r>
      <w:r>
        <w:rPr>
          <w:rStyle w:val="Emphasis"/>
          <w:rFonts w:eastAsiaTheme="majorEastAsia"/>
        </w:rPr>
        <w:t>Crime &amp; Delinquency</w:t>
      </w:r>
      <w:r>
        <w:t xml:space="preserve"> 63, no. 12 (2017): 1572-1599. </w:t>
      </w:r>
      <w:hyperlink r:id="rId38" w:history="1">
        <w:r>
          <w:rPr>
            <w:rStyle w:val="Hyperlink"/>
            <w:rFonts w:eastAsiaTheme="majorEastAsia"/>
          </w:rPr>
          <w:t>https://doi.org/10.1177/0011128716638503</w:t>
        </w:r>
      </w:hyperlink>
      <w:r>
        <w:t>.</w:t>
      </w:r>
    </w:p>
    <w:p w14:paraId="0E49130E" w14:textId="77777777" w:rsidR="007A7D95" w:rsidRDefault="007A7D95" w:rsidP="007A7D95">
      <w:pPr>
        <w:pStyle w:val="whitespace-pre-wrap"/>
      </w:pPr>
      <w:proofErr w:type="spellStart"/>
      <w:r>
        <w:t>Kteily</w:t>
      </w:r>
      <w:proofErr w:type="spellEnd"/>
      <w:r>
        <w:t xml:space="preserve">, Nour S., and Emile Bruneau. "Darker Demons of Our Nature: The Need to (Re)Focus Attention on Blatant Forms of Dehumanization." </w:t>
      </w:r>
      <w:r>
        <w:rPr>
          <w:rStyle w:val="Emphasis"/>
          <w:rFonts w:eastAsiaTheme="majorEastAsia"/>
        </w:rPr>
        <w:t>Current Directions in Psychological Science</w:t>
      </w:r>
      <w:r>
        <w:t xml:space="preserve"> 26, no. 6 (December 2017): 487–94. </w:t>
      </w:r>
      <w:hyperlink r:id="rId39" w:history="1">
        <w:r>
          <w:rPr>
            <w:rStyle w:val="Hyperlink"/>
            <w:rFonts w:eastAsiaTheme="majorEastAsia"/>
          </w:rPr>
          <w:t>https://doi.org/10.1177/0963721417708230</w:t>
        </w:r>
      </w:hyperlink>
      <w:r>
        <w:t>.</w:t>
      </w:r>
    </w:p>
    <w:p w14:paraId="246CB4EA" w14:textId="77777777" w:rsidR="007A7D95" w:rsidRDefault="007A7D95" w:rsidP="007A7D95">
      <w:pPr>
        <w:pStyle w:val="whitespace-pre-wrap"/>
      </w:pPr>
      <w:r>
        <w:lastRenderedPageBreak/>
        <w:t xml:space="preserve">Lee, Hedwig, Tyler Porter, and Megan Comfort. "Consequences of Family Member Incarceration." </w:t>
      </w:r>
      <w:r>
        <w:rPr>
          <w:rStyle w:val="Emphasis"/>
          <w:rFonts w:eastAsiaTheme="majorEastAsia"/>
        </w:rPr>
        <w:t>The ANNALS of the American Academy of Political and Social Science</w:t>
      </w:r>
      <w:r>
        <w:t xml:space="preserve"> 651, no. 1 (January 2014): 44-73. </w:t>
      </w:r>
      <w:hyperlink r:id="rId40" w:history="1">
        <w:r>
          <w:rPr>
            <w:rStyle w:val="Hyperlink"/>
            <w:rFonts w:eastAsiaTheme="majorEastAsia"/>
          </w:rPr>
          <w:t>https://doi.org/10.1177/0002716213502920</w:t>
        </w:r>
      </w:hyperlink>
      <w:r>
        <w:t>.</w:t>
      </w:r>
    </w:p>
    <w:p w14:paraId="796541A8" w14:textId="77777777" w:rsidR="007A7D95" w:rsidRDefault="007A7D95" w:rsidP="007A7D95">
      <w:pPr>
        <w:pStyle w:val="whitespace-pre-wrap"/>
      </w:pPr>
      <w:r>
        <w:t xml:space="preserve">Lerman, Amy E., and Jessie Harney. "Feedback Effects and the Criminal Justice Bureaucracy: Officer Attitudes and the Future of Correctional Reform." </w:t>
      </w:r>
      <w:r>
        <w:rPr>
          <w:rStyle w:val="Emphasis"/>
          <w:rFonts w:eastAsiaTheme="majorEastAsia"/>
        </w:rPr>
        <w:t>The ANNALS of the American Academy of Political and Social Science</w:t>
      </w:r>
      <w:r>
        <w:t xml:space="preserve"> 685, no. 1 (September 2019): 227–49. </w:t>
      </w:r>
      <w:hyperlink r:id="rId41" w:history="1">
        <w:r>
          <w:rPr>
            <w:rStyle w:val="Hyperlink"/>
            <w:rFonts w:eastAsiaTheme="majorEastAsia"/>
          </w:rPr>
          <w:t>https://doi.org/10.1177/0002716219869907</w:t>
        </w:r>
      </w:hyperlink>
      <w:r>
        <w:t>.</w:t>
      </w:r>
    </w:p>
    <w:p w14:paraId="3C94C344" w14:textId="77777777" w:rsidR="007A7D95" w:rsidRDefault="007A7D95" w:rsidP="007A7D95">
      <w:pPr>
        <w:pStyle w:val="whitespace-pre-wrap"/>
      </w:pPr>
      <w:r>
        <w:t xml:space="preserve">Levine, Linda J., and David A. Pizarro. "Emotional Valence, Discrete Emotions, and Memory." In </w:t>
      </w:r>
      <w:r>
        <w:rPr>
          <w:rStyle w:val="Emphasis"/>
          <w:rFonts w:eastAsiaTheme="majorEastAsia"/>
        </w:rPr>
        <w:t>Memory and Emotion: Interdisciplinary Perspectives</w:t>
      </w:r>
      <w:r>
        <w:t xml:space="preserve">, edited by Bob </w:t>
      </w:r>
      <w:proofErr w:type="spellStart"/>
      <w:r>
        <w:t>Uttl</w:t>
      </w:r>
      <w:proofErr w:type="spellEnd"/>
      <w:r>
        <w:t>, Nobuo Ohta, and Amy L. Siegenthaler, 37-58. Oxford: Blackwell Publishing, 2006.</w:t>
      </w:r>
    </w:p>
    <w:p w14:paraId="3213DDA6" w14:textId="77777777" w:rsidR="007A7D95" w:rsidRDefault="007A7D95" w:rsidP="007A7D95">
      <w:pPr>
        <w:pStyle w:val="whitespace-pre-wrap"/>
      </w:pPr>
      <w:r>
        <w:t xml:space="preserve">Levinson, Justin D. "Forgotten Racial Equality: Implicit Bias, </w:t>
      </w:r>
      <w:proofErr w:type="spellStart"/>
      <w:r>
        <w:t>Decisionmaking</w:t>
      </w:r>
      <w:proofErr w:type="spellEnd"/>
      <w:r>
        <w:t xml:space="preserve">, and Misremembering." </w:t>
      </w:r>
      <w:r>
        <w:rPr>
          <w:rStyle w:val="Emphasis"/>
          <w:rFonts w:eastAsiaTheme="majorEastAsia"/>
        </w:rPr>
        <w:t>Duke Law Journal</w:t>
      </w:r>
      <w:r>
        <w:t xml:space="preserve"> 57, no. 2 (2007): 345–424.</w:t>
      </w:r>
    </w:p>
    <w:p w14:paraId="3F2AE9E5" w14:textId="77777777" w:rsidR="007A7D95" w:rsidRDefault="007A7D95" w:rsidP="007A7D95">
      <w:pPr>
        <w:pStyle w:val="whitespace-pre-wrap"/>
      </w:pPr>
      <w:r>
        <w:t xml:space="preserve">Levinson, Justin D., </w:t>
      </w:r>
      <w:proofErr w:type="spellStart"/>
      <w:r>
        <w:t>Huajian</w:t>
      </w:r>
      <w:proofErr w:type="spellEnd"/>
      <w:r>
        <w:t xml:space="preserve"> Cai, and Danielle Young. "Guilty by Implicit Racial Bias: The Guilty/Not Guilty Implicit Association Test." </w:t>
      </w:r>
      <w:r>
        <w:rPr>
          <w:rStyle w:val="Emphasis"/>
          <w:rFonts w:eastAsiaTheme="majorEastAsia"/>
        </w:rPr>
        <w:t>Ohio State Journal of Criminal Law</w:t>
      </w:r>
      <w:r>
        <w:t xml:space="preserve"> 8, no. 1 (2010): 187–208.</w:t>
      </w:r>
    </w:p>
    <w:p w14:paraId="6C5BBFB2" w14:textId="77777777" w:rsidR="007A7D95" w:rsidRDefault="007A7D95" w:rsidP="007A7D95">
      <w:pPr>
        <w:pStyle w:val="whitespace-pre-wrap"/>
      </w:pPr>
      <w:r>
        <w:t xml:space="preserve">Levinson, Justin D., and Danielle Young. "Different Shades of Bias: Skin Tone, Implicit Racial Bias, and Judgments of Ambiguous Evidence." </w:t>
      </w:r>
      <w:r>
        <w:rPr>
          <w:rStyle w:val="Emphasis"/>
          <w:rFonts w:eastAsiaTheme="majorEastAsia"/>
        </w:rPr>
        <w:t>West Virginia Law Review</w:t>
      </w:r>
      <w:r>
        <w:t xml:space="preserve"> 112 (2010): 307-350.</w:t>
      </w:r>
    </w:p>
    <w:p w14:paraId="16D5F0C6" w14:textId="77777777" w:rsidR="007A7D95" w:rsidRDefault="007A7D95" w:rsidP="007A7D95">
      <w:pPr>
        <w:pStyle w:val="whitespace-pre-wrap"/>
      </w:pPr>
      <w:proofErr w:type="spellStart"/>
      <w:r>
        <w:t>Leyens</w:t>
      </w:r>
      <w:proofErr w:type="spellEnd"/>
      <w:r>
        <w:t xml:space="preserve">, Jacques-Philippe, Paola M. Paladino, Ramon Rodriguez-Torres, Jeroen Vaes, Stéphanie </w:t>
      </w:r>
      <w:proofErr w:type="spellStart"/>
      <w:r>
        <w:t>Demoulin</w:t>
      </w:r>
      <w:proofErr w:type="spellEnd"/>
      <w:r>
        <w:t xml:space="preserve">, Armando Rodriguez-Perez, and Ruth Gaunt. "The Emotional Side of Prejudice: The Attribution of Secondary Emotions to Ingroups and Outgroups." </w:t>
      </w:r>
      <w:r>
        <w:rPr>
          <w:rStyle w:val="Emphasis"/>
          <w:rFonts w:eastAsiaTheme="majorEastAsia"/>
        </w:rPr>
        <w:t>Personality and Social Psychology Review</w:t>
      </w:r>
      <w:r>
        <w:t xml:space="preserve"> 4, no. 2 (2000): 186–197.</w:t>
      </w:r>
    </w:p>
    <w:p w14:paraId="28829EFE" w14:textId="77777777" w:rsidR="007A7D95" w:rsidRDefault="007A7D95" w:rsidP="007A7D95">
      <w:pPr>
        <w:pStyle w:val="whitespace-pre-wrap"/>
      </w:pPr>
      <w:r>
        <w:t xml:space="preserve">Lodge, Milton, and Charles S. Taber. </w:t>
      </w:r>
      <w:r>
        <w:rPr>
          <w:rStyle w:val="Emphasis"/>
          <w:rFonts w:eastAsiaTheme="majorEastAsia"/>
        </w:rPr>
        <w:t>The Rationalizing Voter</w:t>
      </w:r>
      <w:r>
        <w:t>. Cambridge: Cambridge University Press, 2013.</w:t>
      </w:r>
    </w:p>
    <w:p w14:paraId="361A3F8E" w14:textId="77777777" w:rsidR="007A7D95" w:rsidRDefault="007A7D95" w:rsidP="007A7D95">
      <w:pPr>
        <w:pStyle w:val="whitespace-pre-wrap"/>
      </w:pPr>
      <w:r>
        <w:t xml:space="preserve">Marrow, Helen B. "Deserving to a Point: Unauthorized Immigrants in San Francisco's Universal Access Healthcare Model." </w:t>
      </w:r>
      <w:r>
        <w:rPr>
          <w:rStyle w:val="Emphasis"/>
          <w:rFonts w:eastAsiaTheme="majorEastAsia"/>
        </w:rPr>
        <w:t>Social Science &amp; Medicine</w:t>
      </w:r>
      <w:r>
        <w:t xml:space="preserve"> 74, no. 6 (2012): 846-854.</w:t>
      </w:r>
    </w:p>
    <w:p w14:paraId="2804F6CA" w14:textId="77777777" w:rsidR="007A7D95" w:rsidRDefault="007A7D95" w:rsidP="007A7D95">
      <w:pPr>
        <w:pStyle w:val="whitespace-pre-wrap"/>
      </w:pPr>
      <w:r>
        <w:t xml:space="preserve">Messina, Nena, Christine Grella, William Burdon, and Michael Prendergast. "Childhood Adverse Events and Current Traumatic Distress: A Comparison of Men and Women Drug-Dependent Prisoners." </w:t>
      </w:r>
      <w:r>
        <w:rPr>
          <w:rStyle w:val="Emphasis"/>
          <w:rFonts w:eastAsiaTheme="majorEastAsia"/>
        </w:rPr>
        <w:t>Criminal Justice and Behavior</w:t>
      </w:r>
      <w:r>
        <w:t xml:space="preserve"> 34, no. 11 (November 2007): 1385–1401. </w:t>
      </w:r>
      <w:hyperlink r:id="rId42" w:history="1">
        <w:r>
          <w:rPr>
            <w:rStyle w:val="Hyperlink"/>
            <w:rFonts w:eastAsiaTheme="majorEastAsia"/>
          </w:rPr>
          <w:t>https://doi.org/10.1177/0093854807305150</w:t>
        </w:r>
      </w:hyperlink>
      <w:r>
        <w:t>.</w:t>
      </w:r>
    </w:p>
    <w:p w14:paraId="1F71B9F7" w14:textId="77777777" w:rsidR="0078299E" w:rsidRDefault="0078299E" w:rsidP="0078299E">
      <w:pPr>
        <w:ind w:hanging="480"/>
      </w:pPr>
      <w:r>
        <w:t xml:space="preserve">Meuleman, Bart, Femke </w:t>
      </w:r>
      <w:proofErr w:type="spellStart"/>
      <w:r>
        <w:t>Roosma</w:t>
      </w:r>
      <w:proofErr w:type="spellEnd"/>
      <w:r>
        <w:t xml:space="preserve">, and Koen Abts. “Welfare Deservingness Opinions from Heuristic to Measurable Concept: The CARIN Deservingness Principles Scale.” </w:t>
      </w:r>
      <w:r>
        <w:rPr>
          <w:i/>
          <w:iCs/>
        </w:rPr>
        <w:t>Social Science Research</w:t>
      </w:r>
      <w:r>
        <w:t xml:space="preserve"> 85 (January 2020): 102352. </w:t>
      </w:r>
      <w:hyperlink r:id="rId43" w:history="1">
        <w:r>
          <w:rPr>
            <w:rStyle w:val="Hyperlink"/>
          </w:rPr>
          <w:t>https://doi.org/10.1016/j.ssresearch.2019.102352</w:t>
        </w:r>
      </w:hyperlink>
      <w:r>
        <w:t>.</w:t>
      </w:r>
    </w:p>
    <w:p w14:paraId="1CF97D31" w14:textId="77777777" w:rsidR="0078299E" w:rsidRDefault="0078299E" w:rsidP="007A7D95">
      <w:pPr>
        <w:pStyle w:val="whitespace-pre-wrap"/>
      </w:pPr>
    </w:p>
    <w:p w14:paraId="617C72CE" w14:textId="28BAAFDD" w:rsidR="007A7D95" w:rsidRDefault="007A7D95" w:rsidP="007A7D95">
      <w:pPr>
        <w:pStyle w:val="whitespace-pre-wrap"/>
      </w:pPr>
      <w:r>
        <w:lastRenderedPageBreak/>
        <w:t xml:space="preserve">Michener, Jamila. "Policy Feedback in a Racialized Polity." </w:t>
      </w:r>
      <w:r>
        <w:rPr>
          <w:rStyle w:val="Emphasis"/>
          <w:rFonts w:eastAsiaTheme="majorEastAsia"/>
        </w:rPr>
        <w:t>Policy Studies Journal</w:t>
      </w:r>
      <w:r>
        <w:t xml:space="preserve"> 47, no. 2 (May 2019): 423–50. </w:t>
      </w:r>
      <w:hyperlink r:id="rId44" w:history="1">
        <w:r>
          <w:rPr>
            <w:rStyle w:val="Hyperlink"/>
            <w:rFonts w:eastAsiaTheme="majorEastAsia"/>
          </w:rPr>
          <w:t>https://doi.org/10.1111/psj.12328</w:t>
        </w:r>
      </w:hyperlink>
      <w:r>
        <w:t>.</w:t>
      </w:r>
    </w:p>
    <w:p w14:paraId="7E4D375A" w14:textId="77777777" w:rsidR="007A7D95" w:rsidRDefault="007A7D95" w:rsidP="007A7D95">
      <w:pPr>
        <w:pStyle w:val="whitespace-pre-wrap"/>
      </w:pPr>
      <w:r>
        <w:t xml:space="preserve">Miller, Reuben Jonathan, and Amanda Alexander. "The Price of Carceral Citizenship: Punishment, Surveillance, and Social Welfare Policy in an Age of Carceral Expansion." </w:t>
      </w:r>
      <w:r>
        <w:rPr>
          <w:rStyle w:val="Emphasis"/>
          <w:rFonts w:eastAsiaTheme="majorEastAsia"/>
        </w:rPr>
        <w:t>Michigan Journal of Race &amp; Law</w:t>
      </w:r>
      <w:r>
        <w:t xml:space="preserve"> 21, no. 2 (Spring 2016): 291–314.</w:t>
      </w:r>
    </w:p>
    <w:p w14:paraId="735174D3" w14:textId="77777777" w:rsidR="007A7D95" w:rsidRDefault="007A7D95" w:rsidP="007A7D95">
      <w:pPr>
        <w:pStyle w:val="whitespace-pre-wrap"/>
      </w:pPr>
      <w:r>
        <w:t xml:space="preserve">Myers, Bryan, Dori Godwin, Rachel Latter, and Sarah Winstanley. "Victim Impact Statements and Mock Juror Sentencing." </w:t>
      </w:r>
      <w:r>
        <w:rPr>
          <w:rStyle w:val="Emphasis"/>
          <w:rFonts w:eastAsiaTheme="majorEastAsia"/>
        </w:rPr>
        <w:t>American Journal of Forensic Psychology</w:t>
      </w:r>
      <w:r>
        <w:t xml:space="preserve"> 22, no. 2 (2004): 39–55.</w:t>
      </w:r>
    </w:p>
    <w:p w14:paraId="16FBA9AE" w14:textId="77777777" w:rsidR="007A7D95" w:rsidRDefault="007A7D95" w:rsidP="007A7D95">
      <w:pPr>
        <w:pStyle w:val="whitespace-pre-wrap"/>
      </w:pPr>
      <w:proofErr w:type="spellStart"/>
      <w:r>
        <w:t>Nazione</w:t>
      </w:r>
      <w:proofErr w:type="spellEnd"/>
      <w:r>
        <w:t xml:space="preserve">, Samantha, and Kami J. Silk. "Patient Race and Perceived Illness Responsibility: Effects on Provider Helping and Bias." </w:t>
      </w:r>
      <w:r>
        <w:rPr>
          <w:rStyle w:val="Emphasis"/>
          <w:rFonts w:eastAsiaTheme="majorEastAsia"/>
        </w:rPr>
        <w:t>Medical Education</w:t>
      </w:r>
      <w:r>
        <w:t xml:space="preserve"> 47, no. 8 (2013): 780–89. </w:t>
      </w:r>
      <w:hyperlink r:id="rId45" w:history="1">
        <w:r>
          <w:rPr>
            <w:rStyle w:val="Hyperlink"/>
            <w:rFonts w:eastAsiaTheme="majorEastAsia"/>
          </w:rPr>
          <w:t>https://doi.org/10.1111/medu.12203</w:t>
        </w:r>
      </w:hyperlink>
      <w:r>
        <w:t>.</w:t>
      </w:r>
    </w:p>
    <w:p w14:paraId="4FA948C2" w14:textId="77777777" w:rsidR="007A7D95" w:rsidRDefault="007A7D95" w:rsidP="007A7D95">
      <w:pPr>
        <w:pStyle w:val="whitespace-pre-wrap"/>
      </w:pPr>
      <w:proofErr w:type="spellStart"/>
      <w:r>
        <w:t>Niederdeppe</w:t>
      </w:r>
      <w:proofErr w:type="spellEnd"/>
      <w:r>
        <w:t xml:space="preserve">, Jeff, Jiawei Liu, Mikaela Spruill, Neil A. Lewis, Steven Moore, Erika Franklin Fowler, and Sarah E. </w:t>
      </w:r>
      <w:proofErr w:type="spellStart"/>
      <w:r>
        <w:t>Gollust</w:t>
      </w:r>
      <w:proofErr w:type="spellEnd"/>
      <w:r>
        <w:t xml:space="preserve">. "Strategic Messaging to Promote Policies That Advance Racial Equity: What Do We Know, and What Do We Need to Learn?" </w:t>
      </w:r>
      <w:r>
        <w:rPr>
          <w:rStyle w:val="Emphasis"/>
          <w:rFonts w:eastAsiaTheme="majorEastAsia"/>
        </w:rPr>
        <w:t>The Milbank Quarterly</w:t>
      </w:r>
      <w:r>
        <w:t xml:space="preserve"> 101, no. 2 (June 2023): 349–425. </w:t>
      </w:r>
      <w:hyperlink r:id="rId46" w:history="1">
        <w:r>
          <w:rPr>
            <w:rStyle w:val="Hyperlink"/>
            <w:rFonts w:eastAsiaTheme="majorEastAsia"/>
          </w:rPr>
          <w:t>https://doi.org/10.1111/1468-0009.12651</w:t>
        </w:r>
      </w:hyperlink>
      <w:r>
        <w:t>.</w:t>
      </w:r>
    </w:p>
    <w:p w14:paraId="2C591E6F" w14:textId="77777777" w:rsidR="007A7D95" w:rsidRDefault="007A7D95" w:rsidP="007A7D95">
      <w:pPr>
        <w:pStyle w:val="whitespace-pre-wrap"/>
      </w:pPr>
      <w:r>
        <w:t xml:space="preserve">Niles, Andrew, and Sarah Williams. "Pushed and Pulled: How Partisanship, Policy, and Personal Experience Shape Americans' Views of the Criminal Justice System." Democracy Fund, October 19, 2023. </w:t>
      </w:r>
      <w:hyperlink r:id="rId47" w:history="1">
        <w:r>
          <w:rPr>
            <w:rStyle w:val="Hyperlink"/>
            <w:rFonts w:eastAsiaTheme="majorEastAsia"/>
          </w:rPr>
          <w:t>https://democracyfund.org/idea/pushed-and-pulled/</w:t>
        </w:r>
      </w:hyperlink>
      <w:r>
        <w:t>.</w:t>
      </w:r>
    </w:p>
    <w:p w14:paraId="71F147A3" w14:textId="77777777" w:rsidR="007A7D95" w:rsidRDefault="007A7D95" w:rsidP="007A7D95">
      <w:pPr>
        <w:pStyle w:val="whitespace-pre-wrap"/>
      </w:pPr>
      <w:r>
        <w:t xml:space="preserve">Nisbett, Richard E., and Lee Ross. </w:t>
      </w:r>
      <w:r>
        <w:rPr>
          <w:rStyle w:val="Emphasis"/>
          <w:rFonts w:eastAsiaTheme="majorEastAsia"/>
        </w:rPr>
        <w:t>Human Inference: Strategies and Shortcomings of Social Judgment</w:t>
      </w:r>
      <w:r>
        <w:t>. Englewood Cliffs, NJ: Prentice-Hall, 1980.</w:t>
      </w:r>
    </w:p>
    <w:p w14:paraId="505624B6" w14:textId="77777777" w:rsidR="007A7D95" w:rsidRDefault="007A7D95" w:rsidP="007A7D95">
      <w:pPr>
        <w:pStyle w:val="whitespace-pre-wrap"/>
      </w:pPr>
      <w:proofErr w:type="spellStart"/>
      <w:r>
        <w:t>Opotow</w:t>
      </w:r>
      <w:proofErr w:type="spellEnd"/>
      <w:r>
        <w:t xml:space="preserve">, Susan. "Moral Exclusion and Injustice: An Introduction." </w:t>
      </w:r>
      <w:r>
        <w:rPr>
          <w:rStyle w:val="Emphasis"/>
          <w:rFonts w:eastAsiaTheme="majorEastAsia"/>
        </w:rPr>
        <w:t>Journal of Social Issues</w:t>
      </w:r>
      <w:r>
        <w:t xml:space="preserve"> 46, no. 1 (1990): 1-20. </w:t>
      </w:r>
      <w:hyperlink r:id="rId48" w:history="1">
        <w:r>
          <w:rPr>
            <w:rStyle w:val="Hyperlink"/>
            <w:rFonts w:eastAsiaTheme="majorEastAsia"/>
          </w:rPr>
          <w:t>https://doi.org/10.1111/j.1540-4560.1990.tb00268.x</w:t>
        </w:r>
      </w:hyperlink>
      <w:r>
        <w:t>.</w:t>
      </w:r>
    </w:p>
    <w:p w14:paraId="13CB348F" w14:textId="77777777" w:rsidR="007A7D95" w:rsidRDefault="007A7D95" w:rsidP="007A7D95">
      <w:pPr>
        <w:pStyle w:val="whitespace-pre-wrap"/>
      </w:pPr>
      <w:r>
        <w:t xml:space="preserve">Osofsky, Michael J., Albert Bandura, and Philip G. Zimbardo. "The Role of Moral Disengagement in the Execution Process." </w:t>
      </w:r>
      <w:r>
        <w:rPr>
          <w:rStyle w:val="Emphasis"/>
          <w:rFonts w:eastAsiaTheme="majorEastAsia"/>
        </w:rPr>
        <w:t>Law and Human Behavior</w:t>
      </w:r>
      <w:r>
        <w:t xml:space="preserve"> 29, no. 4 (2005): 371–393.</w:t>
      </w:r>
    </w:p>
    <w:p w14:paraId="75AC0EA3" w14:textId="77777777" w:rsidR="007A7D95" w:rsidRDefault="007A7D95" w:rsidP="007A7D95">
      <w:pPr>
        <w:pStyle w:val="whitespace-pre-wrap"/>
      </w:pPr>
      <w:r>
        <w:t xml:space="preserve">Pacheco, Julianna. "Measuring and Evaluating Changes in State Opinion across Eight Issues." </w:t>
      </w:r>
      <w:r>
        <w:rPr>
          <w:rStyle w:val="Emphasis"/>
          <w:rFonts w:eastAsiaTheme="majorEastAsia"/>
        </w:rPr>
        <w:t>American Politics Research</w:t>
      </w:r>
      <w:r>
        <w:t xml:space="preserve"> 42, no. 6 (2014): 986–1009.</w:t>
      </w:r>
    </w:p>
    <w:p w14:paraId="64BA885C" w14:textId="77777777" w:rsidR="007A7D95" w:rsidRDefault="007A7D95" w:rsidP="007A7D95">
      <w:pPr>
        <w:pStyle w:val="whitespace-pre-wrap"/>
      </w:pPr>
      <w:r>
        <w:t>Peleg-</w:t>
      </w:r>
      <w:proofErr w:type="spellStart"/>
      <w:r>
        <w:t>Koriat</w:t>
      </w:r>
      <w:proofErr w:type="spellEnd"/>
      <w:r>
        <w:t xml:space="preserve">, Inbal, Dana </w:t>
      </w:r>
      <w:proofErr w:type="spellStart"/>
      <w:r>
        <w:t>Weimann</w:t>
      </w:r>
      <w:proofErr w:type="spellEnd"/>
      <w:r>
        <w:t xml:space="preserve">-Saks, and Eran Halperin. "The Moderating Role of Psychological Distance on the Impact of Malleability Beliefs on Public Attitudes toward Punishment." </w:t>
      </w:r>
      <w:r>
        <w:rPr>
          <w:rStyle w:val="Emphasis"/>
          <w:rFonts w:eastAsiaTheme="majorEastAsia"/>
        </w:rPr>
        <w:t>Journal of Offender Rehabilitation</w:t>
      </w:r>
      <w:r>
        <w:t xml:space="preserve"> 59, no. 7 (October 2020): 416–32. </w:t>
      </w:r>
      <w:hyperlink r:id="rId49" w:history="1">
        <w:r>
          <w:rPr>
            <w:rStyle w:val="Hyperlink"/>
            <w:rFonts w:eastAsiaTheme="majorEastAsia"/>
          </w:rPr>
          <w:t>https://doi.org/10.1080/10509674.2020.1784349</w:t>
        </w:r>
      </w:hyperlink>
      <w:r>
        <w:t>.</w:t>
      </w:r>
    </w:p>
    <w:p w14:paraId="630E2915" w14:textId="77777777" w:rsidR="007A7D95" w:rsidRDefault="007A7D95" w:rsidP="007A7D95">
      <w:pPr>
        <w:pStyle w:val="whitespace-pre-wrap"/>
      </w:pPr>
      <w:r>
        <w:t xml:space="preserve">Petersen, Michael Bang. "Social Welfare as Small-Scale Help: Evolutionary Psychology and the Deservingness Heuristic." </w:t>
      </w:r>
      <w:r>
        <w:rPr>
          <w:rStyle w:val="Emphasis"/>
          <w:rFonts w:eastAsiaTheme="majorEastAsia"/>
        </w:rPr>
        <w:t>American Journal of Political Science</w:t>
      </w:r>
      <w:r>
        <w:t xml:space="preserve"> 56, no. 1 (January 2012): 1–16. </w:t>
      </w:r>
      <w:hyperlink r:id="rId50" w:history="1">
        <w:r>
          <w:rPr>
            <w:rStyle w:val="Hyperlink"/>
            <w:rFonts w:eastAsiaTheme="majorEastAsia"/>
          </w:rPr>
          <w:t>https://doi.org/10.1111/j.1540-5907.2011.00545.x</w:t>
        </w:r>
      </w:hyperlink>
      <w:r>
        <w:t>.</w:t>
      </w:r>
    </w:p>
    <w:p w14:paraId="314AE78B" w14:textId="77777777" w:rsidR="007A7D95" w:rsidRDefault="007A7D95" w:rsidP="007A7D95">
      <w:pPr>
        <w:pStyle w:val="whitespace-pre-wrap"/>
      </w:pPr>
      <w:r>
        <w:lastRenderedPageBreak/>
        <w:t xml:space="preserve">Petersen, Michael Bang, Rune </w:t>
      </w:r>
      <w:proofErr w:type="spellStart"/>
      <w:r>
        <w:t>Slothuus</w:t>
      </w:r>
      <w:proofErr w:type="spellEnd"/>
      <w:r>
        <w:t xml:space="preserve">, Rune </w:t>
      </w:r>
      <w:proofErr w:type="spellStart"/>
      <w:r>
        <w:t>Stubager</w:t>
      </w:r>
      <w:proofErr w:type="spellEnd"/>
      <w:r>
        <w:t xml:space="preserve">, and Lise </w:t>
      </w:r>
      <w:proofErr w:type="spellStart"/>
      <w:r>
        <w:t>Togeby</w:t>
      </w:r>
      <w:proofErr w:type="spellEnd"/>
      <w:r>
        <w:t xml:space="preserve">. "Deservingness versus Values in Public Opinion on Welfare." </w:t>
      </w:r>
      <w:r>
        <w:rPr>
          <w:rStyle w:val="Emphasis"/>
          <w:rFonts w:eastAsiaTheme="majorEastAsia"/>
        </w:rPr>
        <w:t>European Journal of Political Research</w:t>
      </w:r>
      <w:r>
        <w:t xml:space="preserve"> 50, no. 1 (January 2010): 24–52. </w:t>
      </w:r>
      <w:hyperlink r:id="rId51" w:history="1">
        <w:r>
          <w:rPr>
            <w:rStyle w:val="Hyperlink"/>
            <w:rFonts w:eastAsiaTheme="majorEastAsia"/>
          </w:rPr>
          <w:t>https://doi.org/10.1111/j.1475-6765.2010.01923.x</w:t>
        </w:r>
      </w:hyperlink>
      <w:r>
        <w:t>.</w:t>
      </w:r>
    </w:p>
    <w:p w14:paraId="21A17BF7" w14:textId="77777777" w:rsidR="007A7D95" w:rsidRDefault="007A7D95" w:rsidP="007A7D95">
      <w:pPr>
        <w:pStyle w:val="whitespace-pre-wrap"/>
      </w:pPr>
      <w:r>
        <w:t xml:space="preserve">Pickett, Justin T. "Public Opinion and Criminal Justice Policy: Theory and Research." </w:t>
      </w:r>
      <w:r>
        <w:rPr>
          <w:rStyle w:val="Emphasis"/>
          <w:rFonts w:eastAsiaTheme="majorEastAsia"/>
        </w:rPr>
        <w:t>Annual Review of Criminology</w:t>
      </w:r>
      <w:r>
        <w:t xml:space="preserve"> 2, no. 1 (January 2019): 405–28. </w:t>
      </w:r>
      <w:hyperlink r:id="rId52" w:history="1">
        <w:r>
          <w:rPr>
            <w:rStyle w:val="Hyperlink"/>
            <w:rFonts w:eastAsiaTheme="majorEastAsia"/>
          </w:rPr>
          <w:t>https://doi.org/10.1146/annurev-criminol-011518-024826</w:t>
        </w:r>
      </w:hyperlink>
      <w:r>
        <w:t>.</w:t>
      </w:r>
    </w:p>
    <w:p w14:paraId="4B1D7C9C" w14:textId="77777777" w:rsidR="007A7D95" w:rsidRDefault="007A7D95" w:rsidP="007A7D95">
      <w:pPr>
        <w:pStyle w:val="whitespace-pre-wrap"/>
      </w:pPr>
      <w:r>
        <w:t xml:space="preserve">Pizarro, David A., Brian Detweiler-Bedell, and Paul Bloom. "The Creativity of Everyday Moral Reasoning: Empathy, Disgust and Moral Persuasion." In </w:t>
      </w:r>
      <w:r>
        <w:rPr>
          <w:rStyle w:val="Emphasis"/>
          <w:rFonts w:eastAsiaTheme="majorEastAsia"/>
        </w:rPr>
        <w:t>Creativity and Reason in Cognitive Development</w:t>
      </w:r>
      <w:r>
        <w:t>, edited by James C. Kaufman and John Baer, 81-98. Cambridge: Cambridge University Press, 2006.</w:t>
      </w:r>
    </w:p>
    <w:p w14:paraId="45424A42" w14:textId="77777777" w:rsidR="007A7D95" w:rsidRDefault="007A7D95" w:rsidP="007A7D95">
      <w:pPr>
        <w:pStyle w:val="whitespace-pre-wrap"/>
      </w:pPr>
      <w:proofErr w:type="spellStart"/>
      <w:r>
        <w:t>Rachlinski</w:t>
      </w:r>
      <w:proofErr w:type="spellEnd"/>
      <w:r>
        <w:t xml:space="preserve">, Jeffrey J., Sheri Lynn Johnson, Andrew J. Wistrich, and Chris Guthrie. "Does Unconscious Racial Bias Affect Trial Judges?" </w:t>
      </w:r>
      <w:r>
        <w:rPr>
          <w:rStyle w:val="Emphasis"/>
          <w:rFonts w:eastAsiaTheme="majorEastAsia"/>
        </w:rPr>
        <w:t>Notre Dame Law Review</w:t>
      </w:r>
      <w:r>
        <w:t xml:space="preserve"> 84, no. 3 (2009): 1195-1246.</w:t>
      </w:r>
    </w:p>
    <w:p w14:paraId="1B279ACC" w14:textId="77777777" w:rsidR="007A7D95" w:rsidRDefault="007A7D95" w:rsidP="007A7D95">
      <w:pPr>
        <w:pStyle w:val="whitespace-pre-wrap"/>
      </w:pPr>
      <w:r>
        <w:t xml:space="preserve">Rai, Tage S., </w:t>
      </w:r>
      <w:proofErr w:type="spellStart"/>
      <w:r>
        <w:t>Piercarlo</w:t>
      </w:r>
      <w:proofErr w:type="spellEnd"/>
      <w:r>
        <w:t xml:space="preserve"> </w:t>
      </w:r>
      <w:proofErr w:type="spellStart"/>
      <w:r>
        <w:t>Valdesolo</w:t>
      </w:r>
      <w:proofErr w:type="spellEnd"/>
      <w:r>
        <w:t xml:space="preserve">, and Jesse Graham. "Dehumanization Increases Instrumental Violence, but Not Moral Violence." </w:t>
      </w:r>
      <w:r>
        <w:rPr>
          <w:rStyle w:val="Emphasis"/>
          <w:rFonts w:eastAsiaTheme="majorEastAsia"/>
        </w:rPr>
        <w:t>Proceedings of the National Academy of Sciences</w:t>
      </w:r>
      <w:r>
        <w:t xml:space="preserve"> 114, no. 32 (2017): 8511–8516.</w:t>
      </w:r>
    </w:p>
    <w:p w14:paraId="596A4F43" w14:textId="77777777" w:rsidR="007A7D95" w:rsidRDefault="007A7D95" w:rsidP="007A7D95">
      <w:pPr>
        <w:pStyle w:val="whitespace-pre-wrap"/>
      </w:pPr>
      <w:proofErr w:type="spellStart"/>
      <w:r>
        <w:t>Rehavi</w:t>
      </w:r>
      <w:proofErr w:type="spellEnd"/>
      <w:r>
        <w:t xml:space="preserve">, M. Marit, and Sonja B. Starr. "Racial Disparity in Federal Criminal Sentences." </w:t>
      </w:r>
      <w:r>
        <w:rPr>
          <w:rStyle w:val="Emphasis"/>
          <w:rFonts w:eastAsiaTheme="majorEastAsia"/>
        </w:rPr>
        <w:t>Journal of Political Economy</w:t>
      </w:r>
      <w:r>
        <w:t xml:space="preserve"> 122, no. 6 (2014): 1320-1354.</w:t>
      </w:r>
    </w:p>
    <w:p w14:paraId="5E6F9E4C" w14:textId="77777777" w:rsidR="007A7D95" w:rsidRDefault="007A7D95" w:rsidP="007A7D95">
      <w:pPr>
        <w:pStyle w:val="whitespace-pre-wrap"/>
      </w:pPr>
      <w:proofErr w:type="spellStart"/>
      <w:r>
        <w:t>Reinka</w:t>
      </w:r>
      <w:proofErr w:type="spellEnd"/>
      <w:r>
        <w:t xml:space="preserve">, Mora A., and Colin Wayne Leach. "Race and Reaction: Divergent Views of Police Violence and Protest Against." </w:t>
      </w:r>
      <w:r>
        <w:rPr>
          <w:rStyle w:val="Emphasis"/>
          <w:rFonts w:eastAsiaTheme="majorEastAsia"/>
        </w:rPr>
        <w:t>Journal of Social Issues</w:t>
      </w:r>
      <w:r>
        <w:t xml:space="preserve"> 73, no. 4 (December 2017): 768–88. </w:t>
      </w:r>
      <w:hyperlink r:id="rId53" w:history="1">
        <w:r>
          <w:rPr>
            <w:rStyle w:val="Hyperlink"/>
            <w:rFonts w:eastAsiaTheme="majorEastAsia"/>
          </w:rPr>
          <w:t>https://doi.org/10.1111/josi.12247</w:t>
        </w:r>
      </w:hyperlink>
      <w:r>
        <w:t>.</w:t>
      </w:r>
    </w:p>
    <w:p w14:paraId="7B18A518" w14:textId="77777777" w:rsidR="007A7D95" w:rsidRDefault="007A7D95" w:rsidP="007A7D95">
      <w:pPr>
        <w:pStyle w:val="whitespace-pre-wrap"/>
      </w:pPr>
      <w:r>
        <w:t xml:space="preserve">Rozin, Paul, Jonathan Haidt, and Clark R. McCauley. "Disgust." In </w:t>
      </w:r>
      <w:r>
        <w:rPr>
          <w:rStyle w:val="Emphasis"/>
          <w:rFonts w:eastAsiaTheme="majorEastAsia"/>
        </w:rPr>
        <w:t>Handbook of Emotions</w:t>
      </w:r>
      <w:r>
        <w:t>, edited by Michael Lewis, Jeannette M. Haviland-Jones, and Lisa Feldman Barrett, 757-776. 3rd ed. New York: The Guilford Press, 2008.</w:t>
      </w:r>
    </w:p>
    <w:p w14:paraId="7B82819A" w14:textId="77777777" w:rsidR="007A7D95" w:rsidRDefault="007A7D95" w:rsidP="007A7D95">
      <w:pPr>
        <w:pStyle w:val="whitespace-pre-wrap"/>
      </w:pPr>
      <w:r>
        <w:t xml:space="preserve">Schaeffer, Katherine. "The Changing Face of Congress." Pew Research Center, February 7, 2023. </w:t>
      </w:r>
      <w:hyperlink r:id="rId54" w:history="1">
        <w:r>
          <w:rPr>
            <w:rStyle w:val="Hyperlink"/>
            <w:rFonts w:eastAsiaTheme="majorEastAsia"/>
          </w:rPr>
          <w:t>https://www.pewresearch.org/short-reads/2023/02/07/the-changing-face-of-congress/</w:t>
        </w:r>
      </w:hyperlink>
      <w:r>
        <w:t>.</w:t>
      </w:r>
    </w:p>
    <w:p w14:paraId="58B2E2C3" w14:textId="77777777" w:rsidR="007A7D95" w:rsidRDefault="007A7D95" w:rsidP="007A7D95">
      <w:pPr>
        <w:pStyle w:val="whitespace-pre-wrap"/>
      </w:pPr>
      <w:r>
        <w:t xml:space="preserve">Schneider, Anne, and Helen Ingram. "Social Construction of Target Populations: Implications for Politics and Policy." </w:t>
      </w:r>
      <w:r>
        <w:rPr>
          <w:rStyle w:val="Emphasis"/>
          <w:rFonts w:eastAsiaTheme="majorEastAsia"/>
        </w:rPr>
        <w:t>American Political Science Review</w:t>
      </w:r>
      <w:r>
        <w:t xml:space="preserve"> 87, no. 2 (June 1993): 334–47. </w:t>
      </w:r>
      <w:hyperlink r:id="rId55" w:history="1">
        <w:r>
          <w:rPr>
            <w:rStyle w:val="Hyperlink"/>
            <w:rFonts w:eastAsiaTheme="majorEastAsia"/>
          </w:rPr>
          <w:t>https://doi.org/10.2307/2939044</w:t>
        </w:r>
      </w:hyperlink>
      <w:r>
        <w:t>.</w:t>
      </w:r>
    </w:p>
    <w:p w14:paraId="61B22961" w14:textId="77777777" w:rsidR="007A7D95" w:rsidRDefault="007A7D95" w:rsidP="007A7D95">
      <w:pPr>
        <w:pStyle w:val="whitespace-pre-wrap"/>
      </w:pPr>
      <w:r>
        <w:t xml:space="preserve">Schneider, Anne L., and Helen M. Ingram. "Social Constructions, Anticipatory Feedback Strategies, and Deceptive Public Policy." </w:t>
      </w:r>
      <w:r>
        <w:rPr>
          <w:rStyle w:val="Emphasis"/>
          <w:rFonts w:eastAsiaTheme="majorEastAsia"/>
        </w:rPr>
        <w:t>Policy Studies Journal</w:t>
      </w:r>
      <w:r>
        <w:t xml:space="preserve"> 47, no. 2 (2019): 206–36.</w:t>
      </w:r>
    </w:p>
    <w:p w14:paraId="0AEA6694" w14:textId="77777777" w:rsidR="007A7D95" w:rsidRDefault="007A7D95" w:rsidP="007A7D95">
      <w:pPr>
        <w:pStyle w:val="whitespace-pre-wrap"/>
      </w:pPr>
      <w:proofErr w:type="spellStart"/>
      <w:r>
        <w:t>Schwaeble</w:t>
      </w:r>
      <w:proofErr w:type="spellEnd"/>
      <w:r>
        <w:t xml:space="preserve">, Kathryn, and Jody Sundt. "Attitudes and Public Opinion About Punishment." </w:t>
      </w:r>
      <w:r>
        <w:rPr>
          <w:rStyle w:val="Emphasis"/>
          <w:rFonts w:eastAsiaTheme="majorEastAsia"/>
        </w:rPr>
        <w:t>Oxford Research Encyclopedia of Criminology</w:t>
      </w:r>
      <w:r>
        <w:t xml:space="preserve">. Oxford University Press, January 30, 2020. </w:t>
      </w:r>
      <w:hyperlink r:id="rId56" w:history="1">
        <w:r>
          <w:rPr>
            <w:rStyle w:val="Hyperlink"/>
            <w:rFonts w:eastAsiaTheme="majorEastAsia"/>
          </w:rPr>
          <w:t>https://doi.org/10.1093/acrefore/9780190264079.013.222</w:t>
        </w:r>
      </w:hyperlink>
      <w:r>
        <w:t>.</w:t>
      </w:r>
    </w:p>
    <w:p w14:paraId="5D6DE44D" w14:textId="77777777" w:rsidR="007A7D95" w:rsidRDefault="007A7D95" w:rsidP="007A7D95">
      <w:pPr>
        <w:pStyle w:val="whitespace-pre-wrap"/>
      </w:pPr>
      <w:r>
        <w:lastRenderedPageBreak/>
        <w:t xml:space="preserve">Severance, Laurence J., and Elizabeth F. Loftus. "Improving the Ability of Jurors to Comprehend and Apply Criminal Jury Instructions." </w:t>
      </w:r>
      <w:r>
        <w:rPr>
          <w:rStyle w:val="Emphasis"/>
          <w:rFonts w:eastAsiaTheme="majorEastAsia"/>
        </w:rPr>
        <w:t>Law &amp; Society Review</w:t>
      </w:r>
      <w:r>
        <w:t xml:space="preserve"> 17, no. 1 (1982): 153-197.</w:t>
      </w:r>
    </w:p>
    <w:p w14:paraId="5BDC4213" w14:textId="77777777" w:rsidR="007A7D95" w:rsidRDefault="007A7D95" w:rsidP="007A7D95">
      <w:pPr>
        <w:pStyle w:val="whitespace-pre-wrap"/>
      </w:pPr>
      <w:r>
        <w:t xml:space="preserve">Shen, Francis X., Morris B. Hoffman, Owen D. Jones, Joshua D. Greene, and René Marois. "Sorting Guilty Minds." </w:t>
      </w:r>
      <w:r>
        <w:rPr>
          <w:rStyle w:val="Emphasis"/>
          <w:rFonts w:eastAsiaTheme="majorEastAsia"/>
        </w:rPr>
        <w:t>New York University Law Review</w:t>
      </w:r>
      <w:r>
        <w:t xml:space="preserve"> 86, no. 5 (2011): 1306-1360.</w:t>
      </w:r>
    </w:p>
    <w:p w14:paraId="2BDFC685" w14:textId="77777777" w:rsidR="007A7D95" w:rsidRDefault="007A7D95" w:rsidP="007A7D95">
      <w:pPr>
        <w:pStyle w:val="whitespace-pre-wrap"/>
      </w:pPr>
      <w:r>
        <w:t xml:space="preserve">Sides, John, Michael Tesler, and Lynn Vavreck. </w:t>
      </w:r>
      <w:r>
        <w:rPr>
          <w:rStyle w:val="Emphasis"/>
          <w:rFonts w:eastAsiaTheme="majorEastAsia"/>
        </w:rPr>
        <w:t>Identity Crisis: The 2016 Presidential Campaign and the Battle for the Meaning of America</w:t>
      </w:r>
      <w:r>
        <w:t xml:space="preserve">. Princeton: Princeton University Press, 2019. </w:t>
      </w:r>
      <w:hyperlink r:id="rId57" w:history="1">
        <w:r>
          <w:rPr>
            <w:rStyle w:val="Hyperlink"/>
            <w:rFonts w:eastAsiaTheme="majorEastAsia"/>
          </w:rPr>
          <w:t>https://doi.org/10.1515/9781400888306</w:t>
        </w:r>
      </w:hyperlink>
      <w:r>
        <w:t>.</w:t>
      </w:r>
    </w:p>
    <w:p w14:paraId="42CF9A35" w14:textId="77777777" w:rsidR="007A7D95" w:rsidRDefault="007A7D95" w:rsidP="007A7D95">
      <w:pPr>
        <w:pStyle w:val="whitespace-pre-wrap"/>
      </w:pPr>
      <w:r>
        <w:t xml:space="preserve">Simon, Jonathan. </w:t>
      </w:r>
      <w:r>
        <w:rPr>
          <w:rStyle w:val="Emphasis"/>
          <w:rFonts w:eastAsiaTheme="majorEastAsia"/>
        </w:rPr>
        <w:t>Governing Through Crime: How the War on Crime Transformed American Democracy and Created a Culture of Fear</w:t>
      </w:r>
      <w:r>
        <w:t>. New York: Oxford University Press, 2007.</w:t>
      </w:r>
    </w:p>
    <w:p w14:paraId="315BBE71" w14:textId="77777777" w:rsidR="007A7D95" w:rsidRDefault="007A7D95" w:rsidP="007A7D95">
      <w:pPr>
        <w:pStyle w:val="whitespace-pre-wrap"/>
      </w:pPr>
      <w:r>
        <w:t xml:space="preserve">Smiley, Calvin John, and David </w:t>
      </w:r>
      <w:proofErr w:type="spellStart"/>
      <w:r>
        <w:t>Fakunle</w:t>
      </w:r>
      <w:proofErr w:type="spellEnd"/>
      <w:r>
        <w:t xml:space="preserve">. "From 'Brute' to 'Thug:' The Demonization and Criminalization of Unarmed Black Male Victims in America." </w:t>
      </w:r>
      <w:r>
        <w:rPr>
          <w:rStyle w:val="Emphasis"/>
          <w:rFonts w:eastAsiaTheme="majorEastAsia"/>
        </w:rPr>
        <w:t>Journal of Human Behavior in the Social Environment</w:t>
      </w:r>
      <w:r>
        <w:t xml:space="preserve"> 26, no. 3–4 (May 2016): 350–66. </w:t>
      </w:r>
      <w:hyperlink r:id="rId58" w:history="1">
        <w:r>
          <w:rPr>
            <w:rStyle w:val="Hyperlink"/>
            <w:rFonts w:eastAsiaTheme="majorEastAsia"/>
          </w:rPr>
          <w:t>https://doi.org/10.1080/10911359.2015.1129256</w:t>
        </w:r>
      </w:hyperlink>
      <w:r>
        <w:t>.</w:t>
      </w:r>
    </w:p>
    <w:p w14:paraId="66CA882F" w14:textId="4D5964B4" w:rsidR="00CB327C" w:rsidRDefault="00CB327C" w:rsidP="0078299E">
      <w:pPr>
        <w:ind w:hanging="480"/>
      </w:pPr>
      <w:r w:rsidRPr="00CB327C">
        <w:t xml:space="preserve">Kreitzer, Rebecca J., and Candis Watts Smith. “Reproducible and Replicable: An Empirical Assessment of the Social Construction of Politically Relevant Target Groups.” </w:t>
      </w:r>
      <w:r w:rsidRPr="00CB327C">
        <w:rPr>
          <w:i/>
          <w:iCs/>
        </w:rPr>
        <w:t>PS: Political Science &amp; Politics</w:t>
      </w:r>
      <w:r w:rsidRPr="00CB327C">
        <w:t xml:space="preserve"> 51, no. 4 (October 2018): 768–74. </w:t>
      </w:r>
      <w:hyperlink r:id="rId59" w:history="1">
        <w:r w:rsidRPr="00CB327C">
          <w:rPr>
            <w:color w:val="0000FF"/>
            <w:u w:val="single"/>
          </w:rPr>
          <w:t>https://doi.org/10.1017/S1049096518000987</w:t>
        </w:r>
      </w:hyperlink>
      <w:r w:rsidRPr="00CB327C">
        <w:t>.</w:t>
      </w:r>
    </w:p>
    <w:p w14:paraId="27A5D111" w14:textId="77777777" w:rsidR="007A7D95" w:rsidRDefault="007A7D95" w:rsidP="007A7D95">
      <w:pPr>
        <w:pStyle w:val="whitespace-pre-wrap"/>
      </w:pPr>
      <w:r>
        <w:t xml:space="preserve">Smith, Candis Watts, and Rebecca J. Kreitzer. "Where Is the Party in Social Construction Theory?" </w:t>
      </w:r>
      <w:r>
        <w:rPr>
          <w:rStyle w:val="Emphasis"/>
          <w:rFonts w:eastAsiaTheme="majorEastAsia"/>
        </w:rPr>
        <w:t>The Journal of Politics</w:t>
      </w:r>
      <w:r>
        <w:t xml:space="preserve"> 86, no. 2 (2024).</w:t>
      </w:r>
    </w:p>
    <w:p w14:paraId="1F522EC0" w14:textId="77777777" w:rsidR="007A7D95" w:rsidRDefault="007A7D95" w:rsidP="007A7D95">
      <w:pPr>
        <w:pStyle w:val="whitespace-pre-wrap"/>
      </w:pPr>
      <w:proofErr w:type="spellStart"/>
      <w:r>
        <w:t>SoRelle</w:t>
      </w:r>
      <w:proofErr w:type="spellEnd"/>
      <w:r>
        <w:t xml:space="preserve">, Mallory E., and Serena Laws. "Deservingness and the Politics of Student Debt Relief." </w:t>
      </w:r>
      <w:r>
        <w:rPr>
          <w:rStyle w:val="Emphasis"/>
          <w:rFonts w:eastAsiaTheme="majorEastAsia"/>
        </w:rPr>
        <w:t>Perspectives on Politics</w:t>
      </w:r>
      <w:r>
        <w:t xml:space="preserve"> 22, no. 2 (June 2024): 372–90. </w:t>
      </w:r>
      <w:hyperlink r:id="rId60" w:history="1">
        <w:r>
          <w:rPr>
            <w:rStyle w:val="Hyperlink"/>
            <w:rFonts w:eastAsiaTheme="majorEastAsia"/>
          </w:rPr>
          <w:t>https://doi.org/10.1017/S1537592723001457</w:t>
        </w:r>
      </w:hyperlink>
      <w:r>
        <w:t>.</w:t>
      </w:r>
    </w:p>
    <w:p w14:paraId="2ED850B8" w14:textId="77777777" w:rsidR="007A7D95" w:rsidRDefault="007A7D95" w:rsidP="007A7D95">
      <w:pPr>
        <w:pStyle w:val="whitespace-pre-wrap"/>
      </w:pPr>
      <w:proofErr w:type="spellStart"/>
      <w:r>
        <w:t>Soss</w:t>
      </w:r>
      <w:proofErr w:type="spellEnd"/>
      <w:r>
        <w:t xml:space="preserve">, Joe, Richard Fording, and Sanford Schram. </w:t>
      </w:r>
      <w:r>
        <w:rPr>
          <w:rStyle w:val="Emphasis"/>
          <w:rFonts w:eastAsiaTheme="majorEastAsia"/>
        </w:rPr>
        <w:t>Disciplining the Poor</w:t>
      </w:r>
      <w:r>
        <w:t>. Chicago: University of Chicago Press, 2011.</w:t>
      </w:r>
    </w:p>
    <w:p w14:paraId="3B9D7BEF" w14:textId="77777777" w:rsidR="007A7D95" w:rsidRDefault="007A7D95" w:rsidP="007A7D95">
      <w:pPr>
        <w:pStyle w:val="whitespace-pre-wrap"/>
      </w:pPr>
      <w:proofErr w:type="spellStart"/>
      <w:r>
        <w:t>Soss</w:t>
      </w:r>
      <w:proofErr w:type="spellEnd"/>
      <w:r>
        <w:t xml:space="preserve">, Joe, and </w:t>
      </w:r>
      <w:proofErr w:type="spellStart"/>
      <w:r>
        <w:t>Vesla</w:t>
      </w:r>
      <w:proofErr w:type="spellEnd"/>
      <w:r>
        <w:t xml:space="preserve"> Weaver. "Police Are Our Government: Politics, Political Science, and the Policing of Race-Class Subjugated Communities." </w:t>
      </w:r>
      <w:r>
        <w:rPr>
          <w:rStyle w:val="Emphasis"/>
          <w:rFonts w:eastAsiaTheme="majorEastAsia"/>
        </w:rPr>
        <w:t>Annual Review of Political Science</w:t>
      </w:r>
      <w:r>
        <w:t xml:space="preserve"> 20 (2017): 565–91.</w:t>
      </w:r>
    </w:p>
    <w:p w14:paraId="23A8588B" w14:textId="77777777" w:rsidR="007A7D95" w:rsidRDefault="007A7D95" w:rsidP="007A7D95">
      <w:pPr>
        <w:pStyle w:val="whitespace-pre-wrap"/>
      </w:pPr>
      <w:r>
        <w:t xml:space="preserve">Staub, Ervin. </w:t>
      </w:r>
      <w:r>
        <w:rPr>
          <w:rStyle w:val="Emphasis"/>
          <w:rFonts w:eastAsiaTheme="majorEastAsia"/>
        </w:rPr>
        <w:t>The Roots of Evil: The Origins of Genocide and Other Group Violence</w:t>
      </w:r>
      <w:r>
        <w:t>. Cambridge: Cambridge University Press, 1989.</w:t>
      </w:r>
    </w:p>
    <w:p w14:paraId="0C59825F" w14:textId="77777777" w:rsidR="007A7D95" w:rsidRDefault="007A7D95" w:rsidP="007A7D95">
      <w:pPr>
        <w:pStyle w:val="whitespace-pre-wrap"/>
      </w:pPr>
      <w:r>
        <w:t xml:space="preserve">Sundt, Jody, Kathryn </w:t>
      </w:r>
      <w:proofErr w:type="spellStart"/>
      <w:r>
        <w:t>Schwaeble</w:t>
      </w:r>
      <w:proofErr w:type="spellEnd"/>
      <w:r>
        <w:t xml:space="preserve">, and Cullen C. Merritt. "Good Governance, Political Experiences, and Public Support for Mandatory Sentencing: Evidence from a Progressive US State." </w:t>
      </w:r>
      <w:r>
        <w:rPr>
          <w:rStyle w:val="Emphasis"/>
          <w:rFonts w:eastAsiaTheme="majorEastAsia"/>
        </w:rPr>
        <w:t>Punishment &amp; Society</w:t>
      </w:r>
      <w:r>
        <w:t xml:space="preserve"> 21, no. 2 (2019): 141-161.</w:t>
      </w:r>
    </w:p>
    <w:p w14:paraId="60EB40FD" w14:textId="77777777" w:rsidR="007A7D95" w:rsidRDefault="007A7D95" w:rsidP="007A7D95">
      <w:pPr>
        <w:pStyle w:val="whitespace-pre-wrap"/>
      </w:pPr>
      <w:r>
        <w:lastRenderedPageBreak/>
        <w:t xml:space="preserve">Tajfel, Henri, and John C. Turner. "An Integrative Theory of Intergroup Conflict." In </w:t>
      </w:r>
      <w:r>
        <w:rPr>
          <w:rStyle w:val="Emphasis"/>
          <w:rFonts w:eastAsiaTheme="majorEastAsia"/>
        </w:rPr>
        <w:t>The Social Psychology of Intergroup Relations</w:t>
      </w:r>
      <w:r>
        <w:t xml:space="preserve">, edited by William G. Austin and Stephen </w:t>
      </w:r>
      <w:proofErr w:type="spellStart"/>
      <w:r>
        <w:t>Worchel</w:t>
      </w:r>
      <w:proofErr w:type="spellEnd"/>
      <w:r>
        <w:t>, 33-47. Monterey, CA: Brooks/Cole, 1979.</w:t>
      </w:r>
    </w:p>
    <w:p w14:paraId="3C2918E1" w14:textId="77777777" w:rsidR="007A7D95" w:rsidRDefault="007A7D95" w:rsidP="007A7D95">
      <w:pPr>
        <w:pStyle w:val="whitespace-pre-wrap"/>
      </w:pPr>
      <w:r>
        <w:t>Tapp, Susannah N., and Emilie J. Coen. "Criminal Victimization, 2023." NCJ 309335. Washington, DC: Bureau of Justice Statistics, September 2024.</w:t>
      </w:r>
    </w:p>
    <w:p w14:paraId="0FAC49F5" w14:textId="77777777" w:rsidR="007A7D95" w:rsidRDefault="007A7D95" w:rsidP="007A7D95">
      <w:pPr>
        <w:pStyle w:val="whitespace-pre-wrap"/>
      </w:pPr>
      <w:proofErr w:type="spellStart"/>
      <w:r>
        <w:t>Terrizzi</w:t>
      </w:r>
      <w:proofErr w:type="spellEnd"/>
      <w:r>
        <w:t xml:space="preserve">, John A. Jr., Natalie J. Shook, and W. Larry Ventis. "Disgust: A Predictor of Social Conservatism and Prejudicial Attitudes toward Homosexuals." </w:t>
      </w:r>
      <w:r>
        <w:rPr>
          <w:rStyle w:val="Emphasis"/>
          <w:rFonts w:eastAsiaTheme="majorEastAsia"/>
        </w:rPr>
        <w:t>Personality and Individual Differences</w:t>
      </w:r>
      <w:r>
        <w:t xml:space="preserve"> 49, no. 6 (2010): 587–592.</w:t>
      </w:r>
    </w:p>
    <w:p w14:paraId="5F9DE3CA" w14:textId="77777777" w:rsidR="007A7D95" w:rsidRDefault="007A7D95" w:rsidP="007A7D95">
      <w:pPr>
        <w:pStyle w:val="whitespace-pre-wrap"/>
      </w:pPr>
      <w:proofErr w:type="spellStart"/>
      <w:r>
        <w:t>Thielo</w:t>
      </w:r>
      <w:proofErr w:type="spellEnd"/>
      <w:r>
        <w:t xml:space="preserve">, Angela J., Francis T. Cullen, Derek M. Cohen, and Cecilia </w:t>
      </w:r>
      <w:proofErr w:type="spellStart"/>
      <w:r>
        <w:t>Chouhy</w:t>
      </w:r>
      <w:proofErr w:type="spellEnd"/>
      <w:r>
        <w:t xml:space="preserve">. "Rehabilitation in a Red State." </w:t>
      </w:r>
      <w:r>
        <w:rPr>
          <w:rStyle w:val="Emphasis"/>
          <w:rFonts w:eastAsiaTheme="majorEastAsia"/>
        </w:rPr>
        <w:t>Criminology &amp; Public Policy</w:t>
      </w:r>
      <w:r>
        <w:t xml:space="preserve"> 15, no. 1 (2016): 137-170.</w:t>
      </w:r>
    </w:p>
    <w:p w14:paraId="4738A788" w14:textId="77777777" w:rsidR="007A7D95" w:rsidRDefault="007A7D95" w:rsidP="007A7D95">
      <w:pPr>
        <w:pStyle w:val="whitespace-pre-wrap"/>
      </w:pPr>
      <w:r>
        <w:t>Thompson-</w:t>
      </w:r>
      <w:proofErr w:type="spellStart"/>
      <w:r>
        <w:t>Cannino</w:t>
      </w:r>
      <w:proofErr w:type="spellEnd"/>
      <w:r>
        <w:t xml:space="preserve">, Jennifer, Ronald Cotton, and Erin </w:t>
      </w:r>
      <w:proofErr w:type="spellStart"/>
      <w:r>
        <w:t>Torneo</w:t>
      </w:r>
      <w:proofErr w:type="spellEnd"/>
      <w:r>
        <w:t xml:space="preserve">. </w:t>
      </w:r>
      <w:r>
        <w:rPr>
          <w:rStyle w:val="Emphasis"/>
          <w:rFonts w:eastAsiaTheme="majorEastAsia"/>
        </w:rPr>
        <w:t>Picking Cotton: Our Memoir of Injustice and Redemption</w:t>
      </w:r>
      <w:r>
        <w:t>. New York: St. Martin's Press, 2009.</w:t>
      </w:r>
    </w:p>
    <w:p w14:paraId="0C1D8992" w14:textId="102C1ED7" w:rsidR="006528A8" w:rsidRDefault="006528A8" w:rsidP="007A7D95">
      <w:pPr>
        <w:pStyle w:val="whitespace-pre-wrap"/>
      </w:pPr>
      <w:proofErr w:type="spellStart"/>
      <w:r w:rsidRPr="006528A8">
        <w:t>Uggen</w:t>
      </w:r>
      <w:proofErr w:type="spellEnd"/>
      <w:r w:rsidRPr="006528A8">
        <w:t xml:space="preserve">, </w:t>
      </w:r>
      <w:r>
        <w:t xml:space="preserve">Christopher, </w:t>
      </w:r>
      <w:r w:rsidRPr="006528A8">
        <w:t xml:space="preserve">Ryan Larson, Sarah Shannon, Robert Stewart, and Molly </w:t>
      </w:r>
      <w:proofErr w:type="spellStart"/>
      <w:r w:rsidRPr="006528A8">
        <w:t>Hauf</w:t>
      </w:r>
      <w:proofErr w:type="spellEnd"/>
      <w:r w:rsidRPr="006528A8">
        <w:t xml:space="preserve">. 2024. </w:t>
      </w:r>
      <w:r w:rsidRPr="006528A8">
        <w:rPr>
          <w:i/>
          <w:iCs/>
        </w:rPr>
        <w:t>Locked Out 2024: Four Million Denied Voting Rights Due to a Felony Conviction</w:t>
      </w:r>
      <w:r w:rsidRPr="006528A8">
        <w:t xml:space="preserve">. The Sentencing Project. </w:t>
      </w:r>
      <w:hyperlink r:id="rId61" w:history="1">
        <w:r w:rsidRPr="003502A8">
          <w:rPr>
            <w:rStyle w:val="Hyperlink"/>
          </w:rPr>
          <w:t>https://www.sentencingproject.org/reports/locked-out-2024-four-million-denied-voting-rights-due-to-a-felony-conviction/</w:t>
        </w:r>
      </w:hyperlink>
    </w:p>
    <w:p w14:paraId="637FDC81" w14:textId="77777777" w:rsidR="007A7D95" w:rsidRDefault="007A7D95" w:rsidP="007A7D95">
      <w:pPr>
        <w:pStyle w:val="whitespace-pre-wrap"/>
      </w:pPr>
      <w:proofErr w:type="spellStart"/>
      <w:r>
        <w:t>Uggen</w:t>
      </w:r>
      <w:proofErr w:type="spellEnd"/>
      <w:r>
        <w:t xml:space="preserve">, Christopher, and Jeff </w:t>
      </w:r>
      <w:proofErr w:type="spellStart"/>
      <w:r>
        <w:t>Manza</w:t>
      </w:r>
      <w:proofErr w:type="spellEnd"/>
      <w:r>
        <w:t xml:space="preserve">. </w:t>
      </w:r>
      <w:r>
        <w:rPr>
          <w:rStyle w:val="Emphasis"/>
          <w:rFonts w:eastAsiaTheme="majorEastAsia"/>
        </w:rPr>
        <w:t>Locked Out: Felon Disenfranchisement and American Democracy</w:t>
      </w:r>
      <w:r>
        <w:t>. Oxford: Oxford University Press, 2006.</w:t>
      </w:r>
    </w:p>
    <w:p w14:paraId="3B3B215F" w14:textId="77777777" w:rsidR="007A7D95" w:rsidRDefault="007A7D95" w:rsidP="007A7D95">
      <w:pPr>
        <w:pStyle w:val="whitespace-pre-wrap"/>
      </w:pPr>
      <w:proofErr w:type="spellStart"/>
      <w:r>
        <w:t>Unnever</w:t>
      </w:r>
      <w:proofErr w:type="spellEnd"/>
      <w:r>
        <w:t xml:space="preserve">, James D., and Francis T. Cullen. "The Social Sources of Americans' Punitiveness: A Test of Three Competing Models." </w:t>
      </w:r>
      <w:r>
        <w:rPr>
          <w:rStyle w:val="Emphasis"/>
          <w:rFonts w:eastAsiaTheme="majorEastAsia"/>
        </w:rPr>
        <w:t>Criminology</w:t>
      </w:r>
      <w:r>
        <w:t xml:space="preserve"> 48, no. 1 (February 2010): 99–129. </w:t>
      </w:r>
      <w:hyperlink r:id="rId62" w:history="1">
        <w:r>
          <w:rPr>
            <w:rStyle w:val="Hyperlink"/>
            <w:rFonts w:eastAsiaTheme="majorEastAsia"/>
          </w:rPr>
          <w:t>https://doi.org/10.1111/j.1745-9125.2010.00181.x</w:t>
        </w:r>
      </w:hyperlink>
      <w:r>
        <w:t>.</w:t>
      </w:r>
    </w:p>
    <w:p w14:paraId="667C118D" w14:textId="77777777" w:rsidR="007A7D95" w:rsidRDefault="007A7D95" w:rsidP="007A7D95">
      <w:pPr>
        <w:pStyle w:val="whitespace-pre-wrap"/>
      </w:pPr>
      <w:r>
        <w:t xml:space="preserve">Vaes, Jeroen, Jacques-Philippe </w:t>
      </w:r>
      <w:proofErr w:type="spellStart"/>
      <w:r>
        <w:t>Leyens</w:t>
      </w:r>
      <w:proofErr w:type="spellEnd"/>
      <w:r>
        <w:t xml:space="preserve">, Maria Paola Paladino, and Mariana Pires Miranda. "We Are Human, They Are Not: Driving Forces Behind Outgroup </w:t>
      </w:r>
      <w:proofErr w:type="spellStart"/>
      <w:r>
        <w:t>Dehumanisation</w:t>
      </w:r>
      <w:proofErr w:type="spellEnd"/>
      <w:r>
        <w:t xml:space="preserve"> and the </w:t>
      </w:r>
      <w:proofErr w:type="spellStart"/>
      <w:r>
        <w:t>Humanisation</w:t>
      </w:r>
      <w:proofErr w:type="spellEnd"/>
      <w:r>
        <w:t xml:space="preserve"> of the Ingroup." </w:t>
      </w:r>
      <w:r>
        <w:rPr>
          <w:rStyle w:val="Emphasis"/>
          <w:rFonts w:eastAsiaTheme="majorEastAsia"/>
        </w:rPr>
        <w:t>European Review of Social Psychology</w:t>
      </w:r>
      <w:r>
        <w:t xml:space="preserve"> 23, no. 1 (2012): 64–106.</w:t>
      </w:r>
    </w:p>
    <w:p w14:paraId="40BA3879" w14:textId="77777777" w:rsidR="007A7D95" w:rsidRDefault="007A7D95" w:rsidP="007A7D95">
      <w:pPr>
        <w:pStyle w:val="whitespace-pre-wrap"/>
      </w:pPr>
      <w:r>
        <w:t xml:space="preserve">van Oorschot, Wim. "Who Should Get What, and Why? On Deservingness Criteria and the Conditionality of Solidarity among the Public." </w:t>
      </w:r>
      <w:r>
        <w:rPr>
          <w:rStyle w:val="Emphasis"/>
          <w:rFonts w:eastAsiaTheme="majorEastAsia"/>
        </w:rPr>
        <w:t>Policy &amp; Politics</w:t>
      </w:r>
      <w:r>
        <w:t xml:space="preserve"> 28, no. 1 (January 2000): 33–48. </w:t>
      </w:r>
      <w:hyperlink r:id="rId63" w:history="1">
        <w:r>
          <w:rPr>
            <w:rStyle w:val="Hyperlink"/>
            <w:rFonts w:eastAsiaTheme="majorEastAsia"/>
          </w:rPr>
          <w:t>https://doi.org/10.1332/0305573002500811</w:t>
        </w:r>
      </w:hyperlink>
      <w:r>
        <w:t>.</w:t>
      </w:r>
    </w:p>
    <w:p w14:paraId="3B1711B3" w14:textId="07A7D9C1" w:rsidR="00CB327C" w:rsidRDefault="00CB327C" w:rsidP="0078299E">
      <w:pPr>
        <w:ind w:hanging="480"/>
      </w:pPr>
      <w:r>
        <w:t xml:space="preserve">Oorschot, Wim van. “Making the Difference in Social Europe: Deservingness Perceptions among Citizens of European Welfare States.” </w:t>
      </w:r>
      <w:r>
        <w:rPr>
          <w:i/>
          <w:iCs/>
        </w:rPr>
        <w:t>Journal of European Social Policy</w:t>
      </w:r>
      <w:r>
        <w:t xml:space="preserve"> 16, no. 1 (February 1, 2006): 23–42. </w:t>
      </w:r>
      <w:hyperlink r:id="rId64" w:history="1">
        <w:r>
          <w:rPr>
            <w:rStyle w:val="Hyperlink"/>
          </w:rPr>
          <w:t>https://doi.org/10.1177/0958928706059829</w:t>
        </w:r>
      </w:hyperlink>
      <w:r>
        <w:t>.</w:t>
      </w:r>
    </w:p>
    <w:p w14:paraId="4315432A" w14:textId="77777777" w:rsidR="007A7D95" w:rsidRDefault="007A7D95" w:rsidP="007A7D95">
      <w:pPr>
        <w:pStyle w:val="whitespace-pre-wrap"/>
      </w:pPr>
      <w:r>
        <w:t xml:space="preserve">Vasiljevic, Milica, and G. Tendayi Viki. "Dehumanization, Moral Disengagement, and Public Attitudes to Crime and Punishment." In </w:t>
      </w:r>
      <w:r>
        <w:rPr>
          <w:rStyle w:val="Emphasis"/>
          <w:rFonts w:eastAsiaTheme="majorEastAsia"/>
        </w:rPr>
        <w:t>Humanness and Dehumanization</w:t>
      </w:r>
      <w:r>
        <w:t xml:space="preserve">, edited by Paul G. Bain, Jeroen Vaes, and Jacques-Philippe </w:t>
      </w:r>
      <w:proofErr w:type="spellStart"/>
      <w:r>
        <w:t>Leyens</w:t>
      </w:r>
      <w:proofErr w:type="spellEnd"/>
      <w:r>
        <w:t>, 129–146. New York: Psychology Press, 2014.</w:t>
      </w:r>
    </w:p>
    <w:p w14:paraId="21BE677E" w14:textId="77777777" w:rsidR="007A7D95" w:rsidRDefault="007A7D95" w:rsidP="007A7D95">
      <w:pPr>
        <w:pStyle w:val="whitespace-pre-wrap"/>
      </w:pPr>
      <w:r>
        <w:lastRenderedPageBreak/>
        <w:t xml:space="preserve">Viki, G. Tendayi, Iona Fullerton, Hannah Raggett, Fiona Tait, and Suzanne Wiltshire. "The Role of Dehumanization in Attitudes toward the Social Exclusion and Rehabilitation of Sex Offenders." </w:t>
      </w:r>
      <w:r>
        <w:rPr>
          <w:rStyle w:val="Emphasis"/>
          <w:rFonts w:eastAsiaTheme="majorEastAsia"/>
        </w:rPr>
        <w:t>Journal of Applied Social Psychology</w:t>
      </w:r>
      <w:r>
        <w:t xml:space="preserve"> 42, no. 10 (2012): 2349–2367.</w:t>
      </w:r>
    </w:p>
    <w:p w14:paraId="20952052" w14:textId="77777777" w:rsidR="007A7D95" w:rsidRDefault="007A7D95" w:rsidP="007A7D95">
      <w:pPr>
        <w:pStyle w:val="whitespace-pre-wrap"/>
      </w:pPr>
      <w:r>
        <w:t xml:space="preserve">Viki, G. Tendayi, Daniel Osgood, and Sabine Phillips. "Dehumanization and Self-Reported Proclivity to Torture Prisoners of War." </w:t>
      </w:r>
      <w:r>
        <w:rPr>
          <w:rStyle w:val="Emphasis"/>
          <w:rFonts w:eastAsiaTheme="majorEastAsia"/>
        </w:rPr>
        <w:t>Journal of Experimental Social Psychology</w:t>
      </w:r>
      <w:r>
        <w:t xml:space="preserve"> 49, no. 3 (2013): 325–328.</w:t>
      </w:r>
    </w:p>
    <w:p w14:paraId="1405B193" w14:textId="77777777" w:rsidR="007A7D95" w:rsidRDefault="007A7D95" w:rsidP="007A7D95">
      <w:pPr>
        <w:pStyle w:val="whitespace-pre-wrap"/>
      </w:pPr>
      <w:r>
        <w:t xml:space="preserve">Wacquant, </w:t>
      </w:r>
      <w:proofErr w:type="spellStart"/>
      <w:r>
        <w:t>Loïc</w:t>
      </w:r>
      <w:proofErr w:type="spellEnd"/>
      <w:r>
        <w:t xml:space="preserve">. </w:t>
      </w:r>
      <w:r>
        <w:rPr>
          <w:rStyle w:val="Emphasis"/>
          <w:rFonts w:eastAsiaTheme="majorEastAsia"/>
        </w:rPr>
        <w:t>Punishing the Poor: The Neoliberal Government of Social Insecurity</w:t>
      </w:r>
      <w:r>
        <w:t>. Durham: Duke University Press, 2009.</w:t>
      </w:r>
    </w:p>
    <w:p w14:paraId="388BA081" w14:textId="766DB878" w:rsidR="00CB327C" w:rsidRPr="00CB327C" w:rsidRDefault="00CB327C" w:rsidP="007A7D95">
      <w:pPr>
        <w:pStyle w:val="whitespace-pre-wrap"/>
      </w:pPr>
      <w:r>
        <w:t xml:space="preserve">Wacquant, </w:t>
      </w:r>
      <w:proofErr w:type="spellStart"/>
      <w:r>
        <w:t>Loïc</w:t>
      </w:r>
      <w:proofErr w:type="spellEnd"/>
      <w:r>
        <w:t xml:space="preserve">/ “Crafting the Neoliberal State: Workfare, </w:t>
      </w:r>
      <w:proofErr w:type="spellStart"/>
      <w:r>
        <w:t>Prisonfare</w:t>
      </w:r>
      <w:proofErr w:type="spellEnd"/>
      <w:r>
        <w:t xml:space="preserve">, and Social Insecurity.” </w:t>
      </w:r>
      <w:r>
        <w:rPr>
          <w:i/>
          <w:iCs/>
        </w:rPr>
        <w:t>Sociological Forum</w:t>
      </w:r>
      <w:r>
        <w:t xml:space="preserve"> 25 (2): 197-220.</w:t>
      </w:r>
    </w:p>
    <w:p w14:paraId="721574FE" w14:textId="04DCB492" w:rsidR="00CD6ACC" w:rsidRDefault="00CD6ACC" w:rsidP="007A7D95">
      <w:pPr>
        <w:pStyle w:val="whitespace-pre-wrap"/>
      </w:pPr>
      <w:r>
        <w:t xml:space="preserve">Wang, Tova, and Aaron Rosewood. </w:t>
      </w:r>
      <w:r>
        <w:rPr>
          <w:i/>
          <w:iCs/>
        </w:rPr>
        <w:t>Laws That Govern Jail-Based Voting: A 50-State Legal Review</w:t>
      </w:r>
      <w:r>
        <w:t xml:space="preserve">. Ash Center for Democratic Governance and Innovation, 2024. </w:t>
      </w:r>
      <w:hyperlink r:id="rId65" w:history="1">
        <w:r w:rsidRPr="003502A8">
          <w:rPr>
            <w:rStyle w:val="Hyperlink"/>
          </w:rPr>
          <w:t>https://ash.harvard.edu/wp-content/uploads/2024/06/Laws-That-Govern-Jail-Based-Voting.pdf</w:t>
        </w:r>
      </w:hyperlink>
    </w:p>
    <w:p w14:paraId="1E25E5E8" w14:textId="77777777" w:rsidR="00CB327C" w:rsidRPr="00CB327C" w:rsidRDefault="00CB327C" w:rsidP="00CB327C">
      <w:pPr>
        <w:ind w:hanging="480"/>
      </w:pPr>
      <w:r w:rsidRPr="00CB327C">
        <w:t xml:space="preserve">Weaver, </w:t>
      </w:r>
      <w:proofErr w:type="spellStart"/>
      <w:r w:rsidRPr="00CB327C">
        <w:t>Vesla</w:t>
      </w:r>
      <w:proofErr w:type="spellEnd"/>
      <w:r w:rsidRPr="00CB327C">
        <w:t xml:space="preserve"> M., and Amy E. Lerman. “Political Consequences of the Carceral State.” </w:t>
      </w:r>
      <w:r w:rsidRPr="00CB327C">
        <w:rPr>
          <w:i/>
          <w:iCs/>
        </w:rPr>
        <w:t>American Political Science Review</w:t>
      </w:r>
      <w:r w:rsidRPr="00CB327C">
        <w:t xml:space="preserve"> 104, no. 4 (November 2010): 817–33. </w:t>
      </w:r>
      <w:hyperlink r:id="rId66" w:history="1">
        <w:r w:rsidRPr="00CB327C">
          <w:rPr>
            <w:color w:val="0000FF"/>
            <w:u w:val="single"/>
          </w:rPr>
          <w:t>https://doi.org/10.1017/S0003055410000456</w:t>
        </w:r>
      </w:hyperlink>
      <w:r w:rsidRPr="00CB327C">
        <w:t>.</w:t>
      </w:r>
    </w:p>
    <w:p w14:paraId="181AEBFC" w14:textId="77777777" w:rsidR="00CB327C" w:rsidRDefault="00CB327C" w:rsidP="007A7D95">
      <w:pPr>
        <w:pStyle w:val="whitespace-pre-wrap"/>
      </w:pPr>
    </w:p>
    <w:p w14:paraId="397A0854" w14:textId="082F429B" w:rsidR="007A7D95" w:rsidRDefault="007A7D95" w:rsidP="007A7D95">
      <w:pPr>
        <w:pStyle w:val="whitespace-pre-wrap"/>
      </w:pPr>
      <w:r>
        <w:t xml:space="preserve">White, Ariel R., Noah L. Nathan, and Julie K. Faller. "What Do I Need to Vote? Bureaucratic Discretion and Discrimination by Local Election Officials." </w:t>
      </w:r>
      <w:r>
        <w:rPr>
          <w:rStyle w:val="Emphasis"/>
          <w:rFonts w:eastAsiaTheme="majorEastAsia"/>
        </w:rPr>
        <w:t>American Political Science Review</w:t>
      </w:r>
      <w:r>
        <w:t xml:space="preserve"> 109, no. 1 (February 2015): 129–42. </w:t>
      </w:r>
      <w:hyperlink r:id="rId67" w:history="1">
        <w:r>
          <w:rPr>
            <w:rStyle w:val="Hyperlink"/>
            <w:rFonts w:eastAsiaTheme="majorEastAsia"/>
          </w:rPr>
          <w:t>https://doi.org/10.1017/S0003055414000562</w:t>
        </w:r>
      </w:hyperlink>
      <w:r>
        <w:t>.</w:t>
      </w:r>
    </w:p>
    <w:p w14:paraId="199E53A3" w14:textId="77777777" w:rsidR="007A7D95" w:rsidRDefault="007A7D95" w:rsidP="007A7D95">
      <w:pPr>
        <w:pStyle w:val="whitespace-pre-wrap"/>
      </w:pPr>
      <w:r>
        <w:t xml:space="preserve">Willen, Sarah S. "How Is Health-Related 'Deservingness' Reckoned? Perspectives from Unauthorized </w:t>
      </w:r>
      <w:proofErr w:type="spellStart"/>
      <w:r>
        <w:t>Im</w:t>
      </w:r>
      <w:proofErr w:type="spellEnd"/>
      <w:r>
        <w:t xml:space="preserve">/Migrants in Tel Aviv." </w:t>
      </w:r>
      <w:r>
        <w:rPr>
          <w:rStyle w:val="Emphasis"/>
          <w:rFonts w:eastAsiaTheme="majorEastAsia"/>
        </w:rPr>
        <w:t>Social Science &amp; Medicine</w:t>
      </w:r>
      <w:r>
        <w:t xml:space="preserve"> 74, no. 6 (March 2012): 812–21. </w:t>
      </w:r>
      <w:hyperlink r:id="rId68" w:history="1">
        <w:r>
          <w:rPr>
            <w:rStyle w:val="Hyperlink"/>
            <w:rFonts w:eastAsiaTheme="majorEastAsia"/>
          </w:rPr>
          <w:t>https://doi.org/10.1016/j.socscimed.2011.06.033</w:t>
        </w:r>
      </w:hyperlink>
      <w:r>
        <w:t>.</w:t>
      </w:r>
    </w:p>
    <w:p w14:paraId="69FB54E0" w14:textId="77777777" w:rsidR="007A7D95" w:rsidRDefault="007A7D95" w:rsidP="007A7D95">
      <w:pPr>
        <w:pStyle w:val="whitespace-pre-wrap"/>
      </w:pPr>
      <w:r>
        <w:t xml:space="preserve">Wolff, Nancy, and Jing Shi. "Contextualization of Physical and Sexual Assault in Male Prisons: Incidents and Their Aftermath." </w:t>
      </w:r>
      <w:r>
        <w:rPr>
          <w:rStyle w:val="Emphasis"/>
          <w:rFonts w:eastAsiaTheme="majorEastAsia"/>
        </w:rPr>
        <w:t>Journal of Correctional Health Care</w:t>
      </w:r>
      <w:r>
        <w:t xml:space="preserve"> 15, no. 1 (January 2009): 58–77. </w:t>
      </w:r>
      <w:hyperlink r:id="rId69" w:history="1">
        <w:r>
          <w:rPr>
            <w:rStyle w:val="Hyperlink"/>
            <w:rFonts w:eastAsiaTheme="majorEastAsia"/>
          </w:rPr>
          <w:t>https://doi.org/10.1177/1078345808326622</w:t>
        </w:r>
      </w:hyperlink>
      <w:r>
        <w:t>.</w:t>
      </w:r>
    </w:p>
    <w:p w14:paraId="69F40C36" w14:textId="77777777" w:rsidR="007A7D95" w:rsidRDefault="007A7D95" w:rsidP="007A7D95">
      <w:pPr>
        <w:pStyle w:val="whitespace-pre-wrap"/>
      </w:pPr>
      <w:r>
        <w:t xml:space="preserve">Wolff, Nancy, Jing Shi, and Jane Siegel. "Understanding Physical Victimization Inside Prisons: Factors That Predict Risk." </w:t>
      </w:r>
      <w:r>
        <w:rPr>
          <w:rStyle w:val="Emphasis"/>
          <w:rFonts w:eastAsiaTheme="majorEastAsia"/>
        </w:rPr>
        <w:t>Justice Quarterly</w:t>
      </w:r>
      <w:r>
        <w:t xml:space="preserve"> 26, no. 3 (September 2009): 445–75. </w:t>
      </w:r>
      <w:hyperlink r:id="rId70" w:history="1">
        <w:r>
          <w:rPr>
            <w:rStyle w:val="Hyperlink"/>
            <w:rFonts w:eastAsiaTheme="majorEastAsia"/>
          </w:rPr>
          <w:t>https://doi.org/10.1080/07418820802427858</w:t>
        </w:r>
      </w:hyperlink>
      <w:r>
        <w:t>.</w:t>
      </w:r>
    </w:p>
    <w:p w14:paraId="5285509A" w14:textId="77777777" w:rsidR="007A7D95" w:rsidRDefault="007A7D95" w:rsidP="007A7D95">
      <w:pPr>
        <w:pStyle w:val="whitespace-pre-wrap"/>
      </w:pPr>
      <w:proofErr w:type="spellStart"/>
      <w:r>
        <w:t>Zebel</w:t>
      </w:r>
      <w:proofErr w:type="spellEnd"/>
      <w:r>
        <w:t xml:space="preserve">, Sven, Anja Zimmermann, G. Tendayi Viki, and </w:t>
      </w:r>
      <w:proofErr w:type="spellStart"/>
      <w:r>
        <w:t>Bertjan</w:t>
      </w:r>
      <w:proofErr w:type="spellEnd"/>
      <w:r>
        <w:t xml:space="preserve"> </w:t>
      </w:r>
      <w:proofErr w:type="spellStart"/>
      <w:r>
        <w:t>Doosje</w:t>
      </w:r>
      <w:proofErr w:type="spellEnd"/>
      <w:r>
        <w:t xml:space="preserve">. "Dehumanization and Guilt as Distinct but Related Predictors of Support for Reparation Policies." </w:t>
      </w:r>
      <w:r>
        <w:rPr>
          <w:rStyle w:val="Emphasis"/>
          <w:rFonts w:eastAsiaTheme="majorEastAsia"/>
        </w:rPr>
        <w:t>Political Psychology</w:t>
      </w:r>
      <w:r>
        <w:t xml:space="preserve"> 29, no. 2 (2008): 193–219.</w:t>
      </w:r>
    </w:p>
    <w:p w14:paraId="5F720DBE" w14:textId="77777777" w:rsidR="007A7D95" w:rsidRDefault="007A7D95" w:rsidP="007A7D95">
      <w:pPr>
        <w:pStyle w:val="whitespace-pre-wrap"/>
      </w:pPr>
      <w:proofErr w:type="spellStart"/>
      <w:r>
        <w:lastRenderedPageBreak/>
        <w:t>Zhirkov</w:t>
      </w:r>
      <w:proofErr w:type="spellEnd"/>
      <w:r>
        <w:t xml:space="preserve">, Kirill, and Eugenia Quintanilla. "This Proposal Is Racist: The (Muted) Consequences of Invoking Racism in Policy Arguments." </w:t>
      </w:r>
      <w:r>
        <w:rPr>
          <w:rStyle w:val="Emphasis"/>
          <w:rFonts w:eastAsiaTheme="majorEastAsia"/>
        </w:rPr>
        <w:t>Politics, Groups, and Identities</w:t>
      </w:r>
      <w:r>
        <w:t xml:space="preserve"> (2024): 1–10. </w:t>
      </w:r>
      <w:hyperlink r:id="rId71" w:history="1">
        <w:r>
          <w:rPr>
            <w:rStyle w:val="Hyperlink"/>
            <w:rFonts w:eastAsiaTheme="majorEastAsia"/>
          </w:rPr>
          <w:t>https://doi.org/10.1080/21565503.2024.2362687</w:t>
        </w:r>
      </w:hyperlink>
      <w:r>
        <w:t>.</w:t>
      </w:r>
    </w:p>
    <w:p w14:paraId="35861E25" w14:textId="77777777" w:rsidR="007A7D95" w:rsidRPr="00664A49" w:rsidRDefault="007A7D95" w:rsidP="007A7D95"/>
    <w:p w14:paraId="37631F31" w14:textId="77777777" w:rsidR="00072366" w:rsidRPr="00072366" w:rsidRDefault="00072366" w:rsidP="00072366">
      <w:pPr>
        <w:spacing w:line="360" w:lineRule="auto"/>
        <w:rPr>
          <w:b/>
          <w:bCs/>
        </w:rPr>
      </w:pPr>
    </w:p>
    <w:sectPr w:rsidR="00072366" w:rsidRPr="00072366" w:rsidSect="005D1295">
      <w:headerReference w:type="first" r:id="rId7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9A967" w14:textId="77777777" w:rsidR="00261D02" w:rsidRDefault="00261D02" w:rsidP="007434C5">
      <w:r>
        <w:separator/>
      </w:r>
    </w:p>
  </w:endnote>
  <w:endnote w:type="continuationSeparator" w:id="0">
    <w:p w14:paraId="7810D5EB" w14:textId="77777777" w:rsidR="00261D02" w:rsidRDefault="00261D02" w:rsidP="0074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38926" w14:textId="77777777" w:rsidR="00261D02" w:rsidRDefault="00261D02" w:rsidP="007434C5">
      <w:r>
        <w:separator/>
      </w:r>
    </w:p>
  </w:footnote>
  <w:footnote w:type="continuationSeparator" w:id="0">
    <w:p w14:paraId="41915111" w14:textId="77777777" w:rsidR="00261D02" w:rsidRDefault="00261D02" w:rsidP="007434C5">
      <w:r>
        <w:continuationSeparator/>
      </w:r>
    </w:p>
  </w:footnote>
  <w:footnote w:id="1">
    <w:p w14:paraId="1F01AB56" w14:textId="77777777" w:rsidR="007434C5" w:rsidRPr="00595E87" w:rsidRDefault="007434C5" w:rsidP="007434C5">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2">
    <w:p w14:paraId="05AD3C51" w14:textId="73190B3B" w:rsidR="007434C5" w:rsidRPr="00691421" w:rsidRDefault="007434C5" w:rsidP="00691421">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footnote>
  <w:footnote w:id="3">
    <w:p w14:paraId="0A4A4AA4" w14:textId="77777777" w:rsidR="00691421" w:rsidRDefault="00691421" w:rsidP="00691421">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 w:id="4">
    <w:p w14:paraId="5F1E34AB" w14:textId="77777777" w:rsidR="00691421" w:rsidRPr="00595E87" w:rsidRDefault="00691421" w:rsidP="00691421">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 w:id="5">
    <w:p w14:paraId="1E3A6ECA" w14:textId="77777777" w:rsidR="00341B90" w:rsidRDefault="00341B90" w:rsidP="00341B90">
      <w:pPr>
        <w:pStyle w:val="FootnoteText"/>
      </w:pPr>
      <w:r>
        <w:rPr>
          <w:rStyle w:val="FootnoteReference"/>
        </w:rPr>
        <w:footnoteRef/>
      </w:r>
      <w:r>
        <w:t xml:space="preserve"> See: </w:t>
      </w:r>
      <w:r w:rsidRPr="000F16E6">
        <w:t>https://www.latimes.com/california/story/2025-01-11/how-you-can-help-the-incarcerated-firefighters-battling-l-a-wildfires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2502" w14:textId="3BFE43D1" w:rsidR="005D1295" w:rsidRDefault="005D1295" w:rsidP="005D1295">
    <w:pPr>
      <w:pStyle w:val="Header"/>
    </w:pPr>
    <w:r>
      <w:t>Kristina Mensik</w:t>
    </w:r>
  </w:p>
  <w:p w14:paraId="09CA0F89" w14:textId="3262E65B" w:rsidR="00E108C4" w:rsidRDefault="00E108C4" w:rsidP="005D1295">
    <w:pPr>
      <w:pStyle w:val="Header"/>
    </w:pPr>
    <w:r>
      <w:t>2</w:t>
    </w:r>
    <w:r w:rsidRPr="00E108C4">
      <w:rPr>
        <w:vertAlign w:val="superscript"/>
      </w:rPr>
      <w:t>nd</w:t>
    </w:r>
    <w:r>
      <w:t xml:space="preserve"> Year Paper</w:t>
    </w:r>
  </w:p>
  <w:p w14:paraId="63AF0563" w14:textId="7E3A7ADB" w:rsidR="005D1295" w:rsidRDefault="005D1295">
    <w:pPr>
      <w:pStyle w:val="Header"/>
    </w:pPr>
    <w:r>
      <w:t>1-16-24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C5"/>
    <w:rsid w:val="0000145B"/>
    <w:rsid w:val="00004B39"/>
    <w:rsid w:val="000160A0"/>
    <w:rsid w:val="000165B8"/>
    <w:rsid w:val="00022097"/>
    <w:rsid w:val="0002297E"/>
    <w:rsid w:val="000306ED"/>
    <w:rsid w:val="00030A8C"/>
    <w:rsid w:val="00037BF8"/>
    <w:rsid w:val="000567DA"/>
    <w:rsid w:val="00060CBE"/>
    <w:rsid w:val="00061F5F"/>
    <w:rsid w:val="0006430A"/>
    <w:rsid w:val="000666CE"/>
    <w:rsid w:val="0007127D"/>
    <w:rsid w:val="00072366"/>
    <w:rsid w:val="000731A7"/>
    <w:rsid w:val="00073DEA"/>
    <w:rsid w:val="00076A45"/>
    <w:rsid w:val="00085C11"/>
    <w:rsid w:val="00095BD0"/>
    <w:rsid w:val="000B6E68"/>
    <w:rsid w:val="000C1731"/>
    <w:rsid w:val="000C49C5"/>
    <w:rsid w:val="000D060A"/>
    <w:rsid w:val="000D232F"/>
    <w:rsid w:val="000E0CC4"/>
    <w:rsid w:val="000E2273"/>
    <w:rsid w:val="000F06DC"/>
    <w:rsid w:val="000F2810"/>
    <w:rsid w:val="000F5217"/>
    <w:rsid w:val="000F7032"/>
    <w:rsid w:val="00102EC1"/>
    <w:rsid w:val="00116A55"/>
    <w:rsid w:val="00124849"/>
    <w:rsid w:val="00125217"/>
    <w:rsid w:val="001348D5"/>
    <w:rsid w:val="00136F29"/>
    <w:rsid w:val="001448AB"/>
    <w:rsid w:val="00154191"/>
    <w:rsid w:val="001548D9"/>
    <w:rsid w:val="001549A9"/>
    <w:rsid w:val="001610D3"/>
    <w:rsid w:val="001632D4"/>
    <w:rsid w:val="00166993"/>
    <w:rsid w:val="0016729F"/>
    <w:rsid w:val="00184E14"/>
    <w:rsid w:val="00186B00"/>
    <w:rsid w:val="001A4786"/>
    <w:rsid w:val="001B2435"/>
    <w:rsid w:val="001C20E2"/>
    <w:rsid w:val="001C5DAA"/>
    <w:rsid w:val="001D0700"/>
    <w:rsid w:val="001D2BC2"/>
    <w:rsid w:val="001E78EC"/>
    <w:rsid w:val="001E7DDC"/>
    <w:rsid w:val="001F484E"/>
    <w:rsid w:val="001F499D"/>
    <w:rsid w:val="001F5B84"/>
    <w:rsid w:val="002043EE"/>
    <w:rsid w:val="002054C9"/>
    <w:rsid w:val="00206533"/>
    <w:rsid w:val="002131AE"/>
    <w:rsid w:val="002141CB"/>
    <w:rsid w:val="002207E4"/>
    <w:rsid w:val="00225F9F"/>
    <w:rsid w:val="00231B05"/>
    <w:rsid w:val="00233885"/>
    <w:rsid w:val="00246E5A"/>
    <w:rsid w:val="00250029"/>
    <w:rsid w:val="00256025"/>
    <w:rsid w:val="00261D02"/>
    <w:rsid w:val="00264DA6"/>
    <w:rsid w:val="002679E9"/>
    <w:rsid w:val="00267BFB"/>
    <w:rsid w:val="00283586"/>
    <w:rsid w:val="00291F8D"/>
    <w:rsid w:val="002A12FD"/>
    <w:rsid w:val="002A3E5C"/>
    <w:rsid w:val="002C3D1D"/>
    <w:rsid w:val="002C64FC"/>
    <w:rsid w:val="002D3BD0"/>
    <w:rsid w:val="002D71A9"/>
    <w:rsid w:val="002E5A77"/>
    <w:rsid w:val="002F4102"/>
    <w:rsid w:val="002F6609"/>
    <w:rsid w:val="002F75ED"/>
    <w:rsid w:val="003118B9"/>
    <w:rsid w:val="003225BA"/>
    <w:rsid w:val="00324D4D"/>
    <w:rsid w:val="003327B8"/>
    <w:rsid w:val="00332933"/>
    <w:rsid w:val="003368F2"/>
    <w:rsid w:val="00341B90"/>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3E62B6"/>
    <w:rsid w:val="004013E8"/>
    <w:rsid w:val="00406612"/>
    <w:rsid w:val="00416A5B"/>
    <w:rsid w:val="0042383C"/>
    <w:rsid w:val="0043020F"/>
    <w:rsid w:val="00441258"/>
    <w:rsid w:val="0044237B"/>
    <w:rsid w:val="0044568F"/>
    <w:rsid w:val="004608B6"/>
    <w:rsid w:val="004623A2"/>
    <w:rsid w:val="00466402"/>
    <w:rsid w:val="0047276A"/>
    <w:rsid w:val="0047469F"/>
    <w:rsid w:val="004764FC"/>
    <w:rsid w:val="0048416C"/>
    <w:rsid w:val="00485BD3"/>
    <w:rsid w:val="00485EAB"/>
    <w:rsid w:val="00490C4B"/>
    <w:rsid w:val="00491D89"/>
    <w:rsid w:val="00495B2D"/>
    <w:rsid w:val="00497078"/>
    <w:rsid w:val="004D030E"/>
    <w:rsid w:val="004D3AE3"/>
    <w:rsid w:val="004E610C"/>
    <w:rsid w:val="004F3657"/>
    <w:rsid w:val="004F5DC8"/>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D1295"/>
    <w:rsid w:val="005E47DA"/>
    <w:rsid w:val="005F1525"/>
    <w:rsid w:val="00605073"/>
    <w:rsid w:val="00606737"/>
    <w:rsid w:val="00621765"/>
    <w:rsid w:val="0062203C"/>
    <w:rsid w:val="00624BCB"/>
    <w:rsid w:val="00624EA2"/>
    <w:rsid w:val="00625D0B"/>
    <w:rsid w:val="00637CDE"/>
    <w:rsid w:val="006528A8"/>
    <w:rsid w:val="00653CC4"/>
    <w:rsid w:val="006651AB"/>
    <w:rsid w:val="00673452"/>
    <w:rsid w:val="00674FAC"/>
    <w:rsid w:val="006832AB"/>
    <w:rsid w:val="00691421"/>
    <w:rsid w:val="00692B49"/>
    <w:rsid w:val="006937A5"/>
    <w:rsid w:val="006B02E9"/>
    <w:rsid w:val="006B0AB9"/>
    <w:rsid w:val="006B5E11"/>
    <w:rsid w:val="006D28B6"/>
    <w:rsid w:val="006D55B4"/>
    <w:rsid w:val="006E1CDD"/>
    <w:rsid w:val="006E30FC"/>
    <w:rsid w:val="006E3A0C"/>
    <w:rsid w:val="006E76CF"/>
    <w:rsid w:val="006F07DC"/>
    <w:rsid w:val="006F25D4"/>
    <w:rsid w:val="006F35B7"/>
    <w:rsid w:val="006F3BA0"/>
    <w:rsid w:val="006F4AB5"/>
    <w:rsid w:val="00703833"/>
    <w:rsid w:val="00706C42"/>
    <w:rsid w:val="007102EE"/>
    <w:rsid w:val="007144B9"/>
    <w:rsid w:val="00714DFA"/>
    <w:rsid w:val="00720E58"/>
    <w:rsid w:val="00721902"/>
    <w:rsid w:val="007229E5"/>
    <w:rsid w:val="007260E7"/>
    <w:rsid w:val="0074211B"/>
    <w:rsid w:val="007434C5"/>
    <w:rsid w:val="00743F83"/>
    <w:rsid w:val="00747497"/>
    <w:rsid w:val="00760C6C"/>
    <w:rsid w:val="007612F8"/>
    <w:rsid w:val="00764F48"/>
    <w:rsid w:val="007702B6"/>
    <w:rsid w:val="0078299E"/>
    <w:rsid w:val="007844CF"/>
    <w:rsid w:val="0078459D"/>
    <w:rsid w:val="00790555"/>
    <w:rsid w:val="007916A0"/>
    <w:rsid w:val="00794768"/>
    <w:rsid w:val="00795A90"/>
    <w:rsid w:val="007A1E27"/>
    <w:rsid w:val="007A25B7"/>
    <w:rsid w:val="007A2BF8"/>
    <w:rsid w:val="007A7D95"/>
    <w:rsid w:val="007B5797"/>
    <w:rsid w:val="007C0F09"/>
    <w:rsid w:val="007C7BBD"/>
    <w:rsid w:val="007D03D6"/>
    <w:rsid w:val="007D343E"/>
    <w:rsid w:val="007D7B02"/>
    <w:rsid w:val="007E5AEA"/>
    <w:rsid w:val="007E7635"/>
    <w:rsid w:val="00823F64"/>
    <w:rsid w:val="00841DEA"/>
    <w:rsid w:val="00844290"/>
    <w:rsid w:val="00857AE8"/>
    <w:rsid w:val="00865B41"/>
    <w:rsid w:val="00880953"/>
    <w:rsid w:val="00881069"/>
    <w:rsid w:val="00891166"/>
    <w:rsid w:val="00893E8C"/>
    <w:rsid w:val="008A58E6"/>
    <w:rsid w:val="008A5B66"/>
    <w:rsid w:val="008A7070"/>
    <w:rsid w:val="008B0337"/>
    <w:rsid w:val="008B6342"/>
    <w:rsid w:val="008C0B11"/>
    <w:rsid w:val="008C3CBC"/>
    <w:rsid w:val="008C4724"/>
    <w:rsid w:val="008C50C3"/>
    <w:rsid w:val="008D3EE4"/>
    <w:rsid w:val="008E1525"/>
    <w:rsid w:val="008E22CB"/>
    <w:rsid w:val="00913C5A"/>
    <w:rsid w:val="00931DCD"/>
    <w:rsid w:val="0093302D"/>
    <w:rsid w:val="009339C4"/>
    <w:rsid w:val="00936227"/>
    <w:rsid w:val="009410B8"/>
    <w:rsid w:val="00947B45"/>
    <w:rsid w:val="0095054A"/>
    <w:rsid w:val="00960ABD"/>
    <w:rsid w:val="00967766"/>
    <w:rsid w:val="009732C2"/>
    <w:rsid w:val="009804F0"/>
    <w:rsid w:val="009812A5"/>
    <w:rsid w:val="009A0B53"/>
    <w:rsid w:val="009A0BF3"/>
    <w:rsid w:val="009B6E73"/>
    <w:rsid w:val="009B6EF3"/>
    <w:rsid w:val="009C1374"/>
    <w:rsid w:val="009D5760"/>
    <w:rsid w:val="009D6EAD"/>
    <w:rsid w:val="009E7E8F"/>
    <w:rsid w:val="009F22C4"/>
    <w:rsid w:val="009F2F63"/>
    <w:rsid w:val="00A00D65"/>
    <w:rsid w:val="00A05511"/>
    <w:rsid w:val="00A10698"/>
    <w:rsid w:val="00A1104C"/>
    <w:rsid w:val="00A229C5"/>
    <w:rsid w:val="00A34086"/>
    <w:rsid w:val="00A379C8"/>
    <w:rsid w:val="00A51005"/>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02A3B"/>
    <w:rsid w:val="00B156E9"/>
    <w:rsid w:val="00B20686"/>
    <w:rsid w:val="00B217A4"/>
    <w:rsid w:val="00B320A8"/>
    <w:rsid w:val="00B55BE7"/>
    <w:rsid w:val="00B64CBC"/>
    <w:rsid w:val="00B67599"/>
    <w:rsid w:val="00B7232B"/>
    <w:rsid w:val="00B93200"/>
    <w:rsid w:val="00B9430D"/>
    <w:rsid w:val="00B95652"/>
    <w:rsid w:val="00BA3A19"/>
    <w:rsid w:val="00BA6294"/>
    <w:rsid w:val="00BB2F3D"/>
    <w:rsid w:val="00BB428F"/>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86B9D"/>
    <w:rsid w:val="00C91C2D"/>
    <w:rsid w:val="00CA77B8"/>
    <w:rsid w:val="00CB327C"/>
    <w:rsid w:val="00CB7AB1"/>
    <w:rsid w:val="00CD10D5"/>
    <w:rsid w:val="00CD6ACC"/>
    <w:rsid w:val="00CE024C"/>
    <w:rsid w:val="00CE64D5"/>
    <w:rsid w:val="00CF4DC5"/>
    <w:rsid w:val="00CF7A60"/>
    <w:rsid w:val="00D0117F"/>
    <w:rsid w:val="00D03511"/>
    <w:rsid w:val="00D16AE2"/>
    <w:rsid w:val="00D25166"/>
    <w:rsid w:val="00D470C3"/>
    <w:rsid w:val="00D56089"/>
    <w:rsid w:val="00D60814"/>
    <w:rsid w:val="00D60B04"/>
    <w:rsid w:val="00D7474C"/>
    <w:rsid w:val="00D80F00"/>
    <w:rsid w:val="00D81728"/>
    <w:rsid w:val="00DE06C1"/>
    <w:rsid w:val="00DE1A73"/>
    <w:rsid w:val="00DE5831"/>
    <w:rsid w:val="00DE6841"/>
    <w:rsid w:val="00E01EE5"/>
    <w:rsid w:val="00E04209"/>
    <w:rsid w:val="00E1033B"/>
    <w:rsid w:val="00E108C4"/>
    <w:rsid w:val="00E11DC7"/>
    <w:rsid w:val="00E17786"/>
    <w:rsid w:val="00E35368"/>
    <w:rsid w:val="00E375D3"/>
    <w:rsid w:val="00E431F3"/>
    <w:rsid w:val="00E451B4"/>
    <w:rsid w:val="00E46DAD"/>
    <w:rsid w:val="00E51994"/>
    <w:rsid w:val="00E51F30"/>
    <w:rsid w:val="00E52618"/>
    <w:rsid w:val="00E607EF"/>
    <w:rsid w:val="00E61A6A"/>
    <w:rsid w:val="00E70FF2"/>
    <w:rsid w:val="00E72186"/>
    <w:rsid w:val="00E80012"/>
    <w:rsid w:val="00E94774"/>
    <w:rsid w:val="00E95DB7"/>
    <w:rsid w:val="00EA07E9"/>
    <w:rsid w:val="00EA2599"/>
    <w:rsid w:val="00EA27FF"/>
    <w:rsid w:val="00EA390B"/>
    <w:rsid w:val="00EA3D4B"/>
    <w:rsid w:val="00EA7C26"/>
    <w:rsid w:val="00ED2CCB"/>
    <w:rsid w:val="00ED7F81"/>
    <w:rsid w:val="00EE10DB"/>
    <w:rsid w:val="00EE5879"/>
    <w:rsid w:val="00EE7081"/>
    <w:rsid w:val="00EF17CA"/>
    <w:rsid w:val="00EF618E"/>
    <w:rsid w:val="00F046C6"/>
    <w:rsid w:val="00F104E9"/>
    <w:rsid w:val="00F1054A"/>
    <w:rsid w:val="00F12EFD"/>
    <w:rsid w:val="00F2058F"/>
    <w:rsid w:val="00F249B8"/>
    <w:rsid w:val="00F31C7A"/>
    <w:rsid w:val="00F34DAD"/>
    <w:rsid w:val="00F40FCB"/>
    <w:rsid w:val="00F43D32"/>
    <w:rsid w:val="00F44820"/>
    <w:rsid w:val="00F46C73"/>
    <w:rsid w:val="00F51999"/>
    <w:rsid w:val="00F51C6D"/>
    <w:rsid w:val="00F55614"/>
    <w:rsid w:val="00F6438C"/>
    <w:rsid w:val="00F80189"/>
    <w:rsid w:val="00F801FA"/>
    <w:rsid w:val="00F866D0"/>
    <w:rsid w:val="00F87D07"/>
    <w:rsid w:val="00F90406"/>
    <w:rsid w:val="00F92E6A"/>
    <w:rsid w:val="00F9429C"/>
    <w:rsid w:val="00FA468C"/>
    <w:rsid w:val="00FB02C3"/>
    <w:rsid w:val="00FC39A2"/>
    <w:rsid w:val="00FC3F08"/>
    <w:rsid w:val="00FD0E63"/>
    <w:rsid w:val="00FD72E4"/>
    <w:rsid w:val="00FE0C56"/>
    <w:rsid w:val="00FE2FF4"/>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1551F4"/>
  <w15:chartTrackingRefBased/>
  <w15:docId w15:val="{06C9E541-30E8-A649-B501-4D352DCBD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7C"/>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7434C5"/>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link w:val="Heading2Char"/>
    <w:uiPriority w:val="9"/>
    <w:unhideWhenUsed/>
    <w:qFormat/>
    <w:rsid w:val="006E1CDD"/>
    <w:pPr>
      <w:ind w:left="1339"/>
      <w:outlineLvl w:val="1"/>
    </w:pPr>
    <w:rPr>
      <w:rFonts w:ascii="Montserrat" w:hAnsi="Montserrat"/>
      <w:b/>
      <w:bCs/>
      <w:kern w:val="2"/>
      <w:sz w:val="21"/>
      <w:szCs w:val="21"/>
      <w14:ligatures w14:val="standardContextual"/>
    </w:rPr>
  </w:style>
  <w:style w:type="paragraph" w:styleId="Heading3">
    <w:name w:val="heading 3"/>
    <w:basedOn w:val="Normal"/>
    <w:next w:val="Normal"/>
    <w:link w:val="Heading3Char"/>
    <w:uiPriority w:val="9"/>
    <w:semiHidden/>
    <w:unhideWhenUsed/>
    <w:qFormat/>
    <w:rsid w:val="007434C5"/>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434C5"/>
    <w:pPr>
      <w:keepNext/>
      <w:keepLines/>
      <w:spacing w:before="80" w:after="40"/>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7434C5"/>
    <w:pPr>
      <w:keepNext/>
      <w:keepLines/>
      <w:spacing w:before="80" w:after="40"/>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7434C5"/>
    <w:pPr>
      <w:keepNext/>
      <w:keepLines/>
      <w:spacing w:before="40"/>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7434C5"/>
    <w:pPr>
      <w:keepNext/>
      <w:keepLines/>
      <w:spacing w:before="40"/>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7434C5"/>
    <w:pPr>
      <w:keepNext/>
      <w:keepLines/>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7434C5"/>
    <w:pPr>
      <w:keepNext/>
      <w:keepLines/>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rPr>
      <w:rFonts w:ascii="Open Sans" w:hAnsi="Open Sans"/>
      <w:kern w:val="2"/>
      <w:sz w:val="22"/>
      <w14:ligatures w14:val="standardContextual"/>
    </w:rPr>
  </w:style>
  <w:style w:type="character" w:customStyle="1" w:styleId="Heading1Char">
    <w:name w:val="Heading 1 Char"/>
    <w:basedOn w:val="DefaultParagraphFont"/>
    <w:link w:val="Heading1"/>
    <w:uiPriority w:val="9"/>
    <w:rsid w:val="007434C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43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4C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434C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434C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434C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434C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434C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434C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43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4C5"/>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43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4C5"/>
    <w:pPr>
      <w:spacing w:before="160" w:after="160"/>
      <w:jc w:val="center"/>
    </w:pPr>
    <w:rPr>
      <w:rFonts w:ascii="Open Sans" w:hAnsi="Open Sans"/>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7434C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7434C5"/>
    <w:rPr>
      <w:i/>
      <w:iCs/>
      <w:color w:val="0F4761" w:themeColor="accent1" w:themeShade="BF"/>
    </w:rPr>
  </w:style>
  <w:style w:type="paragraph" w:styleId="IntenseQuote">
    <w:name w:val="Intense Quote"/>
    <w:basedOn w:val="Normal"/>
    <w:next w:val="Normal"/>
    <w:link w:val="IntenseQuoteChar"/>
    <w:uiPriority w:val="30"/>
    <w:qFormat/>
    <w:rsid w:val="007434C5"/>
    <w:pPr>
      <w:pBdr>
        <w:top w:val="single" w:sz="4" w:space="10" w:color="0F4761" w:themeColor="accent1" w:themeShade="BF"/>
        <w:bottom w:val="single" w:sz="4" w:space="10" w:color="0F4761" w:themeColor="accent1" w:themeShade="BF"/>
      </w:pBdr>
      <w:spacing w:before="360" w:after="360"/>
      <w:ind w:left="864" w:right="864"/>
      <w:jc w:val="center"/>
    </w:pPr>
    <w:rPr>
      <w:rFonts w:ascii="Open Sans" w:hAnsi="Open Sans"/>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7434C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7434C5"/>
    <w:rPr>
      <w:b/>
      <w:bCs/>
      <w:smallCaps/>
      <w:color w:val="0F4761" w:themeColor="accent1" w:themeShade="BF"/>
      <w:spacing w:val="5"/>
    </w:rPr>
  </w:style>
  <w:style w:type="paragraph" w:styleId="FootnoteText">
    <w:name w:val="footnote text"/>
    <w:basedOn w:val="Normal"/>
    <w:link w:val="FootnoteTextChar"/>
    <w:uiPriority w:val="99"/>
    <w:semiHidden/>
    <w:unhideWhenUsed/>
    <w:rsid w:val="007434C5"/>
    <w:rPr>
      <w:sz w:val="20"/>
      <w:szCs w:val="20"/>
    </w:rPr>
  </w:style>
  <w:style w:type="character" w:customStyle="1" w:styleId="FootnoteTextChar">
    <w:name w:val="Footnote Text Char"/>
    <w:basedOn w:val="DefaultParagraphFont"/>
    <w:link w:val="FootnoteText"/>
    <w:uiPriority w:val="99"/>
    <w:semiHidden/>
    <w:rsid w:val="007434C5"/>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434C5"/>
    <w:rPr>
      <w:vertAlign w:val="superscript"/>
    </w:rPr>
  </w:style>
  <w:style w:type="character" w:styleId="CommentReference">
    <w:name w:val="annotation reference"/>
    <w:basedOn w:val="DefaultParagraphFont"/>
    <w:uiPriority w:val="99"/>
    <w:semiHidden/>
    <w:unhideWhenUsed/>
    <w:rsid w:val="007434C5"/>
    <w:rPr>
      <w:sz w:val="16"/>
      <w:szCs w:val="16"/>
    </w:rPr>
  </w:style>
  <w:style w:type="paragraph" w:customStyle="1" w:styleId="whitespace-pre-wrap">
    <w:name w:val="whitespace-pre-wrap"/>
    <w:basedOn w:val="Normal"/>
    <w:rsid w:val="007434C5"/>
    <w:pPr>
      <w:spacing w:before="100" w:beforeAutospacing="1" w:after="100" w:afterAutospacing="1"/>
    </w:pPr>
  </w:style>
  <w:style w:type="paragraph" w:customStyle="1" w:styleId="whitespace-normal">
    <w:name w:val="whitespace-normal"/>
    <w:basedOn w:val="Normal"/>
    <w:rsid w:val="007434C5"/>
    <w:pPr>
      <w:spacing w:before="100" w:beforeAutospacing="1" w:after="100" w:afterAutospacing="1"/>
    </w:pPr>
  </w:style>
  <w:style w:type="paragraph" w:styleId="Header">
    <w:name w:val="header"/>
    <w:basedOn w:val="Normal"/>
    <w:link w:val="HeaderChar"/>
    <w:uiPriority w:val="99"/>
    <w:unhideWhenUsed/>
    <w:rsid w:val="005D1295"/>
    <w:pPr>
      <w:tabs>
        <w:tab w:val="center" w:pos="4680"/>
        <w:tab w:val="right" w:pos="9360"/>
      </w:tabs>
    </w:pPr>
  </w:style>
  <w:style w:type="character" w:customStyle="1" w:styleId="HeaderChar">
    <w:name w:val="Header Char"/>
    <w:basedOn w:val="DefaultParagraphFont"/>
    <w:link w:val="Header"/>
    <w:uiPriority w:val="99"/>
    <w:rsid w:val="005D1295"/>
    <w:rPr>
      <w:rFonts w:ascii="Times New Roman" w:hAnsi="Times New Roman" w:cs="Times New Roman"/>
      <w:kern w:val="0"/>
      <w14:ligatures w14:val="none"/>
    </w:rPr>
  </w:style>
  <w:style w:type="paragraph" w:styleId="Footer">
    <w:name w:val="footer"/>
    <w:basedOn w:val="Normal"/>
    <w:link w:val="FooterChar"/>
    <w:uiPriority w:val="99"/>
    <w:unhideWhenUsed/>
    <w:rsid w:val="005D1295"/>
    <w:pPr>
      <w:tabs>
        <w:tab w:val="center" w:pos="4680"/>
        <w:tab w:val="right" w:pos="9360"/>
      </w:tabs>
    </w:pPr>
  </w:style>
  <w:style w:type="character" w:customStyle="1" w:styleId="FooterChar">
    <w:name w:val="Footer Char"/>
    <w:basedOn w:val="DefaultParagraphFont"/>
    <w:link w:val="Footer"/>
    <w:uiPriority w:val="99"/>
    <w:rsid w:val="005D1295"/>
    <w:rPr>
      <w:rFonts w:ascii="Times New Roman" w:hAnsi="Times New Roman" w:cs="Times New Roman"/>
      <w:kern w:val="0"/>
      <w14:ligatures w14:val="none"/>
    </w:rPr>
  </w:style>
  <w:style w:type="character" w:styleId="Emphasis">
    <w:name w:val="Emphasis"/>
    <w:basedOn w:val="DefaultParagraphFont"/>
    <w:uiPriority w:val="20"/>
    <w:qFormat/>
    <w:rsid w:val="007A7D95"/>
    <w:rPr>
      <w:i/>
      <w:iCs/>
    </w:rPr>
  </w:style>
  <w:style w:type="character" w:styleId="Hyperlink">
    <w:name w:val="Hyperlink"/>
    <w:basedOn w:val="DefaultParagraphFont"/>
    <w:uiPriority w:val="99"/>
    <w:unhideWhenUsed/>
    <w:rsid w:val="007A7D95"/>
    <w:rPr>
      <w:color w:val="0000FF"/>
      <w:u w:val="single"/>
    </w:rPr>
  </w:style>
  <w:style w:type="character" w:customStyle="1" w:styleId="apple-converted-space">
    <w:name w:val="apple-converted-space"/>
    <w:basedOn w:val="DefaultParagraphFont"/>
    <w:rsid w:val="00CD6ACC"/>
  </w:style>
  <w:style w:type="character" w:styleId="UnresolvedMention">
    <w:name w:val="Unresolved Mention"/>
    <w:basedOn w:val="DefaultParagraphFont"/>
    <w:uiPriority w:val="99"/>
    <w:semiHidden/>
    <w:unhideWhenUsed/>
    <w:rsid w:val="00CD6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60692">
      <w:bodyDiv w:val="1"/>
      <w:marLeft w:val="0"/>
      <w:marRight w:val="0"/>
      <w:marTop w:val="0"/>
      <w:marBottom w:val="0"/>
      <w:divBdr>
        <w:top w:val="none" w:sz="0" w:space="0" w:color="auto"/>
        <w:left w:val="none" w:sz="0" w:space="0" w:color="auto"/>
        <w:bottom w:val="none" w:sz="0" w:space="0" w:color="auto"/>
        <w:right w:val="none" w:sz="0" w:space="0" w:color="auto"/>
      </w:divBdr>
      <w:divsChild>
        <w:div w:id="1675297449">
          <w:marLeft w:val="480"/>
          <w:marRight w:val="0"/>
          <w:marTop w:val="0"/>
          <w:marBottom w:val="0"/>
          <w:divBdr>
            <w:top w:val="none" w:sz="0" w:space="0" w:color="auto"/>
            <w:left w:val="none" w:sz="0" w:space="0" w:color="auto"/>
            <w:bottom w:val="none" w:sz="0" w:space="0" w:color="auto"/>
            <w:right w:val="none" w:sz="0" w:space="0" w:color="auto"/>
          </w:divBdr>
          <w:divsChild>
            <w:div w:id="18556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39372">
      <w:bodyDiv w:val="1"/>
      <w:marLeft w:val="0"/>
      <w:marRight w:val="0"/>
      <w:marTop w:val="0"/>
      <w:marBottom w:val="0"/>
      <w:divBdr>
        <w:top w:val="none" w:sz="0" w:space="0" w:color="auto"/>
        <w:left w:val="none" w:sz="0" w:space="0" w:color="auto"/>
        <w:bottom w:val="none" w:sz="0" w:space="0" w:color="auto"/>
        <w:right w:val="none" w:sz="0" w:space="0" w:color="auto"/>
      </w:divBdr>
      <w:divsChild>
        <w:div w:id="1517840062">
          <w:marLeft w:val="480"/>
          <w:marRight w:val="0"/>
          <w:marTop w:val="0"/>
          <w:marBottom w:val="0"/>
          <w:divBdr>
            <w:top w:val="none" w:sz="0" w:space="0" w:color="auto"/>
            <w:left w:val="none" w:sz="0" w:space="0" w:color="auto"/>
            <w:bottom w:val="none" w:sz="0" w:space="0" w:color="auto"/>
            <w:right w:val="none" w:sz="0" w:space="0" w:color="auto"/>
          </w:divBdr>
          <w:divsChild>
            <w:div w:id="527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4047">
      <w:bodyDiv w:val="1"/>
      <w:marLeft w:val="0"/>
      <w:marRight w:val="0"/>
      <w:marTop w:val="0"/>
      <w:marBottom w:val="0"/>
      <w:divBdr>
        <w:top w:val="none" w:sz="0" w:space="0" w:color="auto"/>
        <w:left w:val="none" w:sz="0" w:space="0" w:color="auto"/>
        <w:bottom w:val="none" w:sz="0" w:space="0" w:color="auto"/>
        <w:right w:val="none" w:sz="0" w:space="0" w:color="auto"/>
      </w:divBdr>
      <w:divsChild>
        <w:div w:id="1777675759">
          <w:marLeft w:val="480"/>
          <w:marRight w:val="0"/>
          <w:marTop w:val="0"/>
          <w:marBottom w:val="0"/>
          <w:divBdr>
            <w:top w:val="none" w:sz="0" w:space="0" w:color="auto"/>
            <w:left w:val="none" w:sz="0" w:space="0" w:color="auto"/>
            <w:bottom w:val="none" w:sz="0" w:space="0" w:color="auto"/>
            <w:right w:val="none" w:sz="0" w:space="0" w:color="auto"/>
          </w:divBdr>
          <w:divsChild>
            <w:div w:id="1267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05452">
      <w:bodyDiv w:val="1"/>
      <w:marLeft w:val="0"/>
      <w:marRight w:val="0"/>
      <w:marTop w:val="0"/>
      <w:marBottom w:val="0"/>
      <w:divBdr>
        <w:top w:val="none" w:sz="0" w:space="0" w:color="auto"/>
        <w:left w:val="none" w:sz="0" w:space="0" w:color="auto"/>
        <w:bottom w:val="none" w:sz="0" w:space="0" w:color="auto"/>
        <w:right w:val="none" w:sz="0" w:space="0" w:color="auto"/>
      </w:divBdr>
      <w:divsChild>
        <w:div w:id="650328096">
          <w:marLeft w:val="480"/>
          <w:marRight w:val="0"/>
          <w:marTop w:val="0"/>
          <w:marBottom w:val="0"/>
          <w:divBdr>
            <w:top w:val="none" w:sz="0" w:space="0" w:color="auto"/>
            <w:left w:val="none" w:sz="0" w:space="0" w:color="auto"/>
            <w:bottom w:val="none" w:sz="0" w:space="0" w:color="auto"/>
            <w:right w:val="none" w:sz="0" w:space="0" w:color="auto"/>
          </w:divBdr>
          <w:divsChild>
            <w:div w:id="11677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5295">
      <w:bodyDiv w:val="1"/>
      <w:marLeft w:val="0"/>
      <w:marRight w:val="0"/>
      <w:marTop w:val="0"/>
      <w:marBottom w:val="0"/>
      <w:divBdr>
        <w:top w:val="none" w:sz="0" w:space="0" w:color="auto"/>
        <w:left w:val="none" w:sz="0" w:space="0" w:color="auto"/>
        <w:bottom w:val="none" w:sz="0" w:space="0" w:color="auto"/>
        <w:right w:val="none" w:sz="0" w:space="0" w:color="auto"/>
      </w:divBdr>
      <w:divsChild>
        <w:div w:id="903179784">
          <w:marLeft w:val="0"/>
          <w:marRight w:val="0"/>
          <w:marTop w:val="0"/>
          <w:marBottom w:val="0"/>
          <w:divBdr>
            <w:top w:val="none" w:sz="0" w:space="0" w:color="auto"/>
            <w:left w:val="none" w:sz="0" w:space="0" w:color="auto"/>
            <w:bottom w:val="none" w:sz="0" w:space="0" w:color="auto"/>
            <w:right w:val="none" w:sz="0" w:space="0" w:color="auto"/>
          </w:divBdr>
          <w:divsChild>
            <w:div w:id="440953761">
              <w:marLeft w:val="0"/>
              <w:marRight w:val="0"/>
              <w:marTop w:val="0"/>
              <w:marBottom w:val="0"/>
              <w:divBdr>
                <w:top w:val="none" w:sz="0" w:space="0" w:color="auto"/>
                <w:left w:val="none" w:sz="0" w:space="0" w:color="auto"/>
                <w:bottom w:val="none" w:sz="0" w:space="0" w:color="auto"/>
                <w:right w:val="none" w:sz="0" w:space="0" w:color="auto"/>
              </w:divBdr>
              <w:divsChild>
                <w:div w:id="1183786995">
                  <w:marLeft w:val="0"/>
                  <w:marRight w:val="0"/>
                  <w:marTop w:val="0"/>
                  <w:marBottom w:val="0"/>
                  <w:divBdr>
                    <w:top w:val="none" w:sz="0" w:space="0" w:color="auto"/>
                    <w:left w:val="none" w:sz="0" w:space="0" w:color="auto"/>
                    <w:bottom w:val="none" w:sz="0" w:space="0" w:color="auto"/>
                    <w:right w:val="none" w:sz="0" w:space="0" w:color="auto"/>
                  </w:divBdr>
                  <w:divsChild>
                    <w:div w:id="13516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08543">
      <w:bodyDiv w:val="1"/>
      <w:marLeft w:val="0"/>
      <w:marRight w:val="0"/>
      <w:marTop w:val="0"/>
      <w:marBottom w:val="0"/>
      <w:divBdr>
        <w:top w:val="none" w:sz="0" w:space="0" w:color="auto"/>
        <w:left w:val="none" w:sz="0" w:space="0" w:color="auto"/>
        <w:bottom w:val="none" w:sz="0" w:space="0" w:color="auto"/>
        <w:right w:val="none" w:sz="0" w:space="0" w:color="auto"/>
      </w:divBdr>
      <w:divsChild>
        <w:div w:id="134224840">
          <w:marLeft w:val="480"/>
          <w:marRight w:val="0"/>
          <w:marTop w:val="0"/>
          <w:marBottom w:val="0"/>
          <w:divBdr>
            <w:top w:val="none" w:sz="0" w:space="0" w:color="auto"/>
            <w:left w:val="none" w:sz="0" w:space="0" w:color="auto"/>
            <w:bottom w:val="none" w:sz="0" w:space="0" w:color="auto"/>
            <w:right w:val="none" w:sz="0" w:space="0" w:color="auto"/>
          </w:divBdr>
          <w:divsChild>
            <w:div w:id="5648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8985">
      <w:bodyDiv w:val="1"/>
      <w:marLeft w:val="0"/>
      <w:marRight w:val="0"/>
      <w:marTop w:val="0"/>
      <w:marBottom w:val="0"/>
      <w:divBdr>
        <w:top w:val="none" w:sz="0" w:space="0" w:color="auto"/>
        <w:left w:val="none" w:sz="0" w:space="0" w:color="auto"/>
        <w:bottom w:val="none" w:sz="0" w:space="0" w:color="auto"/>
        <w:right w:val="none" w:sz="0" w:space="0" w:color="auto"/>
      </w:divBdr>
      <w:divsChild>
        <w:div w:id="2027900576">
          <w:marLeft w:val="0"/>
          <w:marRight w:val="0"/>
          <w:marTop w:val="0"/>
          <w:marBottom w:val="0"/>
          <w:divBdr>
            <w:top w:val="none" w:sz="0" w:space="0" w:color="auto"/>
            <w:left w:val="none" w:sz="0" w:space="0" w:color="auto"/>
            <w:bottom w:val="none" w:sz="0" w:space="0" w:color="auto"/>
            <w:right w:val="none" w:sz="0" w:space="0" w:color="auto"/>
          </w:divBdr>
          <w:divsChild>
            <w:div w:id="1272010915">
              <w:marLeft w:val="0"/>
              <w:marRight w:val="0"/>
              <w:marTop w:val="0"/>
              <w:marBottom w:val="0"/>
              <w:divBdr>
                <w:top w:val="none" w:sz="0" w:space="0" w:color="auto"/>
                <w:left w:val="none" w:sz="0" w:space="0" w:color="auto"/>
                <w:bottom w:val="none" w:sz="0" w:space="0" w:color="auto"/>
                <w:right w:val="none" w:sz="0" w:space="0" w:color="auto"/>
              </w:divBdr>
              <w:divsChild>
                <w:div w:id="327097088">
                  <w:marLeft w:val="0"/>
                  <w:marRight w:val="0"/>
                  <w:marTop w:val="0"/>
                  <w:marBottom w:val="0"/>
                  <w:divBdr>
                    <w:top w:val="none" w:sz="0" w:space="0" w:color="auto"/>
                    <w:left w:val="none" w:sz="0" w:space="0" w:color="auto"/>
                    <w:bottom w:val="none" w:sz="0" w:space="0" w:color="auto"/>
                    <w:right w:val="none" w:sz="0" w:space="0" w:color="auto"/>
                  </w:divBdr>
                  <w:divsChild>
                    <w:div w:id="5279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98/016214506000001040" TargetMode="External"/><Relationship Id="rId21" Type="http://schemas.openxmlformats.org/officeDocument/2006/relationships/hyperlink" Target="https://doi.org/10.1007/s11109-018-09521-w" TargetMode="External"/><Relationship Id="rId42" Type="http://schemas.openxmlformats.org/officeDocument/2006/relationships/hyperlink" Target="https://doi.org/10.1177/0093854807305150" TargetMode="External"/><Relationship Id="rId47" Type="http://schemas.openxmlformats.org/officeDocument/2006/relationships/hyperlink" Target="https://democracyfund.org/idea/pushed-and-pulled/" TargetMode="External"/><Relationship Id="rId63" Type="http://schemas.openxmlformats.org/officeDocument/2006/relationships/hyperlink" Target="https://doi.org/10.1332/0305573002500811" TargetMode="External"/><Relationship Id="rId68" Type="http://schemas.openxmlformats.org/officeDocument/2006/relationships/hyperlink" Target="https://doi.org/10.1016/j.socscimed.2011.06.033" TargetMode="External"/><Relationship Id="rId2" Type="http://schemas.openxmlformats.org/officeDocument/2006/relationships/settings" Target="settings.xml"/><Relationship Id="rId16" Type="http://schemas.openxmlformats.org/officeDocument/2006/relationships/hyperlink" Target="https://doi.org/10.1086/708953" TargetMode="External"/><Relationship Id="rId29" Type="http://schemas.openxmlformats.org/officeDocument/2006/relationships/hyperlink" Target="https://doi.org/10.1017/S0003055422000934" TargetMode="External"/><Relationship Id="rId11" Type="http://schemas.openxmlformats.org/officeDocument/2006/relationships/hyperlink" Target="https://doi.org/10.1007/978-1-4612-3582-8_8" TargetMode="External"/><Relationship Id="rId24" Type="http://schemas.openxmlformats.org/officeDocument/2006/relationships/hyperlink" Target="https://doi.org/10.1017/S0003055421001337" TargetMode="External"/><Relationship Id="rId32" Type="http://schemas.openxmlformats.org/officeDocument/2006/relationships/hyperlink" Target="https://doi.org/10.1038/s41598-019-49680-2" TargetMode="External"/><Relationship Id="rId37" Type="http://schemas.openxmlformats.org/officeDocument/2006/relationships/hyperlink" Target="https://doi.org/10.1037/0003-066X.58.9.697" TargetMode="External"/><Relationship Id="rId40" Type="http://schemas.openxmlformats.org/officeDocument/2006/relationships/hyperlink" Target="https://doi.org/10.1177/0002716213502920" TargetMode="External"/><Relationship Id="rId45" Type="http://schemas.openxmlformats.org/officeDocument/2006/relationships/hyperlink" Target="https://doi.org/10.1111/medu.12203" TargetMode="External"/><Relationship Id="rId53" Type="http://schemas.openxmlformats.org/officeDocument/2006/relationships/hyperlink" Target="https://doi.org/10.1111/josi.12247" TargetMode="External"/><Relationship Id="rId58" Type="http://schemas.openxmlformats.org/officeDocument/2006/relationships/hyperlink" Target="https://doi.org/10.1080/10911359.2015.1129256" TargetMode="External"/><Relationship Id="rId66" Type="http://schemas.openxmlformats.org/officeDocument/2006/relationships/hyperlink" Target="https://doi.org/10.1017/S0003055410000456" TargetMode="External"/><Relationship Id="rId74"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https://www.sentencingproject.org/reports/locked-out-2024-four-million-denied-voting-rights-due-to-a-felony-conviction/" TargetMode="External"/><Relationship Id="rId19" Type="http://schemas.openxmlformats.org/officeDocument/2006/relationships/hyperlink" Target="https://doi.org/10.1111/ajps.12006" TargetMode="External"/><Relationship Id="rId14" Type="http://schemas.openxmlformats.org/officeDocument/2006/relationships/hyperlink" Target="https://doi.org/10.1037/0022-3514.83.2.284" TargetMode="External"/><Relationship Id="rId22" Type="http://schemas.openxmlformats.org/officeDocument/2006/relationships/hyperlink" Target="https://doi.org/10.31219/osf.io/tdkf3" TargetMode="External"/><Relationship Id="rId27" Type="http://schemas.openxmlformats.org/officeDocument/2006/relationships/hyperlink" Target="https://doi.org/10.2307/2082611" TargetMode="External"/><Relationship Id="rId30" Type="http://schemas.openxmlformats.org/officeDocument/2006/relationships/hyperlink" Target="https://doi.org/10.1111/1475-6765.12158" TargetMode="External"/><Relationship Id="rId35" Type="http://schemas.openxmlformats.org/officeDocument/2006/relationships/hyperlink" Target="https://doi.org/10.1111/ajps.12251" TargetMode="External"/><Relationship Id="rId43" Type="http://schemas.openxmlformats.org/officeDocument/2006/relationships/hyperlink" Target="https://doi.org/10.1016/j.ssresearch.2019.102352" TargetMode="External"/><Relationship Id="rId48" Type="http://schemas.openxmlformats.org/officeDocument/2006/relationships/hyperlink" Target="https://doi.org/10.1111/j.1540-4560.1990.tb00268.x" TargetMode="External"/><Relationship Id="rId56" Type="http://schemas.openxmlformats.org/officeDocument/2006/relationships/hyperlink" Target="https://doi.org/10.1093/acrefore/9780190264079.013.222" TargetMode="External"/><Relationship Id="rId64" Type="http://schemas.openxmlformats.org/officeDocument/2006/relationships/hyperlink" Target="https://doi.org/10.1177/0958928706059829" TargetMode="External"/><Relationship Id="rId69" Type="http://schemas.openxmlformats.org/officeDocument/2006/relationships/hyperlink" Target="https://doi.org/10.1177/1078345808326622" TargetMode="External"/><Relationship Id="rId8" Type="http://schemas.openxmlformats.org/officeDocument/2006/relationships/hyperlink" Target="https://doi.org/10.1177/0886260519876021" TargetMode="External"/><Relationship Id="rId51" Type="http://schemas.openxmlformats.org/officeDocument/2006/relationships/hyperlink" Target="https://doi.org/10.1111/j.1475-6765.2010.01923.x" TargetMode="External"/><Relationship Id="rId72"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hyperlink" Target="https://doi.org/10.2307/3791646" TargetMode="External"/><Relationship Id="rId17" Type="http://schemas.openxmlformats.org/officeDocument/2006/relationships/hyperlink" Target="https://doi.org/10.1177/10659129241287506" TargetMode="External"/><Relationship Id="rId25" Type="http://schemas.openxmlformats.org/officeDocument/2006/relationships/hyperlink" Target="https://doi.org/10.1525/nclr.2015.18.4.477" TargetMode="External"/><Relationship Id="rId33" Type="http://schemas.openxmlformats.org/officeDocument/2006/relationships/hyperlink" Target="https://doi.org/10.1146/annurev-criminol-060520-033306" TargetMode="External"/><Relationship Id="rId38" Type="http://schemas.openxmlformats.org/officeDocument/2006/relationships/hyperlink" Target="https://doi.org/10.1177/0011128716638503" TargetMode="External"/><Relationship Id="rId46" Type="http://schemas.openxmlformats.org/officeDocument/2006/relationships/hyperlink" Target="https://doi.org/10.1111/1468-0009.12651" TargetMode="External"/><Relationship Id="rId59" Type="http://schemas.openxmlformats.org/officeDocument/2006/relationships/hyperlink" Target="https://doi.org/10.1017/S1049096518000987" TargetMode="External"/><Relationship Id="rId67" Type="http://schemas.openxmlformats.org/officeDocument/2006/relationships/hyperlink" Target="https://doi.org/10.1017/S0003055414000562" TargetMode="External"/><Relationship Id="rId20" Type="http://schemas.openxmlformats.org/officeDocument/2006/relationships/hyperlink" Target="https://doi.org/10.1177/0886260507300754" TargetMode="External"/><Relationship Id="rId41" Type="http://schemas.openxmlformats.org/officeDocument/2006/relationships/hyperlink" Target="https://doi.org/10.1177/0002716219869907" TargetMode="External"/><Relationship Id="rId54" Type="http://schemas.openxmlformats.org/officeDocument/2006/relationships/hyperlink" Target="https://www.pewresearch.org/short-reads/2023/02/07/the-changing-face-of-congress/" TargetMode="External"/><Relationship Id="rId62" Type="http://schemas.openxmlformats.org/officeDocument/2006/relationships/hyperlink" Target="https://doi.org/10.1111/j.1745-9125.2010.00181.x" TargetMode="External"/><Relationship Id="rId70" Type="http://schemas.openxmlformats.org/officeDocument/2006/relationships/hyperlink" Target="https://doi.org/10.1080/07418820802427858" TargetMode="Externa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doi.org/10.1177/0032885510382224" TargetMode="External"/><Relationship Id="rId23" Type="http://schemas.openxmlformats.org/officeDocument/2006/relationships/hyperlink" Target="https://doi.org/10.1177/1532440013496439" TargetMode="External"/><Relationship Id="rId28" Type="http://schemas.openxmlformats.org/officeDocument/2006/relationships/hyperlink" Target="https://doi.org/10.1016/j.socscimed.2005.08.061" TargetMode="External"/><Relationship Id="rId36" Type="http://schemas.openxmlformats.org/officeDocument/2006/relationships/hyperlink" Target="https://doi.org/10.1016/j.avb.2011.09.003" TargetMode="External"/><Relationship Id="rId49" Type="http://schemas.openxmlformats.org/officeDocument/2006/relationships/hyperlink" Target="https://doi.org/10.1080/10509674.2020.1784349" TargetMode="External"/><Relationship Id="rId57" Type="http://schemas.openxmlformats.org/officeDocument/2006/relationships/hyperlink" Target="https://doi.org/10.1515/9781400888306" TargetMode="External"/><Relationship Id="rId10" Type="http://schemas.openxmlformats.org/officeDocument/2006/relationships/hyperlink" Target="https://doi.org/10.1016/0092-6566(75)90001-X" TargetMode="External"/><Relationship Id="rId31" Type="http://schemas.openxmlformats.org/officeDocument/2006/relationships/hyperlink" Target="https://doi.org/10.1177/0146167206293191" TargetMode="External"/><Relationship Id="rId44" Type="http://schemas.openxmlformats.org/officeDocument/2006/relationships/hyperlink" Target="https://doi.org/10.1111/psj.12328" TargetMode="External"/><Relationship Id="rId52" Type="http://schemas.openxmlformats.org/officeDocument/2006/relationships/hyperlink" Target="https://doi.org/10.1146/annurev-criminol-011518-024826" TargetMode="External"/><Relationship Id="rId60" Type="http://schemas.openxmlformats.org/officeDocument/2006/relationships/hyperlink" Target="https://doi.org/10.1017/S1537592723001457" TargetMode="External"/><Relationship Id="rId65" Type="http://schemas.openxmlformats.org/officeDocument/2006/relationships/hyperlink" Target="https://ash.harvard.edu/wp-content/uploads/2024/06/Laws-That-Govern-Jail-Based-Voting.pdf" TargetMode="External"/><Relationship Id="rId7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207/s15327957pspr0303_3" TargetMode="External"/><Relationship Id="rId13" Type="http://schemas.openxmlformats.org/officeDocument/2006/relationships/hyperlink" Target="https://doi.org/10.1016/S0065-2601(07)00004-4" TargetMode="External"/><Relationship Id="rId18" Type="http://schemas.openxmlformats.org/officeDocument/2006/relationships/hyperlink" Target="https://doi.org/10.1086/715911" TargetMode="External"/><Relationship Id="rId39" Type="http://schemas.openxmlformats.org/officeDocument/2006/relationships/hyperlink" Target="https://doi.org/10.1177/0963721417708230" TargetMode="External"/><Relationship Id="rId34" Type="http://schemas.openxmlformats.org/officeDocument/2006/relationships/hyperlink" Target="https://doi.org/10.1093/poq/nfac017" TargetMode="External"/><Relationship Id="rId50" Type="http://schemas.openxmlformats.org/officeDocument/2006/relationships/hyperlink" Target="https://doi.org/10.1111/j.1540-5907.2011.00545.x" TargetMode="External"/><Relationship Id="rId55" Type="http://schemas.openxmlformats.org/officeDocument/2006/relationships/hyperlink" Target="https://doi.org/10.2307/2939044" TargetMode="External"/><Relationship Id="rId7" Type="http://schemas.openxmlformats.org/officeDocument/2006/relationships/hyperlink" Target="https://doi.org/10.1017/S002238161400019X" TargetMode="External"/><Relationship Id="rId71" Type="http://schemas.openxmlformats.org/officeDocument/2006/relationships/hyperlink" Target="https://doi.org/10.1080/21565503.2024.2362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42</Pages>
  <Words>15608</Words>
  <Characters>88966</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33</cp:revision>
  <cp:lastPrinted>2025-01-20T19:40:00Z</cp:lastPrinted>
  <dcterms:created xsi:type="dcterms:W3CDTF">2025-01-16T22:07:00Z</dcterms:created>
  <dcterms:modified xsi:type="dcterms:W3CDTF">2025-03-06T16:57:00Z</dcterms:modified>
</cp:coreProperties>
</file>