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38D1" w14:textId="77777777" w:rsidR="00816DAE" w:rsidRPr="00300942" w:rsidRDefault="00816DAE" w:rsidP="00816DAE">
      <w:pPr>
        <w:spacing w:line="360" w:lineRule="auto"/>
        <w:rPr>
          <w:sz w:val="23"/>
          <w:szCs w:val="23"/>
        </w:rPr>
      </w:pPr>
      <w:r w:rsidRPr="008010B8">
        <w:rPr>
          <w:sz w:val="23"/>
          <w:szCs w:val="23"/>
        </w:rPr>
        <w:t>At its core, it highlights a fundamental epistemic problem in criminal legal policy</w:t>
      </w:r>
      <w:r>
        <w:rPr>
          <w:sz w:val="23"/>
          <w:szCs w:val="23"/>
        </w:rPr>
        <w:t>, that troubles core claims of representative democracy</w:t>
      </w:r>
      <w:r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Pr="00300942">
        <w:rPr>
          <w:sz w:val="23"/>
          <w:szCs w:val="23"/>
        </w:rPr>
        <w:t xml:space="preserve"> (Hinton and Cook 2021, Pew 2023, Clark and Hansen 2020)</w:t>
      </w:r>
      <w:r w:rsidRPr="00300942">
        <w:rPr>
          <w:rStyle w:val="FootnoteReference"/>
          <w:sz w:val="23"/>
          <w:szCs w:val="23"/>
        </w:rPr>
        <w:footnoteReference w:id="1"/>
      </w:r>
      <w:r w:rsidRPr="00300942">
        <w:rPr>
          <w:sz w:val="23"/>
          <w:szCs w:val="23"/>
        </w:rPr>
        <w:t>.</w:t>
      </w:r>
    </w:p>
    <w:p w14:paraId="2CA76C3B" w14:textId="1DE4BB61" w:rsidR="00115106" w:rsidRDefault="00EA4201" w:rsidP="00816DAE">
      <w:pPr>
        <w:pStyle w:val="whitespace-pre-wrap"/>
        <w:spacing w:line="360" w:lineRule="auto"/>
        <w:rPr>
          <w:sz w:val="23"/>
          <w:szCs w:val="23"/>
        </w:rPr>
      </w:pPr>
      <w:r>
        <w:rPr>
          <w:sz w:val="23"/>
          <w:szCs w:val="23"/>
        </w:rPr>
        <w:t>What impact does this political exclusion have on criminal legal policy and debate? To begin to answer that question, t</w:t>
      </w:r>
      <w:r w:rsidR="00816DAE" w:rsidRPr="004B6AF3">
        <w:rPr>
          <w:sz w:val="23"/>
          <w:szCs w:val="23"/>
        </w:rPr>
        <w:t xml:space="preserve">his paper examines how perceptions of deservingness and related policy preferences differ between those directly impacted by incarceration and those who are not. </w:t>
      </w:r>
      <w:commentRangeStart w:id="0"/>
      <w:r w:rsidR="00816DAE" w:rsidRPr="00300942">
        <w:rPr>
          <w:sz w:val="23"/>
          <w:szCs w:val="23"/>
        </w:rPr>
        <w:t>Scholars have</w:t>
      </w:r>
      <w:commentRangeEnd w:id="0"/>
      <w:r w:rsidR="00816DAE">
        <w:rPr>
          <w:rStyle w:val="CommentReference"/>
        </w:rPr>
        <w:commentReference w:id="0"/>
      </w:r>
      <w:r w:rsidR="00816DAE" w:rsidRPr="00300942">
        <w:rPr>
          <w:sz w:val="23"/>
          <w:szCs w:val="23"/>
        </w:rPr>
        <w:t xml:space="preserve"> shown that what groups in society are perceived to deserve are institutional and discursive constructions, and others that these constructions may be undergirded by </w:t>
      </w:r>
      <w:proofErr w:type="gramStart"/>
      <w:r w:rsidR="00816DAE" w:rsidRPr="00300942">
        <w:rPr>
          <w:sz w:val="23"/>
          <w:szCs w:val="23"/>
        </w:rPr>
        <w:t>evolutionarily-derived</w:t>
      </w:r>
      <w:proofErr w:type="gramEnd"/>
      <w:r w:rsidR="00816DAE" w:rsidRPr="00300942">
        <w:rPr>
          <w:sz w:val="23"/>
          <w:szCs w:val="23"/>
        </w:rPr>
        <w:t xml:space="preserve"> mechanisms</w:t>
      </w:r>
      <w:r w:rsidR="00816DAE">
        <w:rPr>
          <w:sz w:val="23"/>
          <w:szCs w:val="23"/>
        </w:rPr>
        <w:t xml:space="preserve"> (</w:t>
      </w:r>
      <w:r w:rsidR="00816DAE" w:rsidRPr="008010B8">
        <w:rPr>
          <w:sz w:val="23"/>
          <w:szCs w:val="23"/>
        </w:rPr>
        <w:t>Schneider and Ingram</w:t>
      </w:r>
      <w:r w:rsidR="00816DAE">
        <w:rPr>
          <w:sz w:val="23"/>
          <w:szCs w:val="23"/>
        </w:rPr>
        <w:t xml:space="preserve"> 1993, </w:t>
      </w:r>
      <w:r w:rsidR="00816DAE" w:rsidRPr="008010B8">
        <w:rPr>
          <w:sz w:val="23"/>
          <w:szCs w:val="23"/>
        </w:rPr>
        <w:t xml:space="preserve">Petersen 2012, </w:t>
      </w:r>
      <w:proofErr w:type="spellStart"/>
      <w:r w:rsidR="00816DAE" w:rsidRPr="008010B8">
        <w:rPr>
          <w:sz w:val="23"/>
          <w:szCs w:val="23"/>
        </w:rPr>
        <w:t>Aaroe</w:t>
      </w:r>
      <w:proofErr w:type="spellEnd"/>
      <w:r w:rsidR="00816DAE" w:rsidRPr="008010B8">
        <w:rPr>
          <w:sz w:val="23"/>
          <w:szCs w:val="23"/>
        </w:rPr>
        <w:t xml:space="preserve"> and Petersen 2014</w:t>
      </w:r>
      <w:r w:rsidR="00816DAE">
        <w:rPr>
          <w:sz w:val="23"/>
          <w:szCs w:val="23"/>
        </w:rPr>
        <w:t>)</w:t>
      </w:r>
      <w:r w:rsidR="00816DAE" w:rsidRPr="00300942">
        <w:rPr>
          <w:sz w:val="23"/>
          <w:szCs w:val="23"/>
        </w:rPr>
        <w:t>.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w:t>
      </w:r>
      <w:r w:rsidR="00816DAE">
        <w:rPr>
          <w:sz w:val="23"/>
          <w:szCs w:val="23"/>
        </w:rPr>
        <w:t xml:space="preserve"> </w:t>
      </w:r>
      <w:r w:rsidR="00816DAE" w:rsidRPr="00300942">
        <w:rPr>
          <w:sz w:val="23"/>
          <w:szCs w:val="23"/>
        </w:rPr>
        <w:t xml:space="preserve">and on issues of democratic rights. </w:t>
      </w:r>
      <w:r w:rsidR="00816DAE" w:rsidRPr="004B6AF3">
        <w:rPr>
          <w:sz w:val="23"/>
          <w:szCs w:val="23"/>
        </w:rPr>
        <w:t xml:space="preserve">Drawing on </w:t>
      </w:r>
      <w:r w:rsidR="00816DAE">
        <w:rPr>
          <w:sz w:val="23"/>
          <w:szCs w:val="23"/>
        </w:rPr>
        <w:t>these literatures</w:t>
      </w:r>
      <w:r w:rsidR="00816DAE" w:rsidRPr="004B6AF3">
        <w:rPr>
          <w:sz w:val="23"/>
          <w:szCs w:val="23"/>
        </w:rPr>
        <w:t xml:space="preserve">, I develop and test hypotheses about how affect and identity fundamentally shape perceptions of carceral deservingness in ways </w:t>
      </w:r>
      <w:r w:rsidR="00816DAE">
        <w:rPr>
          <w:sz w:val="23"/>
          <w:szCs w:val="23"/>
        </w:rPr>
        <w:t xml:space="preserve">that are </w:t>
      </w:r>
      <w:r w:rsidR="00816DAE" w:rsidRPr="004B6AF3">
        <w:rPr>
          <w:sz w:val="23"/>
          <w:szCs w:val="23"/>
        </w:rPr>
        <w:t xml:space="preserve">distinct from other policy domains. </w:t>
      </w:r>
      <w:r w:rsidR="00115106">
        <w:rPr>
          <w:sz w:val="23"/>
          <w:szCs w:val="23"/>
        </w:rPr>
        <w:t xml:space="preserve">Consequently, </w:t>
      </w:r>
      <w:r w:rsidR="00816DAE" w:rsidRPr="00115106">
        <w:rPr>
          <w:sz w:val="23"/>
          <w:szCs w:val="23"/>
        </w:rPr>
        <w:t>direct experience with the carceral system</w:t>
      </w:r>
      <w:r w:rsidR="00115106">
        <w:rPr>
          <w:sz w:val="23"/>
          <w:szCs w:val="23"/>
        </w:rPr>
        <w:t xml:space="preserve"> will generate more positive and consistent perceptions of what carceral citizens deserve. It disrupts dehumanization of carceral citizens and provides concrete rather than abstract understanding of the complex dynamics that cause crime and confront carceral citizens and punished communities.</w:t>
      </w:r>
    </w:p>
    <w:p w14:paraId="726DCA20" w14:textId="77777777" w:rsidR="00115106" w:rsidRDefault="00816DAE" w:rsidP="00115106">
      <w:pPr>
        <w:pStyle w:val="whitespace-pre-wrap"/>
        <w:spacing w:line="360" w:lineRule="auto"/>
        <w:rPr>
          <w:sz w:val="23"/>
          <w:szCs w:val="23"/>
        </w:rPr>
      </w:pPr>
      <w:r w:rsidRPr="004B6AF3">
        <w:rPr>
          <w:sz w:val="23"/>
          <w:szCs w:val="23"/>
        </w:rPr>
        <w:t>This research addresses</w:t>
      </w:r>
      <w:r w:rsidR="00115106">
        <w:rPr>
          <w:sz w:val="23"/>
          <w:szCs w:val="23"/>
        </w:rPr>
        <w:t xml:space="preserve"> three</w:t>
      </w:r>
      <w:r w:rsidRPr="004B6AF3">
        <w:rPr>
          <w:sz w:val="23"/>
          <w:szCs w:val="23"/>
        </w:rPr>
        <w:t xml:space="preserve"> interrelated questions:</w:t>
      </w:r>
      <w:r w:rsidR="00115106">
        <w:rPr>
          <w:sz w:val="23"/>
          <w:szCs w:val="23"/>
        </w:rPr>
        <w:t xml:space="preserve"> </w:t>
      </w:r>
    </w:p>
    <w:p w14:paraId="7A0151FE" w14:textId="14E0187F" w:rsidR="00A75A07" w:rsidRPr="000953F3" w:rsidRDefault="00115106" w:rsidP="00115106">
      <w:pPr>
        <w:pStyle w:val="whitespace-pre-wrap"/>
        <w:spacing w:line="360" w:lineRule="auto"/>
        <w:rPr>
          <w:i/>
          <w:iCs/>
          <w:sz w:val="23"/>
          <w:szCs w:val="23"/>
        </w:rPr>
      </w:pPr>
      <w:r>
        <w:rPr>
          <w:sz w:val="23"/>
          <w:szCs w:val="23"/>
        </w:rPr>
        <w:t xml:space="preserve">First, </w:t>
      </w:r>
      <w:r w:rsidRPr="000953F3">
        <w:rPr>
          <w:i/>
          <w:iCs/>
          <w:sz w:val="23"/>
          <w:szCs w:val="23"/>
        </w:rPr>
        <w:t>h</w:t>
      </w:r>
      <w:r w:rsidR="00816DAE" w:rsidRPr="000953F3">
        <w:rPr>
          <w:i/>
          <w:iCs/>
          <w:sz w:val="23"/>
          <w:szCs w:val="23"/>
        </w:rPr>
        <w:t xml:space="preserve">ow </w:t>
      </w:r>
      <w:r w:rsidR="0083592C" w:rsidRPr="000953F3">
        <w:rPr>
          <w:i/>
          <w:iCs/>
          <w:sz w:val="23"/>
          <w:szCs w:val="23"/>
        </w:rPr>
        <w:t>do</w:t>
      </w:r>
      <w:r w:rsidR="00816DAE" w:rsidRPr="000953F3">
        <w:rPr>
          <w:i/>
          <w:iCs/>
          <w:sz w:val="23"/>
          <w:szCs w:val="23"/>
        </w:rPr>
        <w:t xml:space="preserve"> direct experience</w:t>
      </w:r>
      <w:r w:rsidR="0083592C" w:rsidRPr="000953F3">
        <w:rPr>
          <w:i/>
          <w:iCs/>
          <w:sz w:val="23"/>
          <w:szCs w:val="23"/>
        </w:rPr>
        <w:t>s</w:t>
      </w:r>
      <w:r w:rsidR="00816DAE" w:rsidRPr="000953F3">
        <w:rPr>
          <w:i/>
          <w:iCs/>
          <w:sz w:val="23"/>
          <w:szCs w:val="23"/>
        </w:rPr>
        <w:t xml:space="preserve"> with the criminal legal system</w:t>
      </w:r>
      <w:r w:rsidR="0083592C" w:rsidRPr="000953F3">
        <w:rPr>
          <w:i/>
          <w:iCs/>
          <w:sz w:val="23"/>
          <w:szCs w:val="23"/>
        </w:rPr>
        <w:t xml:space="preserve"> – experiencing incarceration, being victimized particularly by violent crime, and having social networks that extend into prisons</w:t>
      </w:r>
      <w:r w:rsidRPr="000953F3">
        <w:rPr>
          <w:i/>
          <w:iCs/>
          <w:sz w:val="23"/>
          <w:szCs w:val="23"/>
        </w:rPr>
        <w:t xml:space="preserve"> -- </w:t>
      </w:r>
      <w:r w:rsidR="00816DAE" w:rsidRPr="000953F3">
        <w:rPr>
          <w:i/>
          <w:iCs/>
          <w:sz w:val="23"/>
          <w:szCs w:val="23"/>
        </w:rPr>
        <w:t>shape perceptions of what incarcerated people deserve?</w:t>
      </w:r>
    </w:p>
    <w:p w14:paraId="663C2054" w14:textId="21E7B3A3" w:rsidR="000953F3" w:rsidRDefault="00115106" w:rsidP="00115106">
      <w:pPr>
        <w:pStyle w:val="whitespace-pre-wrap"/>
        <w:spacing w:line="360" w:lineRule="auto"/>
        <w:rPr>
          <w:sz w:val="23"/>
          <w:szCs w:val="23"/>
        </w:rPr>
      </w:pPr>
      <w:r>
        <w:rPr>
          <w:sz w:val="23"/>
          <w:szCs w:val="23"/>
        </w:rPr>
        <w:lastRenderedPageBreak/>
        <w:t>To answer this question, I consider the contemporary landscape criminal legal landscape in which reforms have primarily helped those serving drug and non-violent offenses</w:t>
      </w:r>
      <w:r w:rsidR="000953F3">
        <w:rPr>
          <w:sz w:val="23"/>
          <w:szCs w:val="23"/>
        </w:rPr>
        <w:t xml:space="preserve">. I also consider that Congresswoman Pressley’s interjection was notable in its centering of incarcerated </w:t>
      </w:r>
      <w:r w:rsidR="000953F3">
        <w:rPr>
          <w:i/>
          <w:iCs/>
          <w:sz w:val="23"/>
          <w:szCs w:val="23"/>
        </w:rPr>
        <w:t>political organizers</w:t>
      </w:r>
      <w:r w:rsidR="000953F3">
        <w:rPr>
          <w:sz w:val="23"/>
          <w:szCs w:val="23"/>
        </w:rPr>
        <w:t xml:space="preserve"> – a subset that is rarely centered in a policy debate that typically differentiates people only in terms of their conviction.</w:t>
      </w:r>
      <w:r>
        <w:rPr>
          <w:sz w:val="23"/>
          <w:szCs w:val="23"/>
        </w:rPr>
        <w:t xml:space="preserve"> This leads to the</w:t>
      </w:r>
      <w:r w:rsidR="000953F3">
        <w:rPr>
          <w:sz w:val="23"/>
          <w:szCs w:val="23"/>
        </w:rPr>
        <w:t xml:space="preserve"> second, or</w:t>
      </w:r>
      <w:r>
        <w:rPr>
          <w:sz w:val="23"/>
          <w:szCs w:val="23"/>
        </w:rPr>
        <w:t xml:space="preserve"> sub-question: </w:t>
      </w:r>
      <w:r w:rsidRPr="000953F3">
        <w:rPr>
          <w:i/>
          <w:iCs/>
          <w:sz w:val="23"/>
          <w:szCs w:val="23"/>
        </w:rPr>
        <w:t xml:space="preserve">does direct experience </w:t>
      </w:r>
      <w:r w:rsidR="000953F3" w:rsidRPr="000953F3">
        <w:rPr>
          <w:i/>
          <w:iCs/>
          <w:sz w:val="23"/>
          <w:szCs w:val="23"/>
        </w:rPr>
        <w:t>inform distinct perceptions of differences in what “carceral subgroups” deserve?</w:t>
      </w:r>
      <w:r w:rsidR="000953F3">
        <w:rPr>
          <w:sz w:val="23"/>
          <w:szCs w:val="23"/>
        </w:rPr>
        <w:t xml:space="preserve"> Put differently, do experiences with the criminal legal system impact how people differentiate between, say, incarcerated parents and incarcerated people more broadly?  </w:t>
      </w:r>
    </w:p>
    <w:p w14:paraId="06009FF5" w14:textId="350D7AF4" w:rsidR="000D4918" w:rsidRPr="000953F3" w:rsidRDefault="000953F3" w:rsidP="000953F3">
      <w:pPr>
        <w:pStyle w:val="whitespace-normal"/>
        <w:spacing w:line="360" w:lineRule="auto"/>
        <w:rPr>
          <w:i/>
          <w:iCs/>
          <w:sz w:val="23"/>
          <w:szCs w:val="23"/>
        </w:rPr>
      </w:pPr>
      <w:r>
        <w:rPr>
          <w:sz w:val="23"/>
          <w:szCs w:val="23"/>
        </w:rPr>
        <w:t>Finally, deservingness</w:t>
      </w:r>
      <w:r w:rsidR="00920600">
        <w:rPr>
          <w:sz w:val="23"/>
          <w:szCs w:val="23"/>
        </w:rPr>
        <w:t xml:space="preserve"> is particularly important to understand in this context, as it may translates into how people think about policy. Thus, I also ask </w:t>
      </w:r>
      <w:r w:rsidR="00920600">
        <w:rPr>
          <w:i/>
          <w:iCs/>
          <w:sz w:val="23"/>
          <w:szCs w:val="23"/>
        </w:rPr>
        <w:t>h</w:t>
      </w:r>
      <w:r w:rsidRPr="000953F3">
        <w:rPr>
          <w:i/>
          <w:iCs/>
          <w:sz w:val="23"/>
          <w:szCs w:val="23"/>
        </w:rPr>
        <w:t>ow experiences with the carceral system s</w:t>
      </w:r>
      <w:r w:rsidR="000D4918" w:rsidRPr="000953F3">
        <w:rPr>
          <w:i/>
          <w:iCs/>
          <w:sz w:val="23"/>
          <w:szCs w:val="23"/>
        </w:rPr>
        <w:t xml:space="preserve">hape </w:t>
      </w:r>
      <w:r w:rsidR="000D4918" w:rsidRPr="000953F3">
        <w:rPr>
          <w:i/>
          <w:iCs/>
          <w:sz w:val="23"/>
          <w:szCs w:val="23"/>
        </w:rPr>
        <w:t xml:space="preserve">perceptions of what </w:t>
      </w:r>
      <w:r w:rsidR="000D4918" w:rsidRPr="001A2B72">
        <w:rPr>
          <w:sz w:val="23"/>
          <w:szCs w:val="23"/>
        </w:rPr>
        <w:t>kinds of policy</w:t>
      </w:r>
      <w:r w:rsidR="000D4918" w:rsidRPr="000953F3">
        <w:rPr>
          <w:i/>
          <w:iCs/>
          <w:sz w:val="23"/>
          <w:szCs w:val="23"/>
        </w:rPr>
        <w:t xml:space="preserve"> carceral citizens deserve?</w:t>
      </w:r>
    </w:p>
    <w:p w14:paraId="226BACCA" w14:textId="4B9EEE15" w:rsidR="00816DAE" w:rsidRPr="007F39A8" w:rsidRDefault="00816DAE" w:rsidP="00816DAE">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w:t>
      </w:r>
      <w:r>
        <w:rPr>
          <w:sz w:val="23"/>
          <w:szCs w:val="23"/>
        </w:rPr>
        <w:t>d</w:t>
      </w:r>
      <w:r w:rsidRPr="007F39A8">
        <w:rPr>
          <w:sz w:val="23"/>
          <w:szCs w:val="23"/>
        </w:rPr>
        <w:t xml:space="preserve"> test hypotheses using novel survey data that</w:t>
      </w:r>
      <w:r>
        <w:rPr>
          <w:sz w:val="23"/>
          <w:szCs w:val="23"/>
        </w:rPr>
        <w:t xml:space="preserve"> measures</w:t>
      </w:r>
      <w:r w:rsidRPr="007F39A8">
        <w:rPr>
          <w:sz w:val="23"/>
          <w:szCs w:val="23"/>
        </w:rPr>
        <w:t xml:space="preserve"> perceptions of deservingness </w:t>
      </w:r>
      <w:r>
        <w:rPr>
          <w:sz w:val="23"/>
          <w:szCs w:val="23"/>
        </w:rPr>
        <w:t>across a wide array of groups, or policy targets</w:t>
      </w:r>
      <w:r w:rsidRPr="007F39A8">
        <w:rPr>
          <w:sz w:val="23"/>
          <w:szCs w:val="23"/>
        </w:rPr>
        <w:t xml:space="preserve">. </w:t>
      </w:r>
      <w:r w:rsidR="00920600">
        <w:rPr>
          <w:sz w:val="23"/>
          <w:szCs w:val="23"/>
        </w:rPr>
        <w:t xml:space="preserve">I expect that impacted groups see carceral citizens as more deserving. </w:t>
      </w:r>
      <w:proofErr w:type="spellStart"/>
      <w:r w:rsidRPr="007F39A8">
        <w:rPr>
          <w:sz w:val="23"/>
          <w:szCs w:val="23"/>
        </w:rPr>
        <w:t>While</w:t>
      </w:r>
      <w:proofErr w:type="spellEnd"/>
      <w:r w:rsidRPr="007F39A8">
        <w:rPr>
          <w:sz w:val="23"/>
          <w:szCs w:val="23"/>
        </w:rPr>
        <w:t xml:space="preserve"> existing literature demonstrates how CARIN criteria (control, attitude, reciprocity, identity, need) shape deservingness perceptions for target groups – primarily welfare recipients, I expect in carceral contexts, affect and identity </w:t>
      </w:r>
      <w:r>
        <w:rPr>
          <w:sz w:val="23"/>
          <w:szCs w:val="23"/>
        </w:rPr>
        <w:t xml:space="preserve">to </w:t>
      </w:r>
      <w:r w:rsidRPr="007F39A8">
        <w:rPr>
          <w:sz w:val="23"/>
          <w:szCs w:val="23"/>
        </w:rPr>
        <w:t xml:space="preserve">primarily shape perceptions of deservingness. </w:t>
      </w:r>
      <w:r w:rsidR="001A2B72">
        <w:rPr>
          <w:sz w:val="23"/>
          <w:szCs w:val="23"/>
        </w:rPr>
        <w:t xml:space="preserve">I consider how these attributes might inform differences in perceptions and policy support between for impacted groups. </w:t>
      </w:r>
    </w:p>
    <w:p w14:paraId="08C06DE6" w14:textId="77777777" w:rsidR="00760C6C" w:rsidRDefault="00760C6C"/>
    <w:sectPr w:rsidR="00760C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ndis Watts Smith" w:date="2025-01-12T11:05:00Z" w:initials="CS">
    <w:p w14:paraId="17D08C9D" w14:textId="77777777" w:rsidR="00816DAE" w:rsidRDefault="00816DAE" w:rsidP="00816DAE">
      <w:r>
        <w:rPr>
          <w:rStyle w:val="CommentReference"/>
        </w:rPr>
        <w:annotationRef/>
      </w:r>
      <w:r>
        <w:rPr>
          <w:color w:val="000000"/>
          <w:sz w:val="20"/>
          <w:szCs w:val="20"/>
        </w:rPr>
        <w:t>You’ll need a citation at the end of sentences that start with “Scholars say/show…”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D08C9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CEEB9E" w16cex:dateUtc="2025-01-12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08C9D" w16cid:durableId="50CEEB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0F3B" w14:textId="77777777" w:rsidR="00021092" w:rsidRDefault="00021092" w:rsidP="00816DAE">
      <w:r>
        <w:separator/>
      </w:r>
    </w:p>
  </w:endnote>
  <w:endnote w:type="continuationSeparator" w:id="0">
    <w:p w14:paraId="1E5A21C1" w14:textId="77777777" w:rsidR="00021092" w:rsidRDefault="00021092" w:rsidP="00816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9AD9" w14:textId="77777777" w:rsidR="00021092" w:rsidRDefault="00021092" w:rsidP="00816DAE">
      <w:r>
        <w:separator/>
      </w:r>
    </w:p>
  </w:footnote>
  <w:footnote w:type="continuationSeparator" w:id="0">
    <w:p w14:paraId="74DD3123" w14:textId="77777777" w:rsidR="00021092" w:rsidRDefault="00021092" w:rsidP="00816DAE">
      <w:r>
        <w:continuationSeparator/>
      </w:r>
    </w:p>
  </w:footnote>
  <w:footnote w:id="1">
    <w:p w14:paraId="40E627EF" w14:textId="77777777" w:rsidR="00816DAE" w:rsidRDefault="00816DAE" w:rsidP="00816DAE">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5896E399" w14:textId="77777777" w:rsidR="00816DAE" w:rsidRDefault="00816DAE" w:rsidP="00816DA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1659E"/>
    <w:multiLevelType w:val="multilevel"/>
    <w:tmpl w:val="30DEF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02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AE"/>
    <w:rsid w:val="0000145B"/>
    <w:rsid w:val="00004B39"/>
    <w:rsid w:val="000160A0"/>
    <w:rsid w:val="000165B8"/>
    <w:rsid w:val="00021092"/>
    <w:rsid w:val="00022097"/>
    <w:rsid w:val="0002297E"/>
    <w:rsid w:val="000306ED"/>
    <w:rsid w:val="00030A8C"/>
    <w:rsid w:val="00037BF8"/>
    <w:rsid w:val="000567DA"/>
    <w:rsid w:val="00060CBE"/>
    <w:rsid w:val="0006430A"/>
    <w:rsid w:val="000666CE"/>
    <w:rsid w:val="000731A7"/>
    <w:rsid w:val="00073DEA"/>
    <w:rsid w:val="00076A45"/>
    <w:rsid w:val="00085C11"/>
    <w:rsid w:val="000953F3"/>
    <w:rsid w:val="00095BD0"/>
    <w:rsid w:val="000C1731"/>
    <w:rsid w:val="000C49C5"/>
    <w:rsid w:val="000D060A"/>
    <w:rsid w:val="000D232F"/>
    <w:rsid w:val="000D4918"/>
    <w:rsid w:val="000E0CC4"/>
    <w:rsid w:val="000E2273"/>
    <w:rsid w:val="000F2810"/>
    <w:rsid w:val="000F5217"/>
    <w:rsid w:val="000F7032"/>
    <w:rsid w:val="00102EC1"/>
    <w:rsid w:val="00115106"/>
    <w:rsid w:val="00116A55"/>
    <w:rsid w:val="00124849"/>
    <w:rsid w:val="00125217"/>
    <w:rsid w:val="001348D5"/>
    <w:rsid w:val="00154191"/>
    <w:rsid w:val="001548D9"/>
    <w:rsid w:val="001549A9"/>
    <w:rsid w:val="001610D3"/>
    <w:rsid w:val="001632D4"/>
    <w:rsid w:val="00166993"/>
    <w:rsid w:val="0016729F"/>
    <w:rsid w:val="001A2B72"/>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A3E5C"/>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4EA2"/>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29E5"/>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16DAE"/>
    <w:rsid w:val="0083592C"/>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20600"/>
    <w:rsid w:val="00931DCD"/>
    <w:rsid w:val="0093302D"/>
    <w:rsid w:val="009339C4"/>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75A07"/>
    <w:rsid w:val="00A838B2"/>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4201"/>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5641"/>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F6741F"/>
  <w15:chartTrackingRefBased/>
  <w15:docId w15:val="{BE40DDF1-F59E-FC4F-8064-9478DEDB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DAE"/>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16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816D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6D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6D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6D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6D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816DA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16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AE"/>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16DAE"/>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16DA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16DA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16DA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16DA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16D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6DAE"/>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816DAE"/>
    <w:rPr>
      <w:i/>
      <w:iCs/>
      <w:color w:val="0F4761" w:themeColor="accent1" w:themeShade="BF"/>
    </w:rPr>
  </w:style>
  <w:style w:type="paragraph" w:styleId="IntenseQuote">
    <w:name w:val="Intense Quote"/>
    <w:basedOn w:val="Normal"/>
    <w:next w:val="Normal"/>
    <w:link w:val="IntenseQuoteChar"/>
    <w:uiPriority w:val="30"/>
    <w:qFormat/>
    <w:rsid w:val="0081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AE"/>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81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16DAE"/>
    <w:rPr>
      <w:sz w:val="20"/>
      <w:szCs w:val="20"/>
    </w:rPr>
  </w:style>
  <w:style w:type="character" w:customStyle="1" w:styleId="FootnoteTextChar">
    <w:name w:val="Footnote Text Char"/>
    <w:basedOn w:val="DefaultParagraphFont"/>
    <w:link w:val="FootnoteText"/>
    <w:uiPriority w:val="99"/>
    <w:semiHidden/>
    <w:rsid w:val="00816DAE"/>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816DAE"/>
    <w:rPr>
      <w:vertAlign w:val="superscript"/>
    </w:rPr>
  </w:style>
  <w:style w:type="paragraph" w:customStyle="1" w:styleId="whitespace-pre-wrap">
    <w:name w:val="whitespace-pre-wrap"/>
    <w:basedOn w:val="Normal"/>
    <w:rsid w:val="00816DAE"/>
    <w:pPr>
      <w:spacing w:before="100" w:beforeAutospacing="1" w:after="100" w:afterAutospacing="1"/>
    </w:pPr>
  </w:style>
  <w:style w:type="paragraph" w:customStyle="1" w:styleId="whitespace-normal">
    <w:name w:val="whitespace-normal"/>
    <w:basedOn w:val="Normal"/>
    <w:rsid w:val="00816DAE"/>
    <w:pPr>
      <w:spacing w:before="100" w:beforeAutospacing="1" w:after="100" w:afterAutospacing="1"/>
    </w:pPr>
  </w:style>
  <w:style w:type="character" w:styleId="CommentReference">
    <w:name w:val="annotation reference"/>
    <w:basedOn w:val="DefaultParagraphFont"/>
    <w:uiPriority w:val="99"/>
    <w:semiHidden/>
    <w:unhideWhenUsed/>
    <w:rsid w:val="00816DA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dcterms:created xsi:type="dcterms:W3CDTF">2025-01-16T17:02:00Z</dcterms:created>
  <dcterms:modified xsi:type="dcterms:W3CDTF">2025-01-16T22:08:00Z</dcterms:modified>
</cp:coreProperties>
</file>