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8F30" w14:textId="77777777" w:rsidR="00345C34" w:rsidRDefault="00345C34" w:rsidP="00345C34">
      <w:r>
        <w:t>## VI. Expected Implications and Research Agenda</w:t>
      </w:r>
    </w:p>
    <w:p w14:paraId="5949F9A1" w14:textId="77777777" w:rsidR="00345C34" w:rsidRDefault="00345C34" w:rsidP="00345C34"/>
    <w:p w14:paraId="05FA837D" w14:textId="77777777" w:rsidR="00345C34" w:rsidRDefault="00345C34" w:rsidP="00345C34">
      <w:r>
        <w:t>This research proposes to examine how direct experience with the criminal legal system shapes perceptions of what incarcerated people deserve and the policies they should be afforded. The analysis aims to contribute to our understanding of how epistemic gaps between impacted and non-impacted communities may influence criminal legal policy development and implementation. Here, I discuss the potential implications of this research, acknowledge important limitations of the proposed approach, and outline directions for future research.</w:t>
      </w:r>
    </w:p>
    <w:p w14:paraId="7692F865" w14:textId="77777777" w:rsidR="00345C34" w:rsidRDefault="00345C34" w:rsidP="00345C34"/>
    <w:p w14:paraId="7F503E69" w14:textId="77777777" w:rsidR="00345C34" w:rsidRDefault="00345C34" w:rsidP="00345C34">
      <w:r>
        <w:t>### Potential Empirical Contribution</w:t>
      </w:r>
    </w:p>
    <w:p w14:paraId="44774EEF" w14:textId="77777777" w:rsidR="00345C34" w:rsidRDefault="00345C34" w:rsidP="00345C34"/>
    <w:p w14:paraId="301C0C5A" w14:textId="77777777" w:rsidR="00345C34" w:rsidRDefault="00345C34" w:rsidP="00345C34">
      <w:r>
        <w:t>This research will provide evidence about whether and how direct experience with the criminal legal system—whether through personal incarceration, social networks extending into prisons, or victimization—shapes how people perceive incarcerated citizens' deservingness and what policies they believe should be available to them. The analysis may challenge or confirm dominant narratives that position victims and offenders as categorically distinct groups with opposing interests. It will examine whether concrete experience with the criminal legal system, regardless of its nature, fundamentally alters how people conceptualize carceral deservingness and policy.</w:t>
      </w:r>
    </w:p>
    <w:p w14:paraId="3F12B741" w14:textId="77777777" w:rsidR="00345C34" w:rsidRDefault="00345C34" w:rsidP="00345C34"/>
    <w:p w14:paraId="4C0D1B4B" w14:textId="77777777" w:rsidR="00345C34" w:rsidRDefault="00345C34" w:rsidP="00345C34">
      <w:r>
        <w:t>### Key Limitations and Future Research Directions</w:t>
      </w:r>
    </w:p>
    <w:p w14:paraId="2DDCEE8E" w14:textId="77777777" w:rsidR="00345C34" w:rsidRDefault="00345C34" w:rsidP="00345C34"/>
    <w:p w14:paraId="0FB87D0E" w14:textId="77777777" w:rsidR="00345C34" w:rsidRDefault="00345C34" w:rsidP="00345C34">
      <w:r>
        <w:t>#### Mechanisms Behind Impact Effects</w:t>
      </w:r>
    </w:p>
    <w:p w14:paraId="33A22FCB" w14:textId="77777777" w:rsidR="00345C34" w:rsidRDefault="00345C34" w:rsidP="00345C34"/>
    <w:p w14:paraId="701050F1" w14:textId="77777777" w:rsidR="00345C34" w:rsidRDefault="00345C34" w:rsidP="00345C34">
      <w:r>
        <w:t>While this study will document any systematic differences between impacted and non-impacted groups' perceptions, it cannot definitively identify the mechanisms driving these differences. The theoretical framework suggests several possible pathways: reduced dehumanization and disgust responses, more concrete understanding of system complexities, or fundamentally different affective responses to carceral citizens. However, the proposed data and analysis cannot distinguish between these mechanisms.</w:t>
      </w:r>
    </w:p>
    <w:p w14:paraId="3CFE115B" w14:textId="77777777" w:rsidR="00345C34" w:rsidRDefault="00345C34" w:rsidP="00345C34"/>
    <w:p w14:paraId="79ECA7CC" w14:textId="77777777" w:rsidR="00345C34" w:rsidRDefault="00345C34" w:rsidP="00345C34">
      <w:r>
        <w:t>Future research should explicitly test these pathways. This might include:</w:t>
      </w:r>
    </w:p>
    <w:p w14:paraId="06EE31DA" w14:textId="77777777" w:rsidR="00345C34" w:rsidRDefault="00345C34" w:rsidP="00345C34">
      <w:r>
        <w:t>- Measuring abstract versus concrete understanding of criminal legal system dynamics</w:t>
      </w:r>
    </w:p>
    <w:p w14:paraId="7AFB2BAB" w14:textId="77777777" w:rsidR="00345C34" w:rsidRDefault="00345C34" w:rsidP="00345C34">
      <w:r>
        <w:t>- Directly assessing affective responses to carceral citizens among different impacted groups</w:t>
      </w:r>
    </w:p>
    <w:p w14:paraId="10C73729" w14:textId="77777777" w:rsidR="00345C34" w:rsidRDefault="00345C34" w:rsidP="00345C34">
      <w:r>
        <w:t>- Using experimental designs to test whether concrete information about system complexities can shift non-impacted groups' perceptions</w:t>
      </w:r>
    </w:p>
    <w:p w14:paraId="459BD312" w14:textId="77777777" w:rsidR="00345C34" w:rsidRDefault="00345C34" w:rsidP="00345C34">
      <w:r>
        <w:t>- Examining how different forms of impact (victimization, family ties, personal incarceration) might operate through distinct mechanical pathways</w:t>
      </w:r>
    </w:p>
    <w:p w14:paraId="05FD35B4" w14:textId="77777777" w:rsidR="00345C34" w:rsidRDefault="00345C34" w:rsidP="00345C34"/>
    <w:p w14:paraId="5E01FDE6" w14:textId="77777777" w:rsidR="00345C34" w:rsidRDefault="00345C34" w:rsidP="00345C34">
      <w:r>
        <w:t>#### Group Differentiation Dynamics</w:t>
      </w:r>
    </w:p>
    <w:p w14:paraId="0D7653A6" w14:textId="77777777" w:rsidR="00345C34" w:rsidRDefault="00345C34" w:rsidP="00345C34"/>
    <w:p w14:paraId="0F73BAC9" w14:textId="77777777" w:rsidR="00345C34" w:rsidRDefault="00345C34" w:rsidP="00345C34">
      <w:r>
        <w:t>This study's cross-sectional design will capture a snapshot of how different types of impact relate to perceptions of carceral deservingness. However, it cannot reveal how these perceptions develop over time or shift in response to policy change. Moreover, while the data may suggest complex relationships between victim and offender status, we cannot fully map these dynamics.</w:t>
      </w:r>
    </w:p>
    <w:p w14:paraId="65D15C53" w14:textId="77777777" w:rsidR="00345C34" w:rsidRDefault="00345C34" w:rsidP="00345C34"/>
    <w:p w14:paraId="2BCFDBE8" w14:textId="77777777" w:rsidR="00345C34" w:rsidRDefault="00345C34" w:rsidP="00345C34">
      <w:r>
        <w:lastRenderedPageBreak/>
        <w:t>Future work should examine:</w:t>
      </w:r>
    </w:p>
    <w:p w14:paraId="60342181" w14:textId="77777777" w:rsidR="00345C34" w:rsidRDefault="00345C34" w:rsidP="00345C34">
      <w:r>
        <w:t>- How perceptions of deservingness evolve over time, particularly as people gain direct experience with the system</w:t>
      </w:r>
    </w:p>
    <w:p w14:paraId="4AF643FB" w14:textId="77777777" w:rsidR="00345C34" w:rsidRDefault="00345C34" w:rsidP="00345C34">
      <w:r>
        <w:t>- Whether and how policy changes (like voting rights restoration) shift how impacted groups differentiate between carceral subsets</w:t>
      </w:r>
    </w:p>
    <w:p w14:paraId="649AC029" w14:textId="77777777" w:rsidR="00345C34" w:rsidRDefault="00345C34" w:rsidP="00345C34">
      <w:r>
        <w:t>- The complex overlaps between victim and offender status, particularly in communities most impacted by incarceration</w:t>
      </w:r>
    </w:p>
    <w:p w14:paraId="1FCAC5C7" w14:textId="77777777" w:rsidR="00345C34" w:rsidRDefault="00345C34" w:rsidP="00345C34">
      <w:r>
        <w:t>- How different types of victimization might distinctly shape perceptions of carceral deservingness</w:t>
      </w:r>
    </w:p>
    <w:p w14:paraId="411237D0" w14:textId="77777777" w:rsidR="00345C34" w:rsidRDefault="00345C34" w:rsidP="00345C34"/>
    <w:p w14:paraId="72F3FC34" w14:textId="77777777" w:rsidR="00345C34" w:rsidRDefault="00345C34" w:rsidP="00345C34">
      <w:r>
        <w:t>#### Policy Implications and Translation</w:t>
      </w:r>
    </w:p>
    <w:p w14:paraId="151F4856" w14:textId="77777777" w:rsidR="00345C34" w:rsidRDefault="00345C34" w:rsidP="00345C34"/>
    <w:p w14:paraId="6C26BF04" w14:textId="77777777" w:rsidR="00345C34" w:rsidRDefault="00345C34" w:rsidP="00345C34">
      <w:r>
        <w:t>While this research will document any gaps between impacted and non-impacted groups' policy preferences, it cannot fully examine how these preferences translate to policy outcomes or implementation. The findings may suggest potential implementation challenges—as seen in Massachusetts' voting access law—but cannot directly test these dynamics.</w:t>
      </w:r>
    </w:p>
    <w:p w14:paraId="257AEA00" w14:textId="77777777" w:rsidR="00345C34" w:rsidRDefault="00345C34" w:rsidP="00345C34"/>
    <w:p w14:paraId="776FCB0D" w14:textId="77777777" w:rsidR="00345C34" w:rsidRDefault="00345C34" w:rsidP="00345C34">
      <w:r>
        <w:t>Further research will be needed to:</w:t>
      </w:r>
    </w:p>
    <w:p w14:paraId="16CDB5C0" w14:textId="77777777" w:rsidR="00345C34" w:rsidRDefault="00345C34" w:rsidP="00345C34">
      <w:r>
        <w:t>- Study the implementation of new voting access laws, particularly in states with divergent political contexts</w:t>
      </w:r>
    </w:p>
    <w:p w14:paraId="6CC23C52" w14:textId="77777777" w:rsidR="00345C34" w:rsidRDefault="00345C34" w:rsidP="00345C34">
      <w:r>
        <w:t>- Examine how bureaucratic discretion shapes policy implementation</w:t>
      </w:r>
    </w:p>
    <w:p w14:paraId="7291111E" w14:textId="77777777" w:rsidR="00345C34" w:rsidRDefault="00345C34" w:rsidP="00345C34">
      <w:r>
        <w:t>- Track policy feedback effects, especially how new policies might shift social constructions of carceral citizens</w:t>
      </w:r>
    </w:p>
    <w:p w14:paraId="424AAB80" w14:textId="77777777" w:rsidR="00345C34" w:rsidRDefault="00345C34" w:rsidP="00345C34">
      <w:r>
        <w:t>- Investigate how impacted communities' policy preferences might be better incorporated into policy development</w:t>
      </w:r>
    </w:p>
    <w:p w14:paraId="45A2343A" w14:textId="77777777" w:rsidR="00345C34" w:rsidRDefault="00345C34" w:rsidP="00345C34"/>
    <w:p w14:paraId="7ABA7008" w14:textId="77777777" w:rsidR="00345C34" w:rsidRDefault="00345C34" w:rsidP="00345C34">
      <w:r>
        <w:t>### Broader Theoretical Implications</w:t>
      </w:r>
    </w:p>
    <w:p w14:paraId="5D68D060" w14:textId="77777777" w:rsidR="00345C34" w:rsidRDefault="00345C34" w:rsidP="00345C34"/>
    <w:p w14:paraId="190EDB41" w14:textId="77777777" w:rsidR="00345C34" w:rsidRDefault="00345C34" w:rsidP="00345C34">
      <w:r>
        <w:t>#### Deservingness Framework</w:t>
      </w:r>
    </w:p>
    <w:p w14:paraId="69FE0110" w14:textId="77777777" w:rsidR="00345C34" w:rsidRDefault="00345C34" w:rsidP="00345C34"/>
    <w:p w14:paraId="507BA258" w14:textId="77777777" w:rsidR="00345C34" w:rsidRDefault="00345C34" w:rsidP="00345C34">
      <w:r>
        <w:t>This study may suggest the need to modify existing deservingness frameworks when applying them to carceral contexts. While CARIN criteria (control, attitude, reciprocity, identity, need) help explain deservingness perceptions in welfare contexts, carceral deservingness may be distinctly shaped by affect and dehumanization. Moreover, the role of concrete versus abstract understanding may be particularly important in criminal legal contexts, where dominant narratives often rely on dehumanized abstractions of "criminals" or "inmates."</w:t>
      </w:r>
    </w:p>
    <w:p w14:paraId="320FFA83" w14:textId="77777777" w:rsidR="00345C34" w:rsidRDefault="00345C34" w:rsidP="00345C34"/>
    <w:p w14:paraId="2A0A46B0" w14:textId="77777777" w:rsidR="00345C34" w:rsidRDefault="00345C34" w:rsidP="00345C34">
      <w:r>
        <w:t>#### Social Construction Theory</w:t>
      </w:r>
    </w:p>
    <w:p w14:paraId="67469245" w14:textId="77777777" w:rsidR="00345C34" w:rsidRDefault="00345C34" w:rsidP="00345C34"/>
    <w:p w14:paraId="19665416" w14:textId="77777777" w:rsidR="00345C34" w:rsidRDefault="00345C34" w:rsidP="00345C34">
      <w:r>
        <w:t>The analysis aims to contribute to social construction theory by examining how direct experience might disrupt dominant constructions of "deviant" groups. This could suggest both the resilience and potential malleability of social constructions, particularly when confronted with concrete rather than abstract understanding. The research also raises important questions about policy feedback effects—how existing policies shape constructions of carceral citizens, and how these constructions might shift with policy change.</w:t>
      </w:r>
    </w:p>
    <w:p w14:paraId="05B47C81" w14:textId="77777777" w:rsidR="00345C34" w:rsidRDefault="00345C34" w:rsidP="00345C34"/>
    <w:p w14:paraId="7819104A" w14:textId="77777777" w:rsidR="00345C34" w:rsidRDefault="00345C34" w:rsidP="00345C34">
      <w:r>
        <w:lastRenderedPageBreak/>
        <w:t>#### Democratic Theory</w:t>
      </w:r>
    </w:p>
    <w:p w14:paraId="7492E642" w14:textId="77777777" w:rsidR="00345C34" w:rsidRDefault="00345C34" w:rsidP="00345C34"/>
    <w:p w14:paraId="42986A16" w14:textId="77777777" w:rsidR="00345C34" w:rsidRDefault="00345C34" w:rsidP="00345C34">
      <w:r>
        <w:t>This research highlights critical epistemic implications of excluding impacted voices from policy formation. If systematic differences between impacted and non-impacted groups' perceptions are found, it would suggest that criminal legal policy developed without meaningful input from impacted communities may reflect and reinforce abstract, dehumanized understandings of carceral citizens. This has particular significance for policies governing democratic rights, where assumptions about moral differentiation may justify political exclusion.</w:t>
      </w:r>
    </w:p>
    <w:p w14:paraId="6C2AAE6C" w14:textId="77777777" w:rsidR="00345C34" w:rsidRDefault="00345C34" w:rsidP="00345C34"/>
    <w:p w14:paraId="3C725CAC" w14:textId="77777777" w:rsidR="00345C34" w:rsidRDefault="00345C34" w:rsidP="00345C34">
      <w:r>
        <w:t>### Potential Policy Implications</w:t>
      </w:r>
    </w:p>
    <w:p w14:paraId="0A59FAA5" w14:textId="77777777" w:rsidR="00345C34" w:rsidRDefault="00345C34" w:rsidP="00345C34"/>
    <w:p w14:paraId="38F13C59" w14:textId="77777777" w:rsidR="00345C34" w:rsidRDefault="00345C34" w:rsidP="00345C34">
      <w:r>
        <w:t>This analysis may have several implications for policy development and implementation:</w:t>
      </w:r>
    </w:p>
    <w:p w14:paraId="19A4E2D9" w14:textId="77777777" w:rsidR="00345C34" w:rsidRDefault="00345C34" w:rsidP="00345C34"/>
    <w:p w14:paraId="659F615E" w14:textId="77777777" w:rsidR="00345C34" w:rsidRDefault="00345C34" w:rsidP="00345C34">
      <w:r>
        <w:t xml:space="preserve">First, it could demonstrate the importance of meaningfully incorporating impacted voices in criminal legal policy formation. If systematic differences exist in how impacted and non-impacted groups perceive carceral deservingness, it </w:t>
      </w:r>
      <w:proofErr w:type="gramStart"/>
      <w:r>
        <w:t>would</w:t>
      </w:r>
      <w:proofErr w:type="gramEnd"/>
      <w:r>
        <w:t xml:space="preserve"> indicate that policy developed primarily by non-impacted policymakers may reflect incomplete or abstract understanding of system dynamics.</w:t>
      </w:r>
    </w:p>
    <w:p w14:paraId="2E673861" w14:textId="77777777" w:rsidR="00345C34" w:rsidRDefault="00345C34" w:rsidP="00345C34"/>
    <w:p w14:paraId="48EAA3ED" w14:textId="77777777" w:rsidR="00345C34" w:rsidRDefault="00345C34" w:rsidP="00345C34">
      <w:r>
        <w:t>Second, the analysis may highlight the need to consider differential impact of policies on various carceral subgroups. If both impacted and non-impacted groups differentiate between carceral subsets but do so in distinct ways, it would suggest the importance of careful policy design that considers how different subgroups might be distinctly affected.</w:t>
      </w:r>
    </w:p>
    <w:p w14:paraId="6C9F87E6" w14:textId="77777777" w:rsidR="00345C34" w:rsidRDefault="00345C34" w:rsidP="00345C34"/>
    <w:p w14:paraId="3F2D635D" w14:textId="77777777" w:rsidR="00345C34" w:rsidRDefault="00345C34" w:rsidP="00345C34">
      <w:r>
        <w:t xml:space="preserve">Finally, if the findings indicate that direct experience fundamentally shapes how people understand what carceral citizens deserve, it </w:t>
      </w:r>
      <w:proofErr w:type="gramStart"/>
      <w:r>
        <w:t>would suggest</w:t>
      </w:r>
      <w:proofErr w:type="gramEnd"/>
      <w:r>
        <w:t xml:space="preserve"> that creating opportunities for concrete rather than abstract understanding of criminal legal system dynamics might be important for developing more effective and equitable policy.</w:t>
      </w:r>
    </w:p>
    <w:p w14:paraId="4B49B456" w14:textId="77777777" w:rsidR="00345C34" w:rsidRDefault="00345C34" w:rsidP="00345C34"/>
    <w:p w14:paraId="3211A076" w14:textId="65982101" w:rsidR="00760C6C" w:rsidRPr="00345C34" w:rsidRDefault="00345C34" w:rsidP="00345C34">
      <w:r>
        <w:t>In conclusion, while this study cannot definitively identify all mechanisms linking impact to perceptions of deservingness, it aims to provide important evidence about whether direct experience with the criminal legal system systematically shapes how people think about what carceral citizens deserve. This could have significant implications for how we approach criminal legal policy development and implementation, particularly as it relates to democratic rights and representation.</w:t>
      </w:r>
    </w:p>
    <w:sectPr w:rsidR="00760C6C" w:rsidRPr="00345C34" w:rsidSect="00102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2F19D" w14:textId="77777777" w:rsidR="007456F6" w:rsidRDefault="007456F6" w:rsidP="00B86A28">
      <w:r>
        <w:separator/>
      </w:r>
    </w:p>
  </w:endnote>
  <w:endnote w:type="continuationSeparator" w:id="0">
    <w:p w14:paraId="14086A76" w14:textId="77777777" w:rsidR="007456F6" w:rsidRDefault="007456F6" w:rsidP="00B86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9CD31" w14:textId="77777777" w:rsidR="007456F6" w:rsidRDefault="007456F6" w:rsidP="00B86A28">
      <w:r>
        <w:separator/>
      </w:r>
    </w:p>
  </w:footnote>
  <w:footnote w:type="continuationSeparator" w:id="0">
    <w:p w14:paraId="59C7A6BB" w14:textId="77777777" w:rsidR="007456F6" w:rsidRDefault="007456F6" w:rsidP="00B86A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FB"/>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95BD0"/>
    <w:rsid w:val="000C1731"/>
    <w:rsid w:val="000C49C5"/>
    <w:rsid w:val="000D060A"/>
    <w:rsid w:val="000D232F"/>
    <w:rsid w:val="000E0CC4"/>
    <w:rsid w:val="000E2273"/>
    <w:rsid w:val="000F2810"/>
    <w:rsid w:val="000F5217"/>
    <w:rsid w:val="000F7032"/>
    <w:rsid w:val="00102EC1"/>
    <w:rsid w:val="00116A55"/>
    <w:rsid w:val="00124849"/>
    <w:rsid w:val="00125217"/>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46E5A"/>
    <w:rsid w:val="00250029"/>
    <w:rsid w:val="00256025"/>
    <w:rsid w:val="00264DA6"/>
    <w:rsid w:val="002679E9"/>
    <w:rsid w:val="00283586"/>
    <w:rsid w:val="00291F8D"/>
    <w:rsid w:val="002A12FD"/>
    <w:rsid w:val="002A3E5C"/>
    <w:rsid w:val="002C3D1D"/>
    <w:rsid w:val="002C64FC"/>
    <w:rsid w:val="002D71A9"/>
    <w:rsid w:val="002E5A77"/>
    <w:rsid w:val="002F4102"/>
    <w:rsid w:val="002F6609"/>
    <w:rsid w:val="002F75ED"/>
    <w:rsid w:val="003118B9"/>
    <w:rsid w:val="00324D4D"/>
    <w:rsid w:val="003327B8"/>
    <w:rsid w:val="00332933"/>
    <w:rsid w:val="003368F2"/>
    <w:rsid w:val="003443C2"/>
    <w:rsid w:val="00345C34"/>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4EA2"/>
    <w:rsid w:val="00625D0B"/>
    <w:rsid w:val="00637CDE"/>
    <w:rsid w:val="00653CC4"/>
    <w:rsid w:val="006651AB"/>
    <w:rsid w:val="00673452"/>
    <w:rsid w:val="00674FAC"/>
    <w:rsid w:val="006832AB"/>
    <w:rsid w:val="006914E3"/>
    <w:rsid w:val="00692B49"/>
    <w:rsid w:val="006937A5"/>
    <w:rsid w:val="006A142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29E5"/>
    <w:rsid w:val="007260E7"/>
    <w:rsid w:val="007322FB"/>
    <w:rsid w:val="0074211B"/>
    <w:rsid w:val="00743F83"/>
    <w:rsid w:val="007456F6"/>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7AE8"/>
    <w:rsid w:val="00865B41"/>
    <w:rsid w:val="0086741D"/>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339C4"/>
    <w:rsid w:val="009410B8"/>
    <w:rsid w:val="00947B45"/>
    <w:rsid w:val="0095054A"/>
    <w:rsid w:val="00960ABD"/>
    <w:rsid w:val="00967766"/>
    <w:rsid w:val="009804F0"/>
    <w:rsid w:val="009812A5"/>
    <w:rsid w:val="009A07F1"/>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86A28"/>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AC0365"/>
  <w15:chartTrackingRefBased/>
  <w15:docId w15:val="{12749119-F3FD-8C40-A94A-69C8BC23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FB"/>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7322F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link w:val="Heading2Char"/>
    <w:uiPriority w:val="9"/>
    <w:unhideWhenUsed/>
    <w:qFormat/>
    <w:rsid w:val="006E1CDD"/>
    <w:pPr>
      <w:ind w:left="1339"/>
      <w:outlineLvl w:val="1"/>
    </w:pPr>
    <w:rPr>
      <w:rFonts w:ascii="Montserrat" w:hAnsi="Montserrat"/>
      <w:b/>
      <w:bCs/>
      <w:kern w:val="2"/>
      <w:sz w:val="21"/>
      <w:szCs w:val="21"/>
      <w14:ligatures w14:val="standardContextual"/>
    </w:rPr>
  </w:style>
  <w:style w:type="paragraph" w:styleId="Heading3">
    <w:name w:val="heading 3"/>
    <w:basedOn w:val="Normal"/>
    <w:next w:val="Normal"/>
    <w:link w:val="Heading3Char"/>
    <w:uiPriority w:val="9"/>
    <w:semiHidden/>
    <w:unhideWhenUsed/>
    <w:qFormat/>
    <w:rsid w:val="007322FB"/>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322FB"/>
    <w:pPr>
      <w:keepNext/>
      <w:keepLines/>
      <w:spacing w:before="80" w:after="40"/>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7322FB"/>
    <w:pPr>
      <w:keepNext/>
      <w:keepLines/>
      <w:spacing w:before="80" w:after="40"/>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7322FB"/>
    <w:pPr>
      <w:keepNext/>
      <w:keepLines/>
      <w:spacing w:before="40"/>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7322FB"/>
    <w:pPr>
      <w:keepNext/>
      <w:keepLines/>
      <w:spacing w:before="40"/>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7322FB"/>
    <w:pPr>
      <w:keepNext/>
      <w:keepLines/>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7322FB"/>
    <w:pPr>
      <w:keepNext/>
      <w:keepLines/>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rPr>
      <w:rFonts w:ascii="Open Sans" w:hAnsi="Open Sans"/>
      <w:kern w:val="2"/>
      <w:sz w:val="22"/>
      <w14:ligatures w14:val="standardContextual"/>
    </w:rPr>
  </w:style>
  <w:style w:type="character" w:customStyle="1" w:styleId="Heading1Char">
    <w:name w:val="Heading 1 Char"/>
    <w:basedOn w:val="DefaultParagraphFont"/>
    <w:link w:val="Heading1"/>
    <w:uiPriority w:val="9"/>
    <w:rsid w:val="007322F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32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2F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7322F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7322F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322F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322F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322F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322F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32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2FB"/>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32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2FB"/>
    <w:pPr>
      <w:spacing w:before="160" w:after="160"/>
      <w:jc w:val="center"/>
    </w:pPr>
    <w:rPr>
      <w:rFonts w:ascii="Open Sans" w:hAnsi="Open Sans"/>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7322F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7322FB"/>
    <w:rPr>
      <w:i/>
      <w:iCs/>
      <w:color w:val="0F4761" w:themeColor="accent1" w:themeShade="BF"/>
    </w:rPr>
  </w:style>
  <w:style w:type="paragraph" w:styleId="IntenseQuote">
    <w:name w:val="Intense Quote"/>
    <w:basedOn w:val="Normal"/>
    <w:next w:val="Normal"/>
    <w:link w:val="IntenseQuoteChar"/>
    <w:uiPriority w:val="30"/>
    <w:qFormat/>
    <w:rsid w:val="007322FB"/>
    <w:pPr>
      <w:pBdr>
        <w:top w:val="single" w:sz="4" w:space="10" w:color="0F4761" w:themeColor="accent1" w:themeShade="BF"/>
        <w:bottom w:val="single" w:sz="4" w:space="10" w:color="0F4761" w:themeColor="accent1" w:themeShade="BF"/>
      </w:pBdr>
      <w:spacing w:before="360" w:after="360"/>
      <w:ind w:left="864" w:right="864"/>
      <w:jc w:val="center"/>
    </w:pPr>
    <w:rPr>
      <w:rFonts w:ascii="Open Sans" w:hAnsi="Open Sans"/>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7322F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7322FB"/>
    <w:rPr>
      <w:b/>
      <w:bCs/>
      <w:smallCaps/>
      <w:color w:val="0F4761" w:themeColor="accent1" w:themeShade="BF"/>
      <w:spacing w:val="5"/>
    </w:rPr>
  </w:style>
  <w:style w:type="character" w:styleId="CommentReference">
    <w:name w:val="annotation reference"/>
    <w:basedOn w:val="DefaultParagraphFont"/>
    <w:uiPriority w:val="99"/>
    <w:semiHidden/>
    <w:unhideWhenUsed/>
    <w:rsid w:val="007322FB"/>
    <w:rPr>
      <w:sz w:val="16"/>
      <w:szCs w:val="16"/>
    </w:rPr>
  </w:style>
  <w:style w:type="paragraph" w:customStyle="1" w:styleId="whitespace-pre-wrap">
    <w:name w:val="whitespace-pre-wrap"/>
    <w:basedOn w:val="Normal"/>
    <w:rsid w:val="00B86A28"/>
    <w:pPr>
      <w:spacing w:before="100" w:beforeAutospacing="1" w:after="100" w:afterAutospacing="1"/>
    </w:pPr>
  </w:style>
  <w:style w:type="paragraph" w:styleId="FootnoteText">
    <w:name w:val="footnote text"/>
    <w:basedOn w:val="Normal"/>
    <w:link w:val="FootnoteTextChar"/>
    <w:uiPriority w:val="99"/>
    <w:semiHidden/>
    <w:unhideWhenUsed/>
    <w:rsid w:val="00B86A28"/>
    <w:rPr>
      <w:sz w:val="20"/>
      <w:szCs w:val="20"/>
    </w:rPr>
  </w:style>
  <w:style w:type="character" w:customStyle="1" w:styleId="FootnoteTextChar">
    <w:name w:val="Footnote Text Char"/>
    <w:basedOn w:val="DefaultParagraphFont"/>
    <w:link w:val="FootnoteText"/>
    <w:uiPriority w:val="99"/>
    <w:semiHidden/>
    <w:rsid w:val="00B86A28"/>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86A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2025-01-16T19:31:00Z</dcterms:created>
  <dcterms:modified xsi:type="dcterms:W3CDTF">2025-01-17T00:50:00Z</dcterms:modified>
</cp:coreProperties>
</file>