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2B711" w14:textId="77777777" w:rsidR="002B4F57" w:rsidRDefault="002B4F57">
      <w:pPr>
        <w:rPr>
          <w:rFonts w:ascii="Times New Roman" w:hAnsi="Times New Roman"/>
        </w:rPr>
      </w:pPr>
      <w:r>
        <w:rPr>
          <w:rFonts w:ascii="Times New Roman" w:hAnsi="Times New Roman"/>
        </w:rPr>
        <w:t>Contents</w:t>
      </w:r>
    </w:p>
    <w:p w14:paraId="487259E6" w14:textId="77777777" w:rsidR="002B4F57" w:rsidRDefault="002B4F57">
      <w:pPr>
        <w:rPr>
          <w:rFonts w:ascii="Times New Roman" w:hAnsi="Times New Roman"/>
        </w:rPr>
      </w:pPr>
    </w:p>
    <w:p w14:paraId="0665E0FF" w14:textId="0B25E943" w:rsidR="00760C6C" w:rsidRPr="00F57563" w:rsidRDefault="000B5375">
      <w:pPr>
        <w:rPr>
          <w:rFonts w:ascii="Times New Roman" w:hAnsi="Times New Roman"/>
          <w:b/>
          <w:bCs/>
        </w:rPr>
      </w:pPr>
      <w:r w:rsidRPr="00F57563">
        <w:rPr>
          <w:rFonts w:ascii="Times New Roman" w:hAnsi="Times New Roman"/>
          <w:b/>
          <w:bCs/>
        </w:rPr>
        <w:t>Introduction and Background</w:t>
      </w:r>
    </w:p>
    <w:p w14:paraId="15C17DF8" w14:textId="77777777" w:rsidR="000B5375" w:rsidRDefault="000B5375">
      <w:pPr>
        <w:rPr>
          <w:rFonts w:ascii="Times New Roman" w:hAnsi="Times New Roman"/>
        </w:rPr>
      </w:pPr>
    </w:p>
    <w:p w14:paraId="617D662B" w14:textId="6B45FBBC" w:rsidR="00A056CA" w:rsidRDefault="00F57563">
      <w:pPr>
        <w:rPr>
          <w:rFonts w:ascii="Times New Roman" w:hAnsi="Times New Roman"/>
        </w:rPr>
      </w:pPr>
      <w:r>
        <w:rPr>
          <w:rFonts w:ascii="Times New Roman" w:hAnsi="Times New Roman"/>
        </w:rPr>
        <w:t>Research Questions:</w:t>
      </w:r>
    </w:p>
    <w:p w14:paraId="096D2560" w14:textId="77777777" w:rsidR="00A056CA" w:rsidRDefault="00A056CA">
      <w:pPr>
        <w:rPr>
          <w:rFonts w:ascii="Times New Roman" w:hAnsi="Times New Roman"/>
        </w:rPr>
      </w:pPr>
    </w:p>
    <w:p w14:paraId="1EDDE8E5" w14:textId="1706AE39" w:rsidR="00A056CA" w:rsidRPr="00A056CA" w:rsidRDefault="00A056CA">
      <w:pPr>
        <w:rPr>
          <w:rFonts w:ascii="Times New Roman" w:hAnsi="Times New Roman"/>
          <w:i/>
          <w:iCs/>
        </w:rPr>
      </w:pPr>
      <w:r w:rsidRPr="00A056CA">
        <w:rPr>
          <w:rFonts w:ascii="Times New Roman" w:hAnsi="Times New Roman"/>
          <w:i/>
          <w:iCs/>
        </w:rPr>
        <w:t>How do people decide whether currently or formerly incarcerated people deserve political (voting) rights? Can these opinions be changed? And if so, can changes last?</w:t>
      </w:r>
    </w:p>
    <w:p w14:paraId="1DC93422" w14:textId="77777777" w:rsidR="00A056CA" w:rsidRDefault="00A056CA">
      <w:pPr>
        <w:rPr>
          <w:rFonts w:ascii="Times New Roman" w:hAnsi="Times New Roman"/>
        </w:rPr>
      </w:pPr>
    </w:p>
    <w:p w14:paraId="74B61E07" w14:textId="5B195E15" w:rsidR="00AD24B9" w:rsidRDefault="00F57563">
      <w:pPr>
        <w:rPr>
          <w:rFonts w:ascii="Times New Roman" w:hAnsi="Times New Roman"/>
        </w:rPr>
      </w:pPr>
      <w:r>
        <w:rPr>
          <w:rFonts w:ascii="Times New Roman" w:hAnsi="Times New Roman"/>
        </w:rPr>
        <w:t>Social construction theory suggests that people decide who should get what based on evaluations of a target population’s perceived deservingness and power. Social constructions of “the criminal” are negative. However, like many target groups and policy issues, people who are</w:t>
      </w:r>
      <w:r w:rsidR="00AD24B9">
        <w:rPr>
          <w:rFonts w:ascii="Times New Roman" w:hAnsi="Times New Roman"/>
        </w:rPr>
        <w:t xml:space="preserve"> impacted by carceral policies </w:t>
      </w:r>
      <w:r>
        <w:rPr>
          <w:rFonts w:ascii="Times New Roman" w:hAnsi="Times New Roman"/>
        </w:rPr>
        <w:t>are multi-dimensional</w:t>
      </w:r>
      <w:r w:rsidR="00AD24B9">
        <w:rPr>
          <w:rFonts w:ascii="Times New Roman" w:hAnsi="Times New Roman"/>
        </w:rPr>
        <w:t>. P</w:t>
      </w:r>
      <w:r>
        <w:rPr>
          <w:rFonts w:ascii="Times New Roman" w:hAnsi="Times New Roman"/>
        </w:rPr>
        <w:t xml:space="preserve">olicy issues particularly governing political rights for the incarcerated are intersectional. </w:t>
      </w:r>
      <w:r w:rsidR="00AD24B9">
        <w:rPr>
          <w:rFonts w:ascii="Times New Roman" w:hAnsi="Times New Roman"/>
        </w:rPr>
        <w:t xml:space="preserve">While it the relationship between the ‘broken thermostat’ syndrome – or public support for increased punitiveness regardless of policy change – and </w:t>
      </w:r>
      <w:r w:rsidR="00A11FB8">
        <w:rPr>
          <w:rFonts w:ascii="Times New Roman" w:hAnsi="Times New Roman"/>
        </w:rPr>
        <w:t xml:space="preserve">seemingly fixed, negative </w:t>
      </w:r>
      <w:r w:rsidR="00AD24B9">
        <w:rPr>
          <w:rFonts w:ascii="Times New Roman" w:hAnsi="Times New Roman"/>
        </w:rPr>
        <w:t xml:space="preserve">social constructions </w:t>
      </w:r>
      <w:r w:rsidR="00A11FB8">
        <w:rPr>
          <w:rFonts w:ascii="Times New Roman" w:hAnsi="Times New Roman"/>
        </w:rPr>
        <w:t>of criminals is intuitive, criminal legal policy change is more varied (something).</w:t>
      </w:r>
    </w:p>
    <w:p w14:paraId="7C6EEF4E" w14:textId="77777777" w:rsidR="00AD24B9" w:rsidRDefault="00AD24B9">
      <w:pPr>
        <w:rPr>
          <w:rFonts w:ascii="Times New Roman" w:hAnsi="Times New Roman"/>
        </w:rPr>
      </w:pPr>
    </w:p>
    <w:p w14:paraId="4E8746CD" w14:textId="09AAE70F" w:rsidR="00F57563" w:rsidRDefault="00F57563">
      <w:pPr>
        <w:rPr>
          <w:rFonts w:ascii="Times New Roman" w:hAnsi="Times New Roman"/>
        </w:rPr>
      </w:pPr>
      <w:r>
        <w:rPr>
          <w:rFonts w:ascii="Times New Roman" w:hAnsi="Times New Roman"/>
        </w:rPr>
        <w:t>Thus, in this pre-analysis plan, and as a step towards answering the above, I ask:</w:t>
      </w:r>
    </w:p>
    <w:p w14:paraId="56D83F05" w14:textId="77777777" w:rsidR="00F57563" w:rsidRDefault="00F57563">
      <w:pPr>
        <w:rPr>
          <w:rFonts w:ascii="Times New Roman" w:hAnsi="Times New Roman"/>
        </w:rPr>
      </w:pPr>
    </w:p>
    <w:p w14:paraId="2C1BDED6" w14:textId="6326F415" w:rsidR="00F57563" w:rsidRDefault="00F57563" w:rsidP="00F57563">
      <w:pPr>
        <w:pStyle w:val="ListParagraph"/>
        <w:numPr>
          <w:ilvl w:val="0"/>
          <w:numId w:val="6"/>
        </w:numPr>
        <w:rPr>
          <w:rFonts w:ascii="Times New Roman" w:hAnsi="Times New Roman"/>
          <w:i/>
          <w:iCs/>
        </w:rPr>
      </w:pPr>
      <w:r>
        <w:rPr>
          <w:rFonts w:ascii="Times New Roman" w:hAnsi="Times New Roman"/>
          <w:i/>
          <w:iCs/>
        </w:rPr>
        <w:t xml:space="preserve">(1) </w:t>
      </w:r>
      <w:r w:rsidRPr="00F57563">
        <w:rPr>
          <w:rFonts w:ascii="Times New Roman" w:hAnsi="Times New Roman"/>
          <w:i/>
          <w:iCs/>
        </w:rPr>
        <w:t xml:space="preserve">Do respondents “update” their deservingness evaluations for </w:t>
      </w:r>
      <w:r w:rsidR="00D513C7" w:rsidRPr="00F57563">
        <w:rPr>
          <w:rFonts w:ascii="Times New Roman" w:hAnsi="Times New Roman"/>
          <w:i/>
          <w:iCs/>
        </w:rPr>
        <w:t>subsets</w:t>
      </w:r>
      <w:r w:rsidRPr="00F57563">
        <w:rPr>
          <w:rFonts w:ascii="Times New Roman" w:hAnsi="Times New Roman"/>
          <w:i/>
          <w:iCs/>
        </w:rPr>
        <w:t xml:space="preserve"> of a target population, or a more developed target population</w:t>
      </w:r>
      <w:r w:rsidR="00D513C7">
        <w:rPr>
          <w:rFonts w:ascii="Times New Roman" w:hAnsi="Times New Roman"/>
          <w:i/>
          <w:iCs/>
        </w:rPr>
        <w:t xml:space="preserve"> (“incarcerated parents”). </w:t>
      </w:r>
    </w:p>
    <w:p w14:paraId="64D11AE8" w14:textId="324E3AA1" w:rsidR="00F57563" w:rsidRPr="00F57563" w:rsidRDefault="00F57563" w:rsidP="00F57563">
      <w:pPr>
        <w:pStyle w:val="ListParagraph"/>
        <w:numPr>
          <w:ilvl w:val="0"/>
          <w:numId w:val="6"/>
        </w:numPr>
        <w:rPr>
          <w:rFonts w:ascii="Times New Roman" w:hAnsi="Times New Roman"/>
          <w:i/>
          <w:iCs/>
        </w:rPr>
      </w:pPr>
      <w:r>
        <w:rPr>
          <w:rFonts w:ascii="Times New Roman" w:hAnsi="Times New Roman"/>
          <w:i/>
          <w:iCs/>
        </w:rPr>
        <w:t>(2) Can support for “intersectional” policies operate independently of punitiveness?</w:t>
      </w:r>
    </w:p>
    <w:p w14:paraId="3D5720D6" w14:textId="77777777" w:rsidR="00F57563" w:rsidRDefault="00F57563">
      <w:pPr>
        <w:rPr>
          <w:rFonts w:ascii="Times New Roman" w:hAnsi="Times New Roman"/>
        </w:rPr>
      </w:pPr>
    </w:p>
    <w:p w14:paraId="001CB34A" w14:textId="464B2433" w:rsidR="00F57563" w:rsidRDefault="00A3598A">
      <w:pPr>
        <w:rPr>
          <w:rFonts w:ascii="Times New Roman" w:hAnsi="Times New Roman"/>
        </w:rPr>
      </w:pPr>
      <w:r>
        <w:rPr>
          <w:rFonts w:ascii="Times New Roman" w:hAnsi="Times New Roman"/>
        </w:rPr>
        <w:t>Within these questions, I’m particularly interested i</w:t>
      </w:r>
      <w:r w:rsidR="006B7FB8">
        <w:rPr>
          <w:rFonts w:ascii="Times New Roman" w:hAnsi="Times New Roman"/>
        </w:rPr>
        <w:t xml:space="preserve">n whether (1)  personal experience with crime and the carceral system, (2) punitiveness, and (3) race and racial resentment, mediates or moderates deservingness evaluations and support for policy. </w:t>
      </w:r>
    </w:p>
    <w:p w14:paraId="0771A27C" w14:textId="77777777" w:rsidR="00A3598A" w:rsidRDefault="00A3598A">
      <w:pPr>
        <w:rPr>
          <w:rFonts w:ascii="Times New Roman" w:hAnsi="Times New Roman"/>
        </w:rPr>
      </w:pPr>
    </w:p>
    <w:p w14:paraId="2D85C3A3" w14:textId="15254D72" w:rsidR="0021435A" w:rsidRDefault="00A3598A">
      <w:pPr>
        <w:rPr>
          <w:rFonts w:ascii="Times New Roman" w:hAnsi="Times New Roman"/>
        </w:rPr>
      </w:pPr>
      <w:r>
        <w:rPr>
          <w:rFonts w:ascii="Times New Roman" w:hAnsi="Times New Roman"/>
          <w:b/>
          <w:bCs/>
        </w:rPr>
        <w:t>In the long term</w:t>
      </w:r>
      <w:r w:rsidR="00A056CA" w:rsidRPr="00A056CA">
        <w:rPr>
          <w:rFonts w:ascii="Times New Roman" w:hAnsi="Times New Roman"/>
          <w:b/>
          <w:bCs/>
        </w:rPr>
        <w:t>:</w:t>
      </w:r>
      <w:r w:rsidR="00A056CA">
        <w:rPr>
          <w:rFonts w:ascii="Times New Roman" w:hAnsi="Times New Roman"/>
        </w:rPr>
        <w:t xml:space="preserve"> Can exposure to incarcerated civic engagement and political participation modify the social constructions of incarcerated people, deservingness evaluations of incarcerated people, policy preferences surrounding incarcerated voting, and punitiveness?</w:t>
      </w:r>
    </w:p>
    <w:p w14:paraId="32788446" w14:textId="77777777" w:rsidR="007B49CB" w:rsidRDefault="007B49CB">
      <w:pPr>
        <w:rPr>
          <w:rFonts w:ascii="Times New Roman" w:hAnsi="Times New Roman"/>
        </w:rPr>
      </w:pPr>
    </w:p>
    <w:p w14:paraId="70A34537" w14:textId="2B66A6ED" w:rsidR="00F57563" w:rsidRDefault="000B5375" w:rsidP="00F57563">
      <w:pPr>
        <w:rPr>
          <w:rFonts w:ascii="Times New Roman" w:hAnsi="Times New Roman"/>
        </w:rPr>
      </w:pPr>
      <w:r w:rsidRPr="00F57563">
        <w:rPr>
          <w:rFonts w:ascii="Times New Roman" w:hAnsi="Times New Roman"/>
        </w:rPr>
        <w:t>Puzzle</w:t>
      </w:r>
      <w:r w:rsidR="00F57563">
        <w:rPr>
          <w:rFonts w:ascii="Times New Roman" w:hAnsi="Times New Roman"/>
        </w:rPr>
        <w:t>/</w:t>
      </w:r>
      <w:r w:rsidR="00F57563" w:rsidRPr="00F57563">
        <w:rPr>
          <w:rFonts w:ascii="Times New Roman" w:hAnsi="Times New Roman"/>
        </w:rPr>
        <w:t>Motivation</w:t>
      </w:r>
      <w:r w:rsidR="00A3598A">
        <w:rPr>
          <w:rFonts w:ascii="Times New Roman" w:hAnsi="Times New Roman"/>
        </w:rPr>
        <w:t xml:space="preserve"> </w:t>
      </w:r>
    </w:p>
    <w:p w14:paraId="16308A78" w14:textId="42A3352F" w:rsidR="000B5375" w:rsidRPr="00F57563" w:rsidRDefault="000B5375" w:rsidP="00F57563">
      <w:pPr>
        <w:rPr>
          <w:rFonts w:ascii="Times New Roman" w:hAnsi="Times New Roman"/>
        </w:rPr>
      </w:pPr>
    </w:p>
    <w:p w14:paraId="3D8C7878" w14:textId="58D8F1E0" w:rsidR="0021435A" w:rsidRDefault="0021435A" w:rsidP="00F57563">
      <w:pPr>
        <w:pStyle w:val="ListParagraph"/>
        <w:numPr>
          <w:ilvl w:val="0"/>
          <w:numId w:val="1"/>
        </w:numPr>
        <w:rPr>
          <w:rFonts w:ascii="Times New Roman" w:hAnsi="Times New Roman"/>
        </w:rPr>
      </w:pPr>
      <w:r>
        <w:rPr>
          <w:rFonts w:ascii="Times New Roman" w:hAnsi="Times New Roman"/>
        </w:rPr>
        <w:t xml:space="preserve">CARIN says XYZ, painting a damning picture of people who are incarcerated and helping explain the success of the “broken thermostat” effect. </w:t>
      </w:r>
    </w:p>
    <w:p w14:paraId="6AD0F277"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But criminal legal policy – or policy governing the rights of and resources available to incarcerated people – is intersectional. A “criminal” in the real world and for matters of policy is not single dimensional.  And in practice, there is a limit to one dimensional social constructions. </w:t>
      </w:r>
    </w:p>
    <w:p w14:paraId="2A1B9096"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1. In context of shifting policy and xyz, want to understand how changing policy and exposure xyz will, if at all, modify deservingness evaluations and policy views. </w:t>
      </w:r>
    </w:p>
    <w:p w14:paraId="1A4FA512" w14:textId="5BE6CCAE" w:rsidR="0021435A" w:rsidRDefault="0021435A" w:rsidP="00F57563">
      <w:pPr>
        <w:pStyle w:val="ListParagraph"/>
        <w:numPr>
          <w:ilvl w:val="0"/>
          <w:numId w:val="1"/>
        </w:numPr>
        <w:rPr>
          <w:rFonts w:ascii="Times New Roman" w:hAnsi="Times New Roman"/>
        </w:rPr>
      </w:pPr>
      <w:r>
        <w:rPr>
          <w:rFonts w:ascii="Times New Roman" w:hAnsi="Times New Roman"/>
        </w:rPr>
        <w:t xml:space="preserve">2. But first to do that, ask  </w:t>
      </w:r>
    </w:p>
    <w:p w14:paraId="13EC28EB" w14:textId="77777777" w:rsidR="00F57563" w:rsidRPr="00F57563" w:rsidRDefault="00F57563" w:rsidP="00F57563">
      <w:pPr>
        <w:rPr>
          <w:rFonts w:ascii="Times New Roman" w:hAnsi="Times New Roman"/>
        </w:rPr>
      </w:pPr>
    </w:p>
    <w:p w14:paraId="54451E82" w14:textId="5A7497B2" w:rsidR="000B5375" w:rsidRPr="00F57563" w:rsidRDefault="000B5375" w:rsidP="00F57563">
      <w:pPr>
        <w:rPr>
          <w:rFonts w:ascii="Times New Roman" w:hAnsi="Times New Roman"/>
        </w:rPr>
      </w:pPr>
      <w:r w:rsidRPr="00F57563">
        <w:rPr>
          <w:rFonts w:ascii="Times New Roman" w:hAnsi="Times New Roman"/>
        </w:rPr>
        <w:t>Brief overview of the proposal</w:t>
      </w:r>
    </w:p>
    <w:p w14:paraId="1D254CD5" w14:textId="77777777" w:rsidR="000B5375" w:rsidRDefault="000B5375" w:rsidP="000B5375">
      <w:pPr>
        <w:rPr>
          <w:rFonts w:ascii="Times New Roman" w:hAnsi="Times New Roman"/>
        </w:rPr>
      </w:pPr>
    </w:p>
    <w:p w14:paraId="76E865E9" w14:textId="606DB19F" w:rsidR="000B5375" w:rsidRDefault="000B5375" w:rsidP="000B5375">
      <w:pPr>
        <w:rPr>
          <w:rFonts w:ascii="Times New Roman" w:hAnsi="Times New Roman"/>
        </w:rPr>
      </w:pPr>
      <w:r>
        <w:rPr>
          <w:rFonts w:ascii="Times New Roman" w:hAnsi="Times New Roman"/>
        </w:rPr>
        <w:t>Existing Literature</w:t>
      </w:r>
    </w:p>
    <w:p w14:paraId="2A399463" w14:textId="0318A3A8" w:rsidR="000B5375" w:rsidRDefault="000B5375" w:rsidP="000B5375">
      <w:pPr>
        <w:pStyle w:val="ListParagraph"/>
        <w:numPr>
          <w:ilvl w:val="0"/>
          <w:numId w:val="3"/>
        </w:numPr>
        <w:rPr>
          <w:rFonts w:ascii="Times New Roman" w:hAnsi="Times New Roman"/>
        </w:rPr>
      </w:pPr>
      <w:r>
        <w:rPr>
          <w:rFonts w:ascii="Times New Roman" w:hAnsi="Times New Roman"/>
        </w:rPr>
        <w:t>What scholars know</w:t>
      </w:r>
    </w:p>
    <w:p w14:paraId="48FC70AA" w14:textId="1D6794D5" w:rsidR="002B4F57" w:rsidRDefault="002B4F57" w:rsidP="002B4F57">
      <w:pPr>
        <w:pStyle w:val="ListParagraph"/>
        <w:numPr>
          <w:ilvl w:val="1"/>
          <w:numId w:val="3"/>
        </w:numPr>
        <w:rPr>
          <w:rFonts w:ascii="Times New Roman" w:hAnsi="Times New Roman"/>
        </w:rPr>
      </w:pPr>
      <w:r>
        <w:rPr>
          <w:rFonts w:ascii="Times New Roman" w:hAnsi="Times New Roman"/>
        </w:rPr>
        <w:t xml:space="preserve">Social construction &amp; deservingness </w:t>
      </w:r>
    </w:p>
    <w:p w14:paraId="53483338" w14:textId="4CF2EFFF" w:rsidR="00D513C7" w:rsidRDefault="00D513C7" w:rsidP="002B4F57">
      <w:pPr>
        <w:pStyle w:val="ListParagraph"/>
        <w:numPr>
          <w:ilvl w:val="1"/>
          <w:numId w:val="3"/>
        </w:numPr>
        <w:rPr>
          <w:rFonts w:ascii="Times New Roman" w:hAnsi="Times New Roman"/>
        </w:rPr>
      </w:pPr>
      <w:r>
        <w:rPr>
          <w:rFonts w:ascii="Times New Roman" w:hAnsi="Times New Roman"/>
        </w:rPr>
        <w:t>Punitiveness</w:t>
      </w:r>
    </w:p>
    <w:p w14:paraId="4153EF54" w14:textId="459C7BC7" w:rsidR="00D513C7" w:rsidRDefault="00D513C7" w:rsidP="002B4F57">
      <w:pPr>
        <w:pStyle w:val="ListParagraph"/>
        <w:numPr>
          <w:ilvl w:val="1"/>
          <w:numId w:val="3"/>
        </w:numPr>
        <w:rPr>
          <w:rFonts w:ascii="Times New Roman" w:hAnsi="Times New Roman"/>
        </w:rPr>
      </w:pPr>
      <w:r>
        <w:rPr>
          <w:rFonts w:ascii="Times New Roman" w:hAnsi="Times New Roman"/>
        </w:rPr>
        <w:t>Stereotypes/interruption</w:t>
      </w:r>
    </w:p>
    <w:p w14:paraId="1C6DAA7E" w14:textId="2EF8C5D7" w:rsidR="000B5375" w:rsidRPr="002B4F57" w:rsidRDefault="000B5375" w:rsidP="002B4F57">
      <w:pPr>
        <w:pStyle w:val="ListParagraph"/>
        <w:numPr>
          <w:ilvl w:val="0"/>
          <w:numId w:val="3"/>
        </w:numPr>
        <w:rPr>
          <w:rFonts w:ascii="Times New Roman" w:hAnsi="Times New Roman"/>
        </w:rPr>
      </w:pPr>
      <w:r>
        <w:rPr>
          <w:rFonts w:ascii="Times New Roman" w:hAnsi="Times New Roman"/>
        </w:rPr>
        <w:lastRenderedPageBreak/>
        <w:t>What scholars don’t know or what is not adequately explained</w:t>
      </w:r>
    </w:p>
    <w:p w14:paraId="6D618CE0" w14:textId="77777777" w:rsidR="000B5375" w:rsidRPr="000B5375" w:rsidRDefault="000B5375" w:rsidP="000B5375">
      <w:pPr>
        <w:rPr>
          <w:rFonts w:ascii="Times New Roman" w:hAnsi="Times New Roman"/>
        </w:rPr>
      </w:pPr>
    </w:p>
    <w:p w14:paraId="21AE258D" w14:textId="7E783E05" w:rsidR="000B5375" w:rsidRDefault="000B5375" w:rsidP="000B5375">
      <w:pPr>
        <w:rPr>
          <w:rFonts w:ascii="Times New Roman" w:hAnsi="Times New Roman"/>
        </w:rPr>
      </w:pPr>
      <w:r>
        <w:rPr>
          <w:rFonts w:ascii="Times New Roman" w:hAnsi="Times New Roman"/>
        </w:rPr>
        <w:t>Proposed Theory &amp; Hypothesis</w:t>
      </w:r>
    </w:p>
    <w:p w14:paraId="0DB287C8" w14:textId="77777777" w:rsidR="000B5375" w:rsidRPr="00D513C7" w:rsidRDefault="000B5375" w:rsidP="00D513C7">
      <w:pPr>
        <w:rPr>
          <w:rFonts w:ascii="Times New Roman" w:hAnsi="Times New Roman"/>
        </w:rPr>
      </w:pPr>
    </w:p>
    <w:p w14:paraId="6B7DE14D" w14:textId="77777777" w:rsidR="000B5375" w:rsidRDefault="000B5375" w:rsidP="000B5375">
      <w:pPr>
        <w:pStyle w:val="ListParagraph"/>
        <w:numPr>
          <w:ilvl w:val="0"/>
          <w:numId w:val="2"/>
        </w:numPr>
        <w:rPr>
          <w:rFonts w:ascii="Times New Roman" w:hAnsi="Times New Roman"/>
        </w:rPr>
      </w:pPr>
      <w:r>
        <w:rPr>
          <w:rFonts w:ascii="Times New Roman" w:hAnsi="Times New Roman"/>
        </w:rPr>
        <w:t>Causal Relationships</w:t>
      </w:r>
    </w:p>
    <w:p w14:paraId="68D17E44" w14:textId="77777777" w:rsidR="00D513C7" w:rsidRDefault="00D513C7" w:rsidP="00E609A3">
      <w:pPr>
        <w:rPr>
          <w:rFonts w:ascii="Times New Roman" w:hAnsi="Times New Roman"/>
        </w:rPr>
      </w:pPr>
    </w:p>
    <w:p w14:paraId="46230C78" w14:textId="38387446" w:rsidR="00E609A3" w:rsidRDefault="00E609A3" w:rsidP="00E609A3">
      <w:pPr>
        <w:rPr>
          <w:rFonts w:ascii="Times New Roman" w:hAnsi="Times New Roman"/>
        </w:rPr>
      </w:pPr>
      <w:r>
        <w:rPr>
          <w:rFonts w:ascii="Times New Roman" w:hAnsi="Times New Roman"/>
        </w:rPr>
        <w:t>Mini-hypotheses?</w:t>
      </w:r>
    </w:p>
    <w:p w14:paraId="748BD378" w14:textId="77777777" w:rsidR="00E609A3" w:rsidRPr="00E609A3" w:rsidRDefault="00E609A3" w:rsidP="00E609A3">
      <w:pPr>
        <w:rPr>
          <w:rFonts w:ascii="Times New Roman" w:hAnsi="Times New Roman"/>
        </w:rPr>
      </w:pPr>
    </w:p>
    <w:p w14:paraId="7BBE7772" w14:textId="77777777" w:rsidR="000B5375" w:rsidRDefault="000B5375" w:rsidP="000B5375">
      <w:pPr>
        <w:rPr>
          <w:rFonts w:ascii="Times New Roman" w:hAnsi="Times New Roman"/>
        </w:rPr>
      </w:pPr>
    </w:p>
    <w:p w14:paraId="7F3F8047" w14:textId="77777777" w:rsidR="000B5375" w:rsidRDefault="000B5375" w:rsidP="000B5375">
      <w:pPr>
        <w:rPr>
          <w:rFonts w:ascii="Times New Roman" w:hAnsi="Times New Roman"/>
        </w:rPr>
      </w:pPr>
      <w:r>
        <w:rPr>
          <w:rFonts w:ascii="Times New Roman" w:hAnsi="Times New Roman"/>
        </w:rPr>
        <w:t>Proposed Methods &amp; Analysis</w:t>
      </w:r>
    </w:p>
    <w:p w14:paraId="667BF3C2" w14:textId="2FB1E206" w:rsidR="000B5375" w:rsidRDefault="000B5375" w:rsidP="000B5375">
      <w:pPr>
        <w:pStyle w:val="ListParagraph"/>
        <w:numPr>
          <w:ilvl w:val="0"/>
          <w:numId w:val="2"/>
        </w:numPr>
        <w:rPr>
          <w:rFonts w:ascii="Times New Roman" w:hAnsi="Times New Roman"/>
        </w:rPr>
      </w:pPr>
      <w:r>
        <w:rPr>
          <w:rFonts w:ascii="Times New Roman" w:hAnsi="Times New Roman"/>
        </w:rPr>
        <w:t>Survey</w:t>
      </w:r>
    </w:p>
    <w:p w14:paraId="56232692" w14:textId="4C215504" w:rsidR="00B90598" w:rsidRDefault="00182264" w:rsidP="000B5375">
      <w:pPr>
        <w:pStyle w:val="ListParagraph"/>
        <w:numPr>
          <w:ilvl w:val="0"/>
          <w:numId w:val="2"/>
        </w:numPr>
        <w:rPr>
          <w:rFonts w:ascii="Times New Roman" w:hAnsi="Times New Roman"/>
        </w:rPr>
      </w:pPr>
      <w:r>
        <w:rPr>
          <w:rFonts w:ascii="Times New Roman" w:hAnsi="Times New Roman"/>
        </w:rPr>
        <w:t>Scores:</w:t>
      </w:r>
    </w:p>
    <w:p w14:paraId="39EB5F13" w14:textId="462D1F72" w:rsidR="00182264" w:rsidRDefault="00182264" w:rsidP="00182264">
      <w:pPr>
        <w:pStyle w:val="ListParagraph"/>
        <w:numPr>
          <w:ilvl w:val="1"/>
          <w:numId w:val="2"/>
        </w:numPr>
        <w:rPr>
          <w:rFonts w:ascii="Times New Roman" w:hAnsi="Times New Roman"/>
        </w:rPr>
      </w:pPr>
      <w:r>
        <w:rPr>
          <w:rFonts w:ascii="Times New Roman" w:hAnsi="Times New Roman"/>
        </w:rPr>
        <w:t>All the reasons I would expect someone to say/stay no</w:t>
      </w:r>
    </w:p>
    <w:p w14:paraId="7CE18106" w14:textId="77777777" w:rsidR="00182264" w:rsidRDefault="00182264" w:rsidP="00182264">
      <w:pPr>
        <w:pStyle w:val="ListParagraph"/>
        <w:numPr>
          <w:ilvl w:val="1"/>
          <w:numId w:val="2"/>
        </w:numPr>
        <w:rPr>
          <w:rFonts w:ascii="Times New Roman" w:hAnsi="Times New Roman"/>
        </w:rPr>
      </w:pPr>
    </w:p>
    <w:p w14:paraId="5E6CBF59" w14:textId="77777777" w:rsidR="000B5375" w:rsidRDefault="000B5375" w:rsidP="000B5375">
      <w:pPr>
        <w:rPr>
          <w:rFonts w:ascii="Times New Roman" w:hAnsi="Times New Roman"/>
        </w:rPr>
      </w:pPr>
    </w:p>
    <w:p w14:paraId="78A63A7E" w14:textId="7FB8D909" w:rsidR="000B5375" w:rsidRDefault="000B5375" w:rsidP="000B5375">
      <w:pPr>
        <w:rPr>
          <w:rFonts w:ascii="Times New Roman" w:hAnsi="Times New Roman"/>
        </w:rPr>
      </w:pPr>
      <w:r>
        <w:rPr>
          <w:rFonts w:ascii="Times New Roman" w:hAnsi="Times New Roman"/>
        </w:rPr>
        <w:t>Implications</w:t>
      </w:r>
    </w:p>
    <w:p w14:paraId="37DA0A05" w14:textId="77777777" w:rsidR="000B5375" w:rsidRDefault="000B5375" w:rsidP="002B4F57">
      <w:pPr>
        <w:rPr>
          <w:rFonts w:ascii="Times New Roman" w:hAnsi="Times New Roman"/>
        </w:rPr>
      </w:pPr>
    </w:p>
    <w:p w14:paraId="3675A8F2" w14:textId="77777777" w:rsidR="002B555E" w:rsidRPr="002B555E" w:rsidRDefault="002B555E" w:rsidP="002B555E">
      <w:pPr>
        <w:rPr>
          <w:rFonts w:ascii="Times New Roman" w:hAnsi="Times New Roman"/>
        </w:rPr>
      </w:pPr>
    </w:p>
    <w:p w14:paraId="5ADF0B3A" w14:textId="77777777" w:rsidR="002B555E" w:rsidRPr="002B555E" w:rsidRDefault="002B555E" w:rsidP="002B555E">
      <w:pPr>
        <w:rPr>
          <w:rFonts w:ascii="Times New Roman" w:hAnsi="Times New Roman"/>
        </w:rPr>
      </w:pPr>
      <w:r w:rsidRPr="002B555E">
        <w:rPr>
          <w:rFonts w:ascii="Times New Roman" w:hAnsi="Times New Roman"/>
        </w:rPr>
        <w:t xml:space="preserve">My motivation/what I really want to know is </w:t>
      </w:r>
    </w:p>
    <w:p w14:paraId="39BE9C91"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To what extent are policies surrounding political rights in prison (+ prison policy more broadly) driven by  mostly-white and also significantly Dem/liberal publics + elites who have little personal/social connection to the carceral system</w:t>
      </w:r>
    </w:p>
    <w:p w14:paraId="6089411D"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Does exposure to incarcerated activism (whether via vignettes, the recorded/written testimony I have, op-eds, etc) impact social constructions/policy preferences. (Re: Broockman)</w:t>
      </w:r>
    </w:p>
    <w:p w14:paraId="0C93D898"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What can changing policies around incarcerated voting access + increased incarcerated political participation (ie, in committee hearings) do for the policy landscape? Assuming that most carceral policy reflects invisibilization of race/class subjugated communities, white/wealthy domination in policy process. </w:t>
      </w:r>
    </w:p>
    <w:p w14:paraId="1EE8F7A4" w14:textId="77777777" w:rsidR="002B555E" w:rsidRPr="002B555E" w:rsidRDefault="002B555E" w:rsidP="002B555E">
      <w:pPr>
        <w:rPr>
          <w:rFonts w:ascii="Times New Roman" w:hAnsi="Times New Roman"/>
        </w:rPr>
      </w:pPr>
    </w:p>
    <w:p w14:paraId="592A6F65" w14:textId="77777777" w:rsidR="002B555E" w:rsidRDefault="002B555E" w:rsidP="002B4F57">
      <w:pPr>
        <w:rPr>
          <w:rFonts w:ascii="Times New Roman" w:hAnsi="Times New Roman"/>
        </w:rPr>
      </w:pPr>
    </w:p>
    <w:p w14:paraId="57D56FEC" w14:textId="77777777" w:rsidR="002B4F57" w:rsidRDefault="002B4F57" w:rsidP="002B4F57">
      <w:pPr>
        <w:rPr>
          <w:rFonts w:ascii="Times New Roman" w:hAnsi="Times New Roman"/>
        </w:rPr>
      </w:pPr>
    </w:p>
    <w:p w14:paraId="0193D5D5" w14:textId="7DC7D814" w:rsidR="002B4F57" w:rsidRDefault="002B4F57" w:rsidP="002B4F57">
      <w:pPr>
        <w:jc w:val="center"/>
        <w:rPr>
          <w:rFonts w:ascii="Times New Roman" w:hAnsi="Times New Roman"/>
        </w:rPr>
      </w:pPr>
      <w:r>
        <w:rPr>
          <w:rFonts w:ascii="Times New Roman" w:hAnsi="Times New Roman"/>
        </w:rPr>
        <w:t>Introduction and Background</w:t>
      </w:r>
    </w:p>
    <w:p w14:paraId="4FB7E777" w14:textId="77777777" w:rsidR="00F900C0" w:rsidRDefault="00F900C0" w:rsidP="00F900C0">
      <w:pPr>
        <w:rPr>
          <w:rFonts w:ascii="Times New Roman" w:hAnsi="Times New Roman"/>
        </w:rPr>
      </w:pPr>
    </w:p>
    <w:p w14:paraId="362092BA" w14:textId="77777777" w:rsidR="003967BE" w:rsidRDefault="003967BE" w:rsidP="00F900C0">
      <w:pPr>
        <w:rPr>
          <w:rFonts w:ascii="Times New Roman" w:hAnsi="Times New Roman"/>
        </w:rPr>
      </w:pPr>
    </w:p>
    <w:p w14:paraId="798FF4CB" w14:textId="77777777" w:rsidR="003967BE" w:rsidRDefault="003967BE" w:rsidP="00F900C0">
      <w:pPr>
        <w:rPr>
          <w:rFonts w:ascii="Times New Roman" w:hAnsi="Times New Roman"/>
        </w:rPr>
      </w:pPr>
    </w:p>
    <w:p w14:paraId="762C427C" w14:textId="1C535ACE" w:rsidR="003967BE" w:rsidRDefault="003967BE" w:rsidP="00F900C0">
      <w:pPr>
        <w:rPr>
          <w:rFonts w:ascii="Times New Roman" w:hAnsi="Times New Roman"/>
        </w:rPr>
      </w:pPr>
    </w:p>
    <w:p w14:paraId="5610DF7C" w14:textId="77777777" w:rsidR="003967BE" w:rsidRDefault="003967BE" w:rsidP="00F900C0">
      <w:pPr>
        <w:rPr>
          <w:rFonts w:ascii="Times New Roman" w:hAnsi="Times New Roman"/>
        </w:rPr>
      </w:pPr>
    </w:p>
    <w:p w14:paraId="454F93FE" w14:textId="77777777" w:rsidR="003967BE" w:rsidRDefault="003967BE" w:rsidP="00F900C0">
      <w:pPr>
        <w:rPr>
          <w:rFonts w:ascii="Times New Roman" w:hAnsi="Times New Roman"/>
        </w:rPr>
      </w:pPr>
    </w:p>
    <w:p w14:paraId="7D7A9BB1" w14:textId="4AC654D4" w:rsidR="00F900C0" w:rsidRDefault="00F900C0" w:rsidP="00F900C0">
      <w:pPr>
        <w:rPr>
          <w:rFonts w:ascii="Times New Roman" w:hAnsi="Times New Roman"/>
        </w:rPr>
      </w:pPr>
      <w:r w:rsidRPr="00F900C0">
        <w:rPr>
          <w:rFonts w:ascii="Times New Roman" w:hAnsi="Times New Roman"/>
        </w:rPr>
        <w:t xml:space="preserve"> study of how societies determine "who deserves what and why" has long been a central concern in political science and public policy research. At the heart of this inquiry lies the concept of social construction, which posits that societal values, norms, and power dynamics shape our understanding of different groups and their perceived worthiness of public benefits or sanctions (Schneider &amp; Ingram, 1993). This framework has been particularly influential in examining attitudes towards welfare recipients, immigrants, and other marginalized groups. However, its application to the realm of criminal justice policy, particularly regarding the political rights of incarcerated individuals, remains understudied and fraught with theoretical tensions.</w:t>
      </w:r>
      <w:r>
        <w:rPr>
          <w:rFonts w:ascii="Times New Roman" w:hAnsi="Times New Roman"/>
        </w:rPr>
        <w:t xml:space="preserve"> In</w:t>
      </w:r>
    </w:p>
    <w:p w14:paraId="21376F64" w14:textId="77777777" w:rsidR="00F900C0" w:rsidRPr="00F900C0" w:rsidRDefault="00F900C0" w:rsidP="00F900C0">
      <w:pPr>
        <w:rPr>
          <w:rFonts w:ascii="Times New Roman" w:hAnsi="Times New Roman"/>
        </w:rPr>
      </w:pPr>
    </w:p>
    <w:p w14:paraId="63B3CC10" w14:textId="77777777" w:rsidR="00F900C0" w:rsidRDefault="00F900C0" w:rsidP="00F900C0">
      <w:pPr>
        <w:rPr>
          <w:rFonts w:ascii="Times New Roman" w:hAnsi="Times New Roman"/>
        </w:rPr>
      </w:pPr>
      <w:r w:rsidRPr="00F900C0">
        <w:rPr>
          <w:rFonts w:ascii="Times New Roman" w:hAnsi="Times New Roman"/>
        </w:rPr>
        <w:t xml:space="preserve">Our research seeks to address this gap by examining how the social construction of incarcerated individuals influences public perceptions of their deservingness of political rights, specifically voting </w:t>
      </w:r>
      <w:r w:rsidRPr="00F900C0">
        <w:rPr>
          <w:rFonts w:ascii="Times New Roman" w:hAnsi="Times New Roman"/>
        </w:rPr>
        <w:lastRenderedPageBreak/>
        <w:t>rights. This inquiry is situated at the intersection of several key debates in political science and public policy literature:</w:t>
      </w:r>
    </w:p>
    <w:p w14:paraId="7DC77949" w14:textId="77777777" w:rsidR="00F900C0" w:rsidRPr="00F900C0" w:rsidRDefault="00F900C0" w:rsidP="00F900C0">
      <w:pPr>
        <w:rPr>
          <w:rFonts w:ascii="Times New Roman" w:hAnsi="Times New Roman"/>
        </w:rPr>
      </w:pPr>
    </w:p>
    <w:p w14:paraId="03A8658C" w14:textId="77777777" w:rsidR="00F900C0" w:rsidRDefault="00F900C0" w:rsidP="00F900C0">
      <w:pPr>
        <w:rPr>
          <w:rFonts w:ascii="Times New Roman" w:hAnsi="Times New Roman"/>
        </w:rPr>
      </w:pPr>
      <w:r w:rsidRPr="00F900C0">
        <w:rPr>
          <w:rFonts w:ascii="Times New Roman" w:hAnsi="Times New Roman"/>
        </w:rPr>
        <w:t>First, while the deservingness heuristic has been extensively studied in the context of welfare policy (van Oorschot, 2000; Petersen, 2012), its application to criminal justice issues is less developed. Scholars have yet to fully explore how the public evaluates the deservingness of incarcerated individuals, particularly when it comes to non-material rights such as voting. This raises important questions about the universality of the deservingness heuristic and its operation in different policy domains.</w:t>
      </w:r>
    </w:p>
    <w:p w14:paraId="4C260AB2" w14:textId="77777777" w:rsidR="00F900C0" w:rsidRPr="00F900C0" w:rsidRDefault="00F900C0" w:rsidP="00F900C0">
      <w:pPr>
        <w:rPr>
          <w:rFonts w:ascii="Times New Roman" w:hAnsi="Times New Roman"/>
        </w:rPr>
      </w:pPr>
    </w:p>
    <w:p w14:paraId="6E4C5644" w14:textId="77777777" w:rsidR="00F900C0" w:rsidRDefault="00F900C0" w:rsidP="00F900C0">
      <w:pPr>
        <w:rPr>
          <w:rFonts w:ascii="Times New Roman" w:hAnsi="Times New Roman"/>
        </w:rPr>
      </w:pPr>
      <w:r w:rsidRPr="00F900C0">
        <w:rPr>
          <w:rFonts w:ascii="Times New Roman" w:hAnsi="Times New Roman"/>
        </w:rPr>
        <w:t>Second, there is ongoing debate about the relative influence of racial attitudes versus "principled conservatism" in shaping policy preferences, particularly in the realm of criminal justice (Peffley et al., 2017). While some argue that racial resentment is a key driver of punitive attitudes (Alexander, 2010), others contend that ideological beliefs about personal responsibility and the rule of law play a more significant role (Sniderman &amp; Piazza, 1993). Our study aims to contribute to this debate by examining how racial attitudes interact with other factors in shaping perceptions of incarcerated individuals' deservingness.</w:t>
      </w:r>
    </w:p>
    <w:p w14:paraId="2E03F2FD" w14:textId="77777777" w:rsidR="00F900C0" w:rsidRPr="00F900C0" w:rsidRDefault="00F900C0" w:rsidP="00F900C0">
      <w:pPr>
        <w:rPr>
          <w:rFonts w:ascii="Times New Roman" w:hAnsi="Times New Roman"/>
        </w:rPr>
      </w:pPr>
    </w:p>
    <w:p w14:paraId="01966791" w14:textId="77777777" w:rsidR="00F900C0" w:rsidRDefault="00F900C0" w:rsidP="00F900C0">
      <w:pPr>
        <w:rPr>
          <w:rFonts w:ascii="Times New Roman" w:hAnsi="Times New Roman"/>
        </w:rPr>
      </w:pPr>
      <w:r w:rsidRPr="00F900C0">
        <w:rPr>
          <w:rFonts w:ascii="Times New Roman" w:hAnsi="Times New Roman"/>
        </w:rPr>
        <w:t>Third, recent literature on policy feedback (Mettler &amp; SoRelle, 2014) and the carceral state (Weaver &amp; Lerman, 2010) has highlighted the potential for criminal justice policies to shape political attitudes and participation. However, less attention has been paid to how exposure to information about voting rights for incarcerated individuals might influence public opinion. This presents an opportunity to expand our understanding of policy feedback effects in the context of criminal justice reform.</w:t>
      </w:r>
    </w:p>
    <w:p w14:paraId="7856BA65" w14:textId="77777777" w:rsidR="00F900C0" w:rsidRPr="00F900C0" w:rsidRDefault="00F900C0" w:rsidP="00F900C0">
      <w:pPr>
        <w:rPr>
          <w:rFonts w:ascii="Times New Roman" w:hAnsi="Times New Roman"/>
        </w:rPr>
      </w:pPr>
    </w:p>
    <w:p w14:paraId="020FD8B5" w14:textId="77777777" w:rsidR="00F900C0" w:rsidRPr="00F900C0" w:rsidRDefault="00F900C0" w:rsidP="00F900C0">
      <w:pPr>
        <w:rPr>
          <w:rFonts w:ascii="Times New Roman" w:hAnsi="Times New Roman"/>
        </w:rPr>
      </w:pPr>
      <w:r w:rsidRPr="00F900C0">
        <w:rPr>
          <w:rFonts w:ascii="Times New Roman" w:hAnsi="Times New Roman"/>
        </w:rPr>
        <w:t xml:space="preserve">Against this backdrop, our research asks: </w:t>
      </w:r>
      <w:r w:rsidRPr="00F900C0">
        <w:rPr>
          <w:rFonts w:ascii="Times New Roman" w:hAnsi="Times New Roman"/>
          <w:b/>
          <w:bCs/>
        </w:rPr>
        <w:t xml:space="preserve">How do personal experiences, racial attitudes, and framing of incarcerated individuals affect public perceptions of deservingness and support for voting rights policies for incarcerated and formerly incarcerated people? </w:t>
      </w:r>
      <w:r w:rsidRPr="00F900C0">
        <w:rPr>
          <w:rFonts w:ascii="Times New Roman" w:hAnsi="Times New Roman"/>
        </w:rPr>
        <w:t>By addressing this question, we aim to bridge the gap between social construction theory, deservingness literature, and criminal justice policy research.</w:t>
      </w:r>
    </w:p>
    <w:p w14:paraId="34F93F9E" w14:textId="77777777" w:rsidR="00F900C0" w:rsidRPr="00F900C0" w:rsidRDefault="00F900C0" w:rsidP="00F900C0">
      <w:pPr>
        <w:rPr>
          <w:rFonts w:ascii="Times New Roman" w:hAnsi="Times New Roman"/>
        </w:rPr>
      </w:pPr>
      <w:r w:rsidRPr="00F900C0">
        <w:rPr>
          <w:rFonts w:ascii="Times New Roman" w:hAnsi="Times New Roman"/>
        </w:rPr>
        <w:t>Our study makes several important contributions to these ongoing academic debates:</w:t>
      </w:r>
    </w:p>
    <w:p w14:paraId="590A67A6"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extends the application of social construction and deservingness theories to the realm of criminal justice policy, specifically voting rights for incarcerated individuals.</w:t>
      </w:r>
    </w:p>
    <w:p w14:paraId="7F37354A"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provides empirical evidence to inform the debate on the relative influence of racial attitudes versus ideological conservatism in shaping policy preferences related to incarcerated individuals.</w:t>
      </w:r>
    </w:p>
    <w:p w14:paraId="04044249"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explores how different framings of incarcerated individuals (e.g., as parents, as rehabilitated individuals) might influence deservingness evaluations, contributing to our understanding of how social constructions can be shaped or challenged.</w:t>
      </w:r>
    </w:p>
    <w:p w14:paraId="326F9B4D"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examines the potential for policy feedback effects in the context of criminal justice reform, specifically how exposure to information about voting rights policies might influence public opinion.</w:t>
      </w:r>
    </w:p>
    <w:p w14:paraId="698A5632" w14:textId="77777777" w:rsidR="00F900C0" w:rsidRDefault="00F900C0" w:rsidP="00F900C0">
      <w:pPr>
        <w:rPr>
          <w:rFonts w:ascii="Times New Roman" w:hAnsi="Times New Roman"/>
        </w:rPr>
      </w:pPr>
    </w:p>
    <w:p w14:paraId="7EA595F6" w14:textId="3239AC0E" w:rsidR="00F900C0" w:rsidRPr="00F900C0" w:rsidRDefault="00F900C0" w:rsidP="00F900C0">
      <w:pPr>
        <w:rPr>
          <w:rFonts w:ascii="Times New Roman" w:hAnsi="Times New Roman"/>
        </w:rPr>
      </w:pPr>
      <w:r w:rsidRPr="00F900C0">
        <w:rPr>
          <w:rFonts w:ascii="Times New Roman" w:hAnsi="Times New Roman"/>
        </w:rPr>
        <w:t>To address these questions, we analyze survey data from 2,242 respondents, including individuals with direct and indirect experiences of incarceration. Our methodology allows us to examine how factors such as personal experience with the carceral system, racial resentment, views on the purpose of incarceration, and exposure to different framings of incarcerated individuals relate to deservingness evaluations and policy preferences.</w:t>
      </w:r>
    </w:p>
    <w:p w14:paraId="24791E0A" w14:textId="77777777" w:rsidR="00F900C0" w:rsidRDefault="00F900C0" w:rsidP="00F900C0">
      <w:pPr>
        <w:rPr>
          <w:rFonts w:ascii="Times New Roman" w:hAnsi="Times New Roman"/>
        </w:rPr>
      </w:pPr>
    </w:p>
    <w:p w14:paraId="3176F907" w14:textId="7B19B672" w:rsidR="00F900C0" w:rsidRPr="00F900C0" w:rsidRDefault="00F900C0" w:rsidP="00F900C0">
      <w:pPr>
        <w:rPr>
          <w:rFonts w:ascii="Times New Roman" w:hAnsi="Times New Roman"/>
        </w:rPr>
      </w:pPr>
      <w:r w:rsidRPr="00F900C0">
        <w:rPr>
          <w:rFonts w:ascii="Times New Roman" w:hAnsi="Times New Roman"/>
        </w:rPr>
        <w:t xml:space="preserve">In the following sections, we will review the existing literature in greater depth, present our theoretical framework and hypotheses, detail our proposed methods and analysis plan, and discuss the potential implications of our findings for both scholarly understanding and policy development. Through this research, we aim to contribute to a more nuanced understanding of how social constructions and </w:t>
      </w:r>
      <w:r w:rsidRPr="00F900C0">
        <w:rPr>
          <w:rFonts w:ascii="Times New Roman" w:hAnsi="Times New Roman"/>
        </w:rPr>
        <w:lastRenderedPageBreak/>
        <w:t>deservingness evaluations operate in the context of criminal justice policy, with potential implications for broader debates about citizenship, democracy, and social inclusion.</w:t>
      </w:r>
    </w:p>
    <w:p w14:paraId="3648D4E9" w14:textId="77777777" w:rsidR="002B4F57" w:rsidRDefault="002B4F57" w:rsidP="002B4F57">
      <w:pPr>
        <w:rPr>
          <w:rFonts w:ascii="Times New Roman" w:hAnsi="Times New Roman"/>
        </w:rPr>
      </w:pPr>
    </w:p>
    <w:p w14:paraId="1E6CFAF3" w14:textId="77777777" w:rsidR="002B4F57" w:rsidRDefault="002B4F57" w:rsidP="002B4F57">
      <w:pPr>
        <w:rPr>
          <w:rFonts w:ascii="Times New Roman" w:hAnsi="Times New Roman"/>
        </w:rPr>
      </w:pPr>
    </w:p>
    <w:p w14:paraId="289EE0AD" w14:textId="0055E83E" w:rsidR="002B4F57" w:rsidRDefault="002B4F57" w:rsidP="002B4F57">
      <w:pPr>
        <w:jc w:val="center"/>
        <w:rPr>
          <w:rFonts w:ascii="Times New Roman" w:hAnsi="Times New Roman"/>
        </w:rPr>
      </w:pPr>
      <w:r>
        <w:rPr>
          <w:rFonts w:ascii="Times New Roman" w:hAnsi="Times New Roman"/>
        </w:rPr>
        <w:t>Existing Literature</w:t>
      </w:r>
    </w:p>
    <w:p w14:paraId="7F2E2C03" w14:textId="77777777" w:rsidR="002B4F57" w:rsidRDefault="002B4F57" w:rsidP="002B4F57">
      <w:pPr>
        <w:rPr>
          <w:rFonts w:ascii="Times New Roman" w:hAnsi="Times New Roman"/>
        </w:rPr>
      </w:pPr>
    </w:p>
    <w:p w14:paraId="33FD1FAB" w14:textId="77777777" w:rsidR="002B4F57" w:rsidRDefault="002B4F57" w:rsidP="002B4F57">
      <w:pPr>
        <w:rPr>
          <w:rFonts w:ascii="Times New Roman" w:hAnsi="Times New Roman"/>
        </w:rPr>
      </w:pPr>
    </w:p>
    <w:p w14:paraId="7C5E0D9A" w14:textId="1ECC74D4" w:rsidR="002B4F57" w:rsidRDefault="00B90598" w:rsidP="00B90598">
      <w:pPr>
        <w:jc w:val="center"/>
        <w:rPr>
          <w:rFonts w:ascii="Times New Roman" w:hAnsi="Times New Roman"/>
        </w:rPr>
      </w:pPr>
      <w:r>
        <w:rPr>
          <w:rFonts w:ascii="Times New Roman" w:hAnsi="Times New Roman"/>
        </w:rPr>
        <w:t>Proposed Theory &amp; Hypothesis</w:t>
      </w:r>
    </w:p>
    <w:p w14:paraId="44B1CC5D" w14:textId="77777777" w:rsidR="00B90598" w:rsidRDefault="00B90598" w:rsidP="00B90598">
      <w:pPr>
        <w:jc w:val="center"/>
        <w:rPr>
          <w:rFonts w:ascii="Times New Roman" w:hAnsi="Times New Roman"/>
        </w:rPr>
      </w:pPr>
    </w:p>
    <w:p w14:paraId="525E7A27" w14:textId="16122FD5" w:rsidR="00B90598" w:rsidRDefault="00B90598" w:rsidP="00B90598">
      <w:pPr>
        <w:jc w:val="center"/>
        <w:rPr>
          <w:rFonts w:ascii="Times New Roman" w:hAnsi="Times New Roman"/>
        </w:rPr>
      </w:pPr>
      <w:r>
        <w:rPr>
          <w:rFonts w:ascii="Times New Roman" w:hAnsi="Times New Roman"/>
        </w:rPr>
        <w:t>Proposed Methods &amp; Analysis</w:t>
      </w:r>
    </w:p>
    <w:p w14:paraId="701DDEB2" w14:textId="77777777" w:rsidR="00B90598" w:rsidRDefault="00B90598" w:rsidP="002B4F57">
      <w:pPr>
        <w:rPr>
          <w:rFonts w:ascii="Times New Roman" w:hAnsi="Times New Roman"/>
        </w:rPr>
      </w:pPr>
    </w:p>
    <w:p w14:paraId="1195CA8A" w14:textId="77777777" w:rsidR="00B90598" w:rsidRDefault="00B90598" w:rsidP="002B4F57">
      <w:pPr>
        <w:rPr>
          <w:rFonts w:ascii="Times New Roman" w:hAnsi="Times New Roman"/>
        </w:rPr>
      </w:pPr>
    </w:p>
    <w:p w14:paraId="647BF3AE" w14:textId="77777777" w:rsidR="003967BE" w:rsidRDefault="003967BE" w:rsidP="002B4F57">
      <w:pPr>
        <w:rPr>
          <w:rFonts w:ascii="Times New Roman" w:hAnsi="Times New Roman"/>
        </w:rPr>
      </w:pPr>
    </w:p>
    <w:p w14:paraId="41D12F06" w14:textId="77777777" w:rsidR="003967BE" w:rsidRDefault="003967BE" w:rsidP="003967BE">
      <w:pPr>
        <w:rPr>
          <w:rFonts w:ascii="Times New Roman" w:hAnsi="Times New Roman"/>
        </w:rPr>
      </w:pPr>
      <w:r>
        <w:rPr>
          <w:rFonts w:ascii="Times New Roman" w:hAnsi="Times New Roman"/>
        </w:rPr>
        <w:t>In 2018, a long-serving state senate chair of the election laws committee told me he would “never support prisoners voting” because his “district would never go for it.” The chair’s district was made up of two municipalities: one, the states 6</w:t>
      </w:r>
      <w:r w:rsidRPr="00631627">
        <w:rPr>
          <w:rFonts w:ascii="Times New Roman" w:hAnsi="Times New Roman"/>
          <w:vertAlign w:val="superscript"/>
        </w:rPr>
        <w:t>th</w:t>
      </w:r>
      <w:r>
        <w:rPr>
          <w:rFonts w:ascii="Times New Roman" w:hAnsi="Times New Roman"/>
        </w:rPr>
        <w:t xml:space="preserve">-most affluent (91% white, 1.8% Latino) and its second poorest (81% Latino, 12% white). </w:t>
      </w:r>
    </w:p>
    <w:p w14:paraId="1105CDA1" w14:textId="77777777" w:rsidR="003967BE" w:rsidRDefault="003967BE" w:rsidP="003967BE">
      <w:pPr>
        <w:rPr>
          <w:rFonts w:ascii="Times New Roman" w:hAnsi="Times New Roman"/>
        </w:rPr>
      </w:pPr>
    </w:p>
    <w:p w14:paraId="26AE41CD" w14:textId="77777777" w:rsidR="003967BE" w:rsidRDefault="003967BE" w:rsidP="003967BE">
      <w:pPr>
        <w:rPr>
          <w:rFonts w:ascii="Times New Roman" w:hAnsi="Times New Roman"/>
        </w:rPr>
      </w:pPr>
      <w:r>
        <w:rPr>
          <w:rFonts w:ascii="Times New Roman" w:hAnsi="Times New Roman"/>
        </w:rPr>
        <w:t xml:space="preserve">By 2022, that senators office was working through the weeds with myself and senate ways and means to finalize language on a prison voting bill. </w:t>
      </w:r>
    </w:p>
    <w:p w14:paraId="061F24AD" w14:textId="77777777" w:rsidR="003967BE" w:rsidRDefault="003967BE" w:rsidP="003967BE">
      <w:pPr>
        <w:rPr>
          <w:rFonts w:ascii="Times New Roman" w:hAnsi="Times New Roman"/>
        </w:rPr>
      </w:pPr>
    </w:p>
    <w:p w14:paraId="73CEB419" w14:textId="77777777" w:rsidR="003967BE" w:rsidRDefault="003967BE" w:rsidP="003967BE">
      <w:pPr>
        <w:rPr>
          <w:rFonts w:ascii="Times New Roman" w:hAnsi="Times New Roman"/>
        </w:rPr>
      </w:pPr>
      <w:r>
        <w:rPr>
          <w:rFonts w:ascii="Times New Roman" w:hAnsi="Times New Roman"/>
        </w:rPr>
        <w:t xml:space="preserve">Then and now, I ask how a legislator decides what political rights carceral citizens deserve, to which constituencies they feel accountable, and how their deservingness evaluations of carceral citizens drives policy outcomes. I ask how beliefs about incarcerated people’s overall deservingness and deservingness of political rights are constructed.  </w:t>
      </w:r>
    </w:p>
    <w:p w14:paraId="5BE00636" w14:textId="77777777" w:rsidR="003967BE" w:rsidRDefault="003967BE" w:rsidP="003967BE">
      <w:pPr>
        <w:rPr>
          <w:rFonts w:ascii="Times New Roman" w:hAnsi="Times New Roman"/>
        </w:rPr>
      </w:pPr>
    </w:p>
    <w:p w14:paraId="3C5B2B72" w14:textId="77777777" w:rsidR="003967BE" w:rsidRDefault="003967BE" w:rsidP="003967BE">
      <w:pPr>
        <w:rPr>
          <w:rFonts w:ascii="Times New Roman" w:hAnsi="Times New Roman"/>
        </w:rPr>
      </w:pPr>
      <w:r>
        <w:rPr>
          <w:rFonts w:ascii="Times New Roman" w:hAnsi="Times New Roman"/>
        </w:rPr>
        <w:t xml:space="preserve">As policymakers and administrators in states like Massachusetts take up reforms around incarcerated political rights and access, I ask what drives these changes.   </w:t>
      </w:r>
    </w:p>
    <w:p w14:paraId="109E887D" w14:textId="77777777" w:rsidR="003967BE" w:rsidRDefault="003967BE" w:rsidP="003967BE">
      <w:pPr>
        <w:rPr>
          <w:rFonts w:ascii="Times New Roman" w:hAnsi="Times New Roman"/>
        </w:rPr>
      </w:pPr>
    </w:p>
    <w:p w14:paraId="79580BFF" w14:textId="77777777" w:rsidR="003967BE" w:rsidRPr="002B4F57" w:rsidRDefault="003967BE" w:rsidP="002B4F57">
      <w:pPr>
        <w:rPr>
          <w:rFonts w:ascii="Times New Roman" w:hAnsi="Times New Roman"/>
        </w:rPr>
      </w:pPr>
    </w:p>
    <w:sectPr w:rsidR="003967BE" w:rsidRPr="002B4F57"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2E85"/>
    <w:multiLevelType w:val="hybridMultilevel"/>
    <w:tmpl w:val="807CB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1742E6"/>
    <w:multiLevelType w:val="hybridMultilevel"/>
    <w:tmpl w:val="69BA7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43B17"/>
    <w:multiLevelType w:val="hybridMultilevel"/>
    <w:tmpl w:val="2F645E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236FB8"/>
    <w:multiLevelType w:val="multilevel"/>
    <w:tmpl w:val="450E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36B5B"/>
    <w:multiLevelType w:val="hybridMultilevel"/>
    <w:tmpl w:val="8E3E66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56D50"/>
    <w:multiLevelType w:val="hybridMultilevel"/>
    <w:tmpl w:val="CA6669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476913"/>
    <w:multiLevelType w:val="hybridMultilevel"/>
    <w:tmpl w:val="9A7631E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100510">
    <w:abstractNumId w:val="2"/>
  </w:num>
  <w:num w:numId="2" w16cid:durableId="1505238618">
    <w:abstractNumId w:val="1"/>
  </w:num>
  <w:num w:numId="3" w16cid:durableId="1403017807">
    <w:abstractNumId w:val="5"/>
  </w:num>
  <w:num w:numId="4" w16cid:durableId="234291279">
    <w:abstractNumId w:val="3"/>
  </w:num>
  <w:num w:numId="5" w16cid:durableId="698090171">
    <w:abstractNumId w:val="6"/>
  </w:num>
  <w:num w:numId="6" w16cid:durableId="222646355">
    <w:abstractNumId w:val="4"/>
  </w:num>
  <w:num w:numId="7" w16cid:durableId="1139884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75"/>
    <w:rsid w:val="000004B8"/>
    <w:rsid w:val="0000145B"/>
    <w:rsid w:val="000160A0"/>
    <w:rsid w:val="000165B8"/>
    <w:rsid w:val="00022097"/>
    <w:rsid w:val="000306ED"/>
    <w:rsid w:val="00037BF8"/>
    <w:rsid w:val="000567DA"/>
    <w:rsid w:val="00060CBE"/>
    <w:rsid w:val="0006430A"/>
    <w:rsid w:val="000666CE"/>
    <w:rsid w:val="00073DEA"/>
    <w:rsid w:val="00076A45"/>
    <w:rsid w:val="00085C11"/>
    <w:rsid w:val="000B5375"/>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82264"/>
    <w:rsid w:val="001A4786"/>
    <w:rsid w:val="001B2435"/>
    <w:rsid w:val="001C20E2"/>
    <w:rsid w:val="001D0700"/>
    <w:rsid w:val="001D2BC2"/>
    <w:rsid w:val="001F484E"/>
    <w:rsid w:val="001F499D"/>
    <w:rsid w:val="001F5B84"/>
    <w:rsid w:val="00206533"/>
    <w:rsid w:val="002131AE"/>
    <w:rsid w:val="0021435A"/>
    <w:rsid w:val="00225F9F"/>
    <w:rsid w:val="00231B05"/>
    <w:rsid w:val="00233885"/>
    <w:rsid w:val="00246E5A"/>
    <w:rsid w:val="00250029"/>
    <w:rsid w:val="00256025"/>
    <w:rsid w:val="002679E9"/>
    <w:rsid w:val="00283586"/>
    <w:rsid w:val="00291F8D"/>
    <w:rsid w:val="002A12FD"/>
    <w:rsid w:val="002B4F57"/>
    <w:rsid w:val="002B555E"/>
    <w:rsid w:val="002C3D1D"/>
    <w:rsid w:val="002C64FC"/>
    <w:rsid w:val="002D71A9"/>
    <w:rsid w:val="002E5A77"/>
    <w:rsid w:val="002F4102"/>
    <w:rsid w:val="002F6609"/>
    <w:rsid w:val="002F75ED"/>
    <w:rsid w:val="003118B9"/>
    <w:rsid w:val="00324D4D"/>
    <w:rsid w:val="003327B8"/>
    <w:rsid w:val="00332933"/>
    <w:rsid w:val="003443C2"/>
    <w:rsid w:val="00347099"/>
    <w:rsid w:val="00347E04"/>
    <w:rsid w:val="003507D7"/>
    <w:rsid w:val="00351083"/>
    <w:rsid w:val="00352D4D"/>
    <w:rsid w:val="00353817"/>
    <w:rsid w:val="00373912"/>
    <w:rsid w:val="00375255"/>
    <w:rsid w:val="003766CF"/>
    <w:rsid w:val="0038172E"/>
    <w:rsid w:val="0038248B"/>
    <w:rsid w:val="00384A5A"/>
    <w:rsid w:val="003967BE"/>
    <w:rsid w:val="003A71C5"/>
    <w:rsid w:val="003C585B"/>
    <w:rsid w:val="003D6392"/>
    <w:rsid w:val="00416A5B"/>
    <w:rsid w:val="0043020F"/>
    <w:rsid w:val="00441258"/>
    <w:rsid w:val="0044237B"/>
    <w:rsid w:val="0044568F"/>
    <w:rsid w:val="004608B6"/>
    <w:rsid w:val="00466402"/>
    <w:rsid w:val="0047276A"/>
    <w:rsid w:val="0047469F"/>
    <w:rsid w:val="004764FC"/>
    <w:rsid w:val="0048288F"/>
    <w:rsid w:val="00485BD3"/>
    <w:rsid w:val="00485EAB"/>
    <w:rsid w:val="00490C4B"/>
    <w:rsid w:val="00491D89"/>
    <w:rsid w:val="00497078"/>
    <w:rsid w:val="004D030E"/>
    <w:rsid w:val="004D3AE3"/>
    <w:rsid w:val="004E610C"/>
    <w:rsid w:val="004F3657"/>
    <w:rsid w:val="004F7310"/>
    <w:rsid w:val="00503832"/>
    <w:rsid w:val="00510D4A"/>
    <w:rsid w:val="00516431"/>
    <w:rsid w:val="005401C8"/>
    <w:rsid w:val="005433F6"/>
    <w:rsid w:val="00547C03"/>
    <w:rsid w:val="00553997"/>
    <w:rsid w:val="00555B93"/>
    <w:rsid w:val="00557ED0"/>
    <w:rsid w:val="00576352"/>
    <w:rsid w:val="00577E2E"/>
    <w:rsid w:val="00577FD1"/>
    <w:rsid w:val="0058497C"/>
    <w:rsid w:val="00593A0A"/>
    <w:rsid w:val="00595AE1"/>
    <w:rsid w:val="005B2708"/>
    <w:rsid w:val="005B672F"/>
    <w:rsid w:val="005B76A6"/>
    <w:rsid w:val="005C2C44"/>
    <w:rsid w:val="005C5DBE"/>
    <w:rsid w:val="005C602E"/>
    <w:rsid w:val="005E47DA"/>
    <w:rsid w:val="005F1525"/>
    <w:rsid w:val="00605073"/>
    <w:rsid w:val="00606737"/>
    <w:rsid w:val="00621765"/>
    <w:rsid w:val="00625D0B"/>
    <w:rsid w:val="00631627"/>
    <w:rsid w:val="00637CDE"/>
    <w:rsid w:val="00653CC4"/>
    <w:rsid w:val="006651AB"/>
    <w:rsid w:val="00673452"/>
    <w:rsid w:val="00674FAC"/>
    <w:rsid w:val="006832AB"/>
    <w:rsid w:val="00692B49"/>
    <w:rsid w:val="006937A5"/>
    <w:rsid w:val="006B0AB9"/>
    <w:rsid w:val="006B5E11"/>
    <w:rsid w:val="006B7FB8"/>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87710"/>
    <w:rsid w:val="007916A0"/>
    <w:rsid w:val="00794768"/>
    <w:rsid w:val="00795A90"/>
    <w:rsid w:val="007A25B7"/>
    <w:rsid w:val="007A2BF8"/>
    <w:rsid w:val="007B49CB"/>
    <w:rsid w:val="007B5797"/>
    <w:rsid w:val="007C0F09"/>
    <w:rsid w:val="007C7BBD"/>
    <w:rsid w:val="007D03D6"/>
    <w:rsid w:val="007D343E"/>
    <w:rsid w:val="007D7B02"/>
    <w:rsid w:val="007E5AEA"/>
    <w:rsid w:val="007E7635"/>
    <w:rsid w:val="00841DEA"/>
    <w:rsid w:val="00857AE8"/>
    <w:rsid w:val="00865B41"/>
    <w:rsid w:val="00880953"/>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A00D65"/>
    <w:rsid w:val="00A05511"/>
    <w:rsid w:val="00A056CA"/>
    <w:rsid w:val="00A10698"/>
    <w:rsid w:val="00A11FB8"/>
    <w:rsid w:val="00A34086"/>
    <w:rsid w:val="00A3598A"/>
    <w:rsid w:val="00A379C8"/>
    <w:rsid w:val="00A52253"/>
    <w:rsid w:val="00A75828"/>
    <w:rsid w:val="00A85E28"/>
    <w:rsid w:val="00A901EA"/>
    <w:rsid w:val="00A93C35"/>
    <w:rsid w:val="00AA0BCC"/>
    <w:rsid w:val="00AA55C4"/>
    <w:rsid w:val="00AB1061"/>
    <w:rsid w:val="00AB6163"/>
    <w:rsid w:val="00AC19B6"/>
    <w:rsid w:val="00AC350B"/>
    <w:rsid w:val="00AD0D2E"/>
    <w:rsid w:val="00AD24B9"/>
    <w:rsid w:val="00AD42DC"/>
    <w:rsid w:val="00AD7821"/>
    <w:rsid w:val="00AF1FDF"/>
    <w:rsid w:val="00AF316D"/>
    <w:rsid w:val="00AF3AC2"/>
    <w:rsid w:val="00AF62C0"/>
    <w:rsid w:val="00B156E9"/>
    <w:rsid w:val="00B20686"/>
    <w:rsid w:val="00B320A8"/>
    <w:rsid w:val="00B55BE7"/>
    <w:rsid w:val="00B64CBC"/>
    <w:rsid w:val="00B67599"/>
    <w:rsid w:val="00B7232B"/>
    <w:rsid w:val="00B90598"/>
    <w:rsid w:val="00B9430D"/>
    <w:rsid w:val="00B95652"/>
    <w:rsid w:val="00BB2F3D"/>
    <w:rsid w:val="00BC0458"/>
    <w:rsid w:val="00BC0A74"/>
    <w:rsid w:val="00BC2D30"/>
    <w:rsid w:val="00BD2212"/>
    <w:rsid w:val="00BE2FDD"/>
    <w:rsid w:val="00BE73A5"/>
    <w:rsid w:val="00BE764A"/>
    <w:rsid w:val="00BE79FD"/>
    <w:rsid w:val="00BF5AE9"/>
    <w:rsid w:val="00C23633"/>
    <w:rsid w:val="00C25278"/>
    <w:rsid w:val="00C45E8C"/>
    <w:rsid w:val="00C56164"/>
    <w:rsid w:val="00C712D3"/>
    <w:rsid w:val="00C81515"/>
    <w:rsid w:val="00C91C2D"/>
    <w:rsid w:val="00CA77B8"/>
    <w:rsid w:val="00CB7AB1"/>
    <w:rsid w:val="00CD10D5"/>
    <w:rsid w:val="00CE024C"/>
    <w:rsid w:val="00CF4DC5"/>
    <w:rsid w:val="00D03511"/>
    <w:rsid w:val="00D16AE2"/>
    <w:rsid w:val="00D25166"/>
    <w:rsid w:val="00D470C3"/>
    <w:rsid w:val="00D513C7"/>
    <w:rsid w:val="00D60814"/>
    <w:rsid w:val="00D60B04"/>
    <w:rsid w:val="00D660EA"/>
    <w:rsid w:val="00D7474C"/>
    <w:rsid w:val="00DE06C1"/>
    <w:rsid w:val="00DE1A73"/>
    <w:rsid w:val="00DE6841"/>
    <w:rsid w:val="00E01EE5"/>
    <w:rsid w:val="00E04209"/>
    <w:rsid w:val="00E1033B"/>
    <w:rsid w:val="00E11DC7"/>
    <w:rsid w:val="00E35368"/>
    <w:rsid w:val="00E375D3"/>
    <w:rsid w:val="00E451B4"/>
    <w:rsid w:val="00E46DAD"/>
    <w:rsid w:val="00E51994"/>
    <w:rsid w:val="00E51F30"/>
    <w:rsid w:val="00E609A3"/>
    <w:rsid w:val="00E61A6A"/>
    <w:rsid w:val="00E70FF2"/>
    <w:rsid w:val="00E72186"/>
    <w:rsid w:val="00E80012"/>
    <w:rsid w:val="00E94774"/>
    <w:rsid w:val="00EA07E9"/>
    <w:rsid w:val="00EA2599"/>
    <w:rsid w:val="00EA27FF"/>
    <w:rsid w:val="00EA3D4B"/>
    <w:rsid w:val="00EA7C26"/>
    <w:rsid w:val="00ED2CCB"/>
    <w:rsid w:val="00ED7F81"/>
    <w:rsid w:val="00EE10DB"/>
    <w:rsid w:val="00EF17CA"/>
    <w:rsid w:val="00EF618E"/>
    <w:rsid w:val="00F046C6"/>
    <w:rsid w:val="00F104E9"/>
    <w:rsid w:val="00F1054A"/>
    <w:rsid w:val="00F2058F"/>
    <w:rsid w:val="00F249B8"/>
    <w:rsid w:val="00F31C7A"/>
    <w:rsid w:val="00F34DAD"/>
    <w:rsid w:val="00F40FCB"/>
    <w:rsid w:val="00F43D32"/>
    <w:rsid w:val="00F44820"/>
    <w:rsid w:val="00F51C6D"/>
    <w:rsid w:val="00F55614"/>
    <w:rsid w:val="00F57563"/>
    <w:rsid w:val="00F6438C"/>
    <w:rsid w:val="00F80189"/>
    <w:rsid w:val="00F866D0"/>
    <w:rsid w:val="00F900C0"/>
    <w:rsid w:val="00F90406"/>
    <w:rsid w:val="00F92E6A"/>
    <w:rsid w:val="00F9429C"/>
    <w:rsid w:val="00FA468C"/>
    <w:rsid w:val="00FB02C3"/>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4F493"/>
  <w15:chartTrackingRefBased/>
  <w15:docId w15:val="{4DEA3C34-2381-D74A-AAD9-BF4E678E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B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B5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3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3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3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3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B537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B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B53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B53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B53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B53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B53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B5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37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B5375"/>
    <w:rPr>
      <w:i/>
      <w:iCs/>
      <w:color w:val="0F4761" w:themeColor="accent1" w:themeShade="BF"/>
    </w:rPr>
  </w:style>
  <w:style w:type="paragraph" w:styleId="IntenseQuote">
    <w:name w:val="Intense Quote"/>
    <w:basedOn w:val="Normal"/>
    <w:next w:val="Normal"/>
    <w:link w:val="IntenseQuoteChar"/>
    <w:uiPriority w:val="30"/>
    <w:qFormat/>
    <w:rsid w:val="000B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7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B5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96638">
      <w:bodyDiv w:val="1"/>
      <w:marLeft w:val="0"/>
      <w:marRight w:val="0"/>
      <w:marTop w:val="0"/>
      <w:marBottom w:val="0"/>
      <w:divBdr>
        <w:top w:val="none" w:sz="0" w:space="0" w:color="auto"/>
        <w:left w:val="none" w:sz="0" w:space="0" w:color="auto"/>
        <w:bottom w:val="none" w:sz="0" w:space="0" w:color="auto"/>
        <w:right w:val="none" w:sz="0" w:space="0" w:color="auto"/>
      </w:divBdr>
    </w:div>
    <w:div w:id="668753095">
      <w:bodyDiv w:val="1"/>
      <w:marLeft w:val="0"/>
      <w:marRight w:val="0"/>
      <w:marTop w:val="0"/>
      <w:marBottom w:val="0"/>
      <w:divBdr>
        <w:top w:val="none" w:sz="0" w:space="0" w:color="auto"/>
        <w:left w:val="none" w:sz="0" w:space="0" w:color="auto"/>
        <w:bottom w:val="none" w:sz="0" w:space="0" w:color="auto"/>
        <w:right w:val="none" w:sz="0" w:space="0" w:color="auto"/>
      </w:divBdr>
    </w:div>
    <w:div w:id="759528245">
      <w:bodyDiv w:val="1"/>
      <w:marLeft w:val="0"/>
      <w:marRight w:val="0"/>
      <w:marTop w:val="0"/>
      <w:marBottom w:val="0"/>
      <w:divBdr>
        <w:top w:val="none" w:sz="0" w:space="0" w:color="auto"/>
        <w:left w:val="none" w:sz="0" w:space="0" w:color="auto"/>
        <w:bottom w:val="none" w:sz="0" w:space="0" w:color="auto"/>
        <w:right w:val="none" w:sz="0" w:space="0" w:color="auto"/>
      </w:divBdr>
    </w:div>
    <w:div w:id="1036925399">
      <w:bodyDiv w:val="1"/>
      <w:marLeft w:val="0"/>
      <w:marRight w:val="0"/>
      <w:marTop w:val="0"/>
      <w:marBottom w:val="0"/>
      <w:divBdr>
        <w:top w:val="none" w:sz="0" w:space="0" w:color="auto"/>
        <w:left w:val="none" w:sz="0" w:space="0" w:color="auto"/>
        <w:bottom w:val="none" w:sz="0" w:space="0" w:color="auto"/>
        <w:right w:val="none" w:sz="0" w:space="0" w:color="auto"/>
      </w:divBdr>
    </w:div>
    <w:div w:id="1368409736">
      <w:bodyDiv w:val="1"/>
      <w:marLeft w:val="0"/>
      <w:marRight w:val="0"/>
      <w:marTop w:val="0"/>
      <w:marBottom w:val="0"/>
      <w:divBdr>
        <w:top w:val="none" w:sz="0" w:space="0" w:color="auto"/>
        <w:left w:val="none" w:sz="0" w:space="0" w:color="auto"/>
        <w:bottom w:val="none" w:sz="0" w:space="0" w:color="auto"/>
        <w:right w:val="none" w:sz="0" w:space="0" w:color="auto"/>
      </w:divBdr>
    </w:div>
    <w:div w:id="181784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9</cp:revision>
  <dcterms:created xsi:type="dcterms:W3CDTF">2024-09-27T01:33:00Z</dcterms:created>
  <dcterms:modified xsi:type="dcterms:W3CDTF">2024-10-02T19:34:00Z</dcterms:modified>
</cp:coreProperties>
</file>