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2BB05" w14:textId="64991C52" w:rsidR="00760C6C" w:rsidRDefault="00822592">
      <w:r>
        <w:t>Dec 23 Scratch</w:t>
      </w:r>
    </w:p>
    <w:p w14:paraId="1D01AF9F" w14:textId="77777777" w:rsidR="00822592" w:rsidRDefault="00822592"/>
    <w:p w14:paraId="05F8A14D" w14:textId="77777777" w:rsidR="00AC1047" w:rsidRPr="00786A24" w:rsidRDefault="00AC1047" w:rsidP="00AC1047">
      <w:pPr>
        <w:spacing w:line="360" w:lineRule="auto"/>
        <w:rPr>
          <w:rFonts w:ascii="Arial" w:hAnsi="Arial" w:cs="Arial"/>
          <w:b/>
          <w:bCs/>
          <w:sz w:val="23"/>
          <w:szCs w:val="23"/>
        </w:rPr>
      </w:pPr>
      <w:r w:rsidRPr="00786A24">
        <w:rPr>
          <w:rFonts w:ascii="Arial" w:hAnsi="Arial" w:cs="Arial"/>
          <w:b/>
          <w:bCs/>
          <w:sz w:val="23"/>
          <w:szCs w:val="23"/>
        </w:rPr>
        <w:t>Deservingness, Voting Rights in Carceral Contexts</w:t>
      </w:r>
    </w:p>
    <w:p w14:paraId="2E50B19C" w14:textId="77777777" w:rsidR="00AC1047" w:rsidRPr="00786A24" w:rsidRDefault="00AC1047" w:rsidP="00AC1047">
      <w:pPr>
        <w:spacing w:line="360" w:lineRule="auto"/>
        <w:rPr>
          <w:rFonts w:ascii="Arial" w:hAnsi="Arial" w:cs="Arial"/>
          <w:i/>
          <w:iCs/>
          <w:sz w:val="23"/>
          <w:szCs w:val="23"/>
        </w:rPr>
      </w:pPr>
      <w:r w:rsidRPr="00786A24">
        <w:rPr>
          <w:rFonts w:ascii="Arial" w:hAnsi="Arial" w:cs="Arial"/>
          <w:i/>
          <w:iCs/>
          <w:sz w:val="23"/>
          <w:szCs w:val="23"/>
        </w:rPr>
        <w:t xml:space="preserve">Social Constructions and the Deservingness heuristic. </w:t>
      </w:r>
    </w:p>
    <w:p w14:paraId="68BA6EB5" w14:textId="77777777" w:rsidR="00AC1047" w:rsidRPr="00786A24" w:rsidRDefault="00AC1047" w:rsidP="00AC1047">
      <w:pPr>
        <w:spacing w:line="360" w:lineRule="auto"/>
        <w:rPr>
          <w:rFonts w:ascii="Times New Roman" w:hAnsi="Times New Roman"/>
          <w:sz w:val="23"/>
          <w:szCs w:val="23"/>
        </w:rPr>
      </w:pPr>
      <w:r w:rsidRPr="00786A24">
        <w:rPr>
          <w:rFonts w:ascii="Times New Roman" w:hAnsi="Times New Roman"/>
          <w:sz w:val="23"/>
          <w:szCs w:val="23"/>
        </w:rPr>
        <w:t xml:space="preserve">Policymakers, social construction scholars Schneider and Ingram theorize, are incentivized to produce policy that helps some groups and punishes others. Their foundational typology suggests four general social constructions to which policymakers respond: target groups who are “advantaged,” or powerful and deserving; “contenders,” or target groups who are powerful but undeserving; “dependents” – groups who are deserving but lacking power; and “deviant” groups – those who are both undeserving and weak (Schneider and Ingram 1993). Policymakers respond to these social constructions and their perceptions of consequences for their re-election in “anticipatory” feedback processes (Schneider and Ingram, 2019). Policymakers will offer benefits to advantaged groups and to contenders, although advantages to contenders will be publicly obscured as in the case of as tax credits for the wealthy – recipients of which are perceived as more deserving than groups who receive social benefits (Ellis and Faricy 2020). As dependent groups are seen as deserving but lacking power, what policy benefits they enjoy may be “symbolic” or be rendered nearly inaccessible by bureaucratic hurdles. Deviants will be punished – policymakers expect their constituencies view deviants as undeserving, and that deviants will lack the political power to punish legislators. </w:t>
      </w:r>
    </w:p>
    <w:p w14:paraId="53360911" w14:textId="77777777" w:rsidR="00AC1047" w:rsidRPr="00786A24" w:rsidRDefault="00AC1047" w:rsidP="00AC1047">
      <w:pPr>
        <w:spacing w:line="360" w:lineRule="auto"/>
        <w:rPr>
          <w:rFonts w:ascii="Times New Roman" w:hAnsi="Times New Roman"/>
          <w:sz w:val="23"/>
          <w:szCs w:val="23"/>
        </w:rPr>
      </w:pPr>
    </w:p>
    <w:p w14:paraId="5F316B92" w14:textId="5B06BFEB" w:rsidR="00AC1047" w:rsidRDefault="00AC1047" w:rsidP="00AC1047">
      <w:pPr>
        <w:rPr>
          <w:rFonts w:ascii="Times New Roman" w:hAnsi="Times New Roman"/>
          <w:sz w:val="23"/>
          <w:szCs w:val="23"/>
        </w:rPr>
      </w:pPr>
      <w:r w:rsidRPr="00786A24">
        <w:rPr>
          <w:rFonts w:ascii="Times New Roman" w:hAnsi="Times New Roman"/>
          <w:sz w:val="23"/>
          <w:szCs w:val="23"/>
        </w:rPr>
        <w:t>While this theory and the mapping of social constructions of target groups is well-supported by both literature leveraging interpretive methods like text analysis (Schneider and Ingram 2019), and empirical work, the latter has raised questions about the contingency of group’s social constructions, and important drivers of variance in perceptions of deservingness across groups – highlighting state contexts and party membership (Smith and Kreitzer 2018, 2024). In other words, social constructions are neither static nor singular objects of uniform consensus – groups themselves are composed of diverse subsets, who may be perceived differently depending on who is asked. This raises dual questions: what might drive the public and legislators to evaluate deservingness differently, and to what extent are their policy preferences driven by perceptions of incarcerated people’s deservingness</w:t>
      </w:r>
    </w:p>
    <w:p w14:paraId="4CC75F02" w14:textId="77777777" w:rsidR="00AC1047" w:rsidRDefault="00AC1047" w:rsidP="00AC1047">
      <w:pPr>
        <w:rPr>
          <w:rFonts w:ascii="Times New Roman" w:hAnsi="Times New Roman"/>
          <w:sz w:val="23"/>
          <w:szCs w:val="23"/>
        </w:rPr>
      </w:pPr>
    </w:p>
    <w:p w14:paraId="3AE5502A" w14:textId="77777777" w:rsidR="00AC1047" w:rsidRDefault="00AC1047" w:rsidP="00AC1047">
      <w:pPr>
        <w:spacing w:line="360" w:lineRule="auto"/>
        <w:rPr>
          <w:rFonts w:ascii="Times New Roman" w:hAnsi="Times New Roman"/>
          <w:sz w:val="23"/>
          <w:szCs w:val="23"/>
        </w:rPr>
      </w:pPr>
    </w:p>
    <w:p w14:paraId="0A412FDB" w14:textId="77777777" w:rsidR="00AC1047" w:rsidRDefault="00AC1047" w:rsidP="00AC1047">
      <w:pPr>
        <w:spacing w:line="360" w:lineRule="auto"/>
        <w:rPr>
          <w:rFonts w:ascii="Times New Roman" w:hAnsi="Times New Roman"/>
          <w:sz w:val="23"/>
          <w:szCs w:val="23"/>
        </w:rPr>
      </w:pPr>
      <w:r w:rsidRPr="00786A24">
        <w:rPr>
          <w:rFonts w:ascii="Times New Roman" w:hAnsi="Times New Roman"/>
          <w:sz w:val="23"/>
          <w:szCs w:val="23"/>
        </w:rPr>
        <w:t xml:space="preserve">, and the relationship between these mechanisms and cultural contexts and institutions – “CARIN” literature. These literatures converge in broadly </w:t>
      </w:r>
      <w:r>
        <w:rPr>
          <w:rFonts w:ascii="Times New Roman" w:hAnsi="Times New Roman"/>
          <w:sz w:val="23"/>
          <w:szCs w:val="23"/>
        </w:rPr>
        <w:t>seeking to understand how target groups and ideas about what they deserve are constructed, and how these perceptions translate to policy opinion and outcomes.</w:t>
      </w:r>
    </w:p>
    <w:p w14:paraId="01D59AD0" w14:textId="77777777" w:rsidR="00AC1047" w:rsidRDefault="00AC1047" w:rsidP="00AC1047">
      <w:pPr>
        <w:spacing w:line="360" w:lineRule="auto"/>
        <w:rPr>
          <w:rFonts w:ascii="Times New Roman" w:hAnsi="Times New Roman"/>
          <w:sz w:val="24"/>
        </w:rPr>
      </w:pPr>
    </w:p>
    <w:p w14:paraId="7AA0BE27" w14:textId="77777777" w:rsidR="00AC1047" w:rsidRDefault="00AC1047" w:rsidP="00AC1047">
      <w:pPr>
        <w:spacing w:line="360" w:lineRule="auto"/>
        <w:rPr>
          <w:rFonts w:ascii="Times New Roman" w:hAnsi="Times New Roman"/>
          <w:sz w:val="24"/>
        </w:rPr>
      </w:pPr>
    </w:p>
    <w:p w14:paraId="03ABDEE7" w14:textId="77777777" w:rsidR="00AC1047" w:rsidRPr="00E44D59" w:rsidRDefault="00AC1047" w:rsidP="00AC1047">
      <w:pPr>
        <w:spacing w:line="360" w:lineRule="auto"/>
        <w:rPr>
          <w:rFonts w:ascii="Times New Roman" w:hAnsi="Times New Roman"/>
          <w:sz w:val="23"/>
          <w:szCs w:val="23"/>
        </w:rPr>
      </w:pPr>
      <w:r w:rsidRPr="00100B73">
        <w:rPr>
          <w:rFonts w:ascii="Times New Roman" w:hAnsi="Times New Roman"/>
          <w:sz w:val="24"/>
        </w:rPr>
        <w:lastRenderedPageBreak/>
        <w:t xml:space="preserve">The latter has deepened and complicated both the picture of group’s social constructions, and the drivers of </w:t>
      </w:r>
      <w:r w:rsidRPr="00100B73">
        <w:rPr>
          <w:rFonts w:ascii="Times New Roman" w:hAnsi="Times New Roman"/>
          <w:i/>
          <w:iCs/>
          <w:sz w:val="24"/>
        </w:rPr>
        <w:t>difference</w:t>
      </w:r>
      <w:r w:rsidRPr="00100B73">
        <w:rPr>
          <w:rFonts w:ascii="Times New Roman" w:hAnsi="Times New Roman"/>
          <w:sz w:val="24"/>
        </w:rPr>
        <w:t xml:space="preserve"> across evaluators of social constructions – highlighting state contexts and party membership (Smith and Kreitzer 2018, 2024). </w:t>
      </w:r>
    </w:p>
    <w:p w14:paraId="7392EA5A" w14:textId="77777777" w:rsidR="00AC1047" w:rsidRDefault="00AC1047" w:rsidP="00AC1047">
      <w:pPr>
        <w:spacing w:line="360" w:lineRule="auto"/>
        <w:rPr>
          <w:rFonts w:ascii="Times New Roman" w:hAnsi="Times New Roman"/>
          <w:sz w:val="23"/>
          <w:szCs w:val="23"/>
        </w:rPr>
      </w:pPr>
    </w:p>
    <w:p w14:paraId="663585DD" w14:textId="77777777" w:rsidR="00AC1047" w:rsidRPr="00E44D59" w:rsidRDefault="00AC1047" w:rsidP="00AC1047">
      <w:pPr>
        <w:spacing w:line="360" w:lineRule="auto"/>
        <w:rPr>
          <w:rFonts w:ascii="Times New Roman" w:hAnsi="Times New Roman"/>
          <w:sz w:val="23"/>
          <w:szCs w:val="23"/>
        </w:rPr>
      </w:pPr>
      <w:r w:rsidRPr="003D0AB6">
        <w:rPr>
          <w:rFonts w:ascii="Times New Roman" w:hAnsi="Times New Roman"/>
          <w:sz w:val="23"/>
          <w:szCs w:val="23"/>
        </w:rPr>
        <w:t xml:space="preserve">Among them, </w:t>
      </w:r>
      <w:r>
        <w:rPr>
          <w:rFonts w:ascii="Times New Roman" w:hAnsi="Times New Roman"/>
          <w:sz w:val="23"/>
          <w:szCs w:val="23"/>
        </w:rPr>
        <w:t>converging streams of literature on social constructions and deservingness</w:t>
      </w:r>
      <w:r w:rsidRPr="00786A24">
        <w:rPr>
          <w:rFonts w:ascii="Times New Roman" w:hAnsi="Times New Roman"/>
          <w:sz w:val="23"/>
          <w:szCs w:val="23"/>
        </w:rPr>
        <w:t xml:space="preserve"> </w:t>
      </w:r>
      <w:r>
        <w:rPr>
          <w:rFonts w:ascii="Times New Roman" w:hAnsi="Times New Roman"/>
          <w:sz w:val="23"/>
          <w:szCs w:val="23"/>
        </w:rPr>
        <w:t xml:space="preserve">seek to </w:t>
      </w:r>
      <w:r w:rsidRPr="00786A24">
        <w:rPr>
          <w:rFonts w:ascii="Times New Roman" w:hAnsi="Times New Roman"/>
          <w:sz w:val="23"/>
          <w:szCs w:val="23"/>
        </w:rPr>
        <w:t xml:space="preserve">understand how people decide who does and does not </w:t>
      </w:r>
      <w:r w:rsidRPr="00786A24">
        <w:rPr>
          <w:rFonts w:ascii="Times New Roman" w:hAnsi="Times New Roman"/>
          <w:i/>
          <w:iCs/>
          <w:sz w:val="23"/>
          <w:szCs w:val="23"/>
        </w:rPr>
        <w:t>deserve</w:t>
      </w:r>
      <w:r w:rsidRPr="00786A24">
        <w:rPr>
          <w:rFonts w:ascii="Times New Roman" w:hAnsi="Times New Roman"/>
          <w:sz w:val="23"/>
          <w:szCs w:val="23"/>
        </w:rPr>
        <w:t xml:space="preserve"> policy perceptions of deservingness amongst the public and policymakers shape policy outcomes (Scheider and Ingram 1993; van Oorschot 2000; van Oorschot et al 2017),.</w:t>
      </w:r>
      <w:r>
        <w:rPr>
          <w:rFonts w:ascii="Times New Roman" w:hAnsi="Times New Roman"/>
          <w:sz w:val="23"/>
          <w:szCs w:val="23"/>
        </w:rPr>
        <w:t xml:space="preserve"> Social construction scholars </w:t>
      </w:r>
      <w:r w:rsidRPr="003D0AB6">
        <w:rPr>
          <w:rFonts w:ascii="Times New Roman" w:hAnsi="Times New Roman"/>
          <w:sz w:val="23"/>
          <w:szCs w:val="23"/>
        </w:rPr>
        <w:t xml:space="preserve">In this lens, opinions about policy are </w:t>
      </w:r>
    </w:p>
    <w:p w14:paraId="2E5D6333" w14:textId="77777777" w:rsidR="00AC1047" w:rsidRDefault="00AC1047" w:rsidP="00AC1047">
      <w:pPr>
        <w:spacing w:line="360" w:lineRule="auto"/>
        <w:rPr>
          <w:rFonts w:ascii="Times New Roman" w:hAnsi="Times New Roman"/>
          <w:b/>
          <w:bCs/>
          <w:sz w:val="23"/>
          <w:szCs w:val="23"/>
        </w:rPr>
      </w:pPr>
    </w:p>
    <w:p w14:paraId="4FB3754A" w14:textId="77777777" w:rsidR="00AC1047" w:rsidRPr="00786A24" w:rsidRDefault="00AC1047" w:rsidP="00AC1047">
      <w:pPr>
        <w:spacing w:line="360" w:lineRule="auto"/>
        <w:rPr>
          <w:rFonts w:ascii="Times New Roman" w:hAnsi="Times New Roman"/>
          <w:sz w:val="23"/>
          <w:szCs w:val="23"/>
        </w:rPr>
      </w:pPr>
    </w:p>
    <w:p w14:paraId="32A788F3" w14:textId="77777777" w:rsidR="00AC1047" w:rsidRPr="00786A24" w:rsidRDefault="00AC1047" w:rsidP="00AC1047">
      <w:pPr>
        <w:spacing w:line="360" w:lineRule="auto"/>
        <w:rPr>
          <w:rFonts w:ascii="Times New Roman" w:hAnsi="Times New Roman"/>
          <w:sz w:val="23"/>
          <w:szCs w:val="23"/>
        </w:rPr>
      </w:pPr>
      <w:r w:rsidRPr="00786A24">
        <w:rPr>
          <w:rFonts w:ascii="Times New Roman" w:hAnsi="Times New Roman"/>
          <w:sz w:val="23"/>
          <w:szCs w:val="23"/>
        </w:rPr>
        <w:t xml:space="preserve">But to what extent is there consensus among voters – particularly across communities that bear starkly different brunt’s of punishment in the US? And more broadly, can the same mechanisms that are thought to inform deservingness of welfare beneficiaries explain the mechanisms that drive beliefs and arguments about </w:t>
      </w:r>
      <w:r w:rsidRPr="00786A24">
        <w:rPr>
          <w:rFonts w:ascii="Times New Roman" w:hAnsi="Times New Roman"/>
          <w:i/>
          <w:iCs/>
          <w:sz w:val="23"/>
          <w:szCs w:val="23"/>
        </w:rPr>
        <w:t>democratic rights</w:t>
      </w:r>
      <w:r w:rsidRPr="00786A24">
        <w:rPr>
          <w:rFonts w:ascii="Times New Roman" w:hAnsi="Times New Roman"/>
          <w:sz w:val="23"/>
          <w:szCs w:val="23"/>
        </w:rPr>
        <w:t xml:space="preserve"> like voting, and rights or resources in the context of prison?</w:t>
      </w:r>
    </w:p>
    <w:p w14:paraId="603DAFC9" w14:textId="77777777" w:rsidR="00AC1047" w:rsidRPr="00786A24" w:rsidRDefault="00AC1047" w:rsidP="00AC1047">
      <w:pPr>
        <w:spacing w:line="360" w:lineRule="auto"/>
        <w:rPr>
          <w:rFonts w:ascii="Times New Roman" w:hAnsi="Times New Roman"/>
          <w:sz w:val="23"/>
          <w:szCs w:val="23"/>
        </w:rPr>
      </w:pPr>
      <w:r w:rsidRPr="00786A24">
        <w:rPr>
          <w:rFonts w:ascii="Times New Roman" w:hAnsi="Times New Roman"/>
          <w:sz w:val="23"/>
          <w:szCs w:val="23"/>
        </w:rPr>
        <w:t xml:space="preserve"> </w:t>
      </w:r>
    </w:p>
    <w:p w14:paraId="3EC97F5F" w14:textId="77777777" w:rsidR="00AC1047" w:rsidRDefault="00AC1047" w:rsidP="00AC1047"/>
    <w:sectPr w:rsidR="00AC1047"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92"/>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A4786"/>
    <w:rsid w:val="001B2435"/>
    <w:rsid w:val="001C20E2"/>
    <w:rsid w:val="001C5DAA"/>
    <w:rsid w:val="001D0700"/>
    <w:rsid w:val="001D2BC2"/>
    <w:rsid w:val="001F484E"/>
    <w:rsid w:val="001F499D"/>
    <w:rsid w:val="001F5B84"/>
    <w:rsid w:val="002054C9"/>
    <w:rsid w:val="00206533"/>
    <w:rsid w:val="002131AE"/>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22592"/>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047"/>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207B5"/>
  <w15:chartTrackingRefBased/>
  <w15:docId w15:val="{063ADDBD-4570-D948-A12D-CE1912A1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822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8225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5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25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5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5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5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5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82259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22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59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2259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2259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2259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2259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2259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225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5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5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259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822592"/>
    <w:rPr>
      <w:i/>
      <w:iCs/>
      <w:color w:val="0F4761" w:themeColor="accent1" w:themeShade="BF"/>
    </w:rPr>
  </w:style>
  <w:style w:type="paragraph" w:styleId="IntenseQuote">
    <w:name w:val="Intense Quote"/>
    <w:basedOn w:val="Normal"/>
    <w:next w:val="Normal"/>
    <w:link w:val="IntenseQuoteChar"/>
    <w:uiPriority w:val="30"/>
    <w:qFormat/>
    <w:rsid w:val="00822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59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822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2024-12-24T01:23:00Z</dcterms:created>
  <dcterms:modified xsi:type="dcterms:W3CDTF">2024-12-24T01:24:00Z</dcterms:modified>
</cp:coreProperties>
</file>