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8895C2" w14:textId="77777777" w:rsidR="00106B83" w:rsidRPr="00106B83" w:rsidRDefault="00106B83" w:rsidP="00106B83">
      <w:pPr>
        <w:spacing w:before="100" w:beforeAutospacing="1" w:after="100" w:afterAutospacing="1"/>
        <w:outlineLvl w:val="1"/>
        <w:rPr>
          <w:rFonts w:ascii="Arial" w:hAnsi="Arial" w:cs="Arial"/>
          <w:color w:val="555555"/>
          <w:kern w:val="0"/>
          <w:sz w:val="36"/>
          <w:szCs w:val="36"/>
          <w14:ligatures w14:val="none"/>
        </w:rPr>
      </w:pPr>
      <w:r w:rsidRPr="00106B83">
        <w:rPr>
          <w:rFonts w:ascii="Arial" w:hAnsi="Arial" w:cs="Arial"/>
          <w:color w:val="555555"/>
          <w:kern w:val="0"/>
          <w:sz w:val="36"/>
          <w:szCs w:val="36"/>
          <w14:ligatures w14:val="none"/>
        </w:rPr>
        <w:t>Abstract</w:t>
      </w:r>
    </w:p>
    <w:p w14:paraId="1BE602FA"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In 2009, Maruna and King presented results from a British survey showing that the public’s belief in the redeemability of people who committed offenses curbed their level of punitiveness. Based on a 2017 national survey in the United States (</w:t>
      </w:r>
      <w:r w:rsidRPr="00106B83">
        <w:rPr>
          <w:rFonts w:ascii="Times New Roman" w:hAnsi="Times New Roman"/>
          <w:i/>
          <w:iCs/>
          <w:kern w:val="0"/>
          <w:sz w:val="24"/>
          <w14:ligatures w14:val="none"/>
        </w:rPr>
        <w:t>n</w:t>
      </w:r>
      <w:r w:rsidRPr="00106B83">
        <w:rPr>
          <w:rFonts w:ascii="Times New Roman" w:hAnsi="Times New Roman"/>
          <w:kern w:val="0"/>
          <w:sz w:val="24"/>
          <w14:ligatures w14:val="none"/>
        </w:rPr>
        <w:t> = 1,000), the current study confirms that redeemability is negatively related to punitive attitudes. In addition, the analyses reveal that this belief predicts support for rehabilitation and specific inclusionary policies (i.e., ban-the-box in employment, expungement of criminal records, and voting rights for people with a felony conviction). Findings regarding measures for punishment and rehabilitation were confirmed by a 2019 Mechanical Turk (MTurk) survey. These results suggest that beliefs about capacity for change among people who committed offenses are key to understanding crime-control public policy.</w:t>
      </w:r>
    </w:p>
    <w:p w14:paraId="620CFFF1"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Tracking public opinion since 1971, </w:t>
      </w:r>
      <w:hyperlink r:id="rId7" w:anchor="bibr24-0093854820913585" w:history="1">
        <w:r w:rsidRPr="00106B83">
          <w:rPr>
            <w:rFonts w:cs="Open Sans"/>
            <w:color w:val="046FF8"/>
            <w:kern w:val="0"/>
            <w:sz w:val="24"/>
            <w:u w:val="single"/>
            <w14:ligatures w14:val="none"/>
          </w:rPr>
          <w:t>Enns (2016)</w:t>
        </w:r>
      </w:hyperlink>
      <w:r w:rsidRPr="00106B83">
        <w:rPr>
          <w:rFonts w:cs="Open Sans"/>
          <w:color w:val="333333"/>
          <w:kern w:val="0"/>
          <w:sz w:val="24"/>
          <w14:ligatures w14:val="none"/>
        </w:rPr>
        <w:t> has persuasively documented how the growth in punitive attitudes contributed to the United States becoming the “incarceration nation.” The good news, he notes, is that for more than a decade, “public punitiveness has been on the decline and politicians of both parties have noticed” (</w:t>
      </w:r>
      <w:hyperlink r:id="rId8" w:anchor="bibr24-0093854820913585" w:history="1">
        <w:r w:rsidRPr="00106B83">
          <w:rPr>
            <w:rFonts w:cs="Open Sans"/>
            <w:color w:val="046FF8"/>
            <w:kern w:val="0"/>
            <w:sz w:val="24"/>
            <w:u w:val="single"/>
            <w14:ligatures w14:val="none"/>
          </w:rPr>
          <w:t>Enns, 2016</w:t>
        </w:r>
      </w:hyperlink>
      <w:r w:rsidRPr="00106B83">
        <w:rPr>
          <w:rFonts w:cs="Open Sans"/>
          <w:color w:val="333333"/>
          <w:kern w:val="0"/>
          <w:sz w:val="24"/>
          <w14:ligatures w14:val="none"/>
        </w:rPr>
        <w:t>, p. 164; see also </w:t>
      </w:r>
      <w:hyperlink r:id="rId9" w:anchor="bibr60-0093854820913585" w:history="1">
        <w:r w:rsidRPr="00106B83">
          <w:rPr>
            <w:rFonts w:cs="Open Sans"/>
            <w:color w:val="046FF8"/>
            <w:kern w:val="0"/>
            <w:sz w:val="24"/>
            <w:u w:val="single"/>
            <w14:ligatures w14:val="none"/>
          </w:rPr>
          <w:t>Pickett, 2019</w:t>
        </w:r>
      </w:hyperlink>
      <w:r w:rsidRPr="00106B83">
        <w:rPr>
          <w:rFonts w:cs="Open Sans"/>
          <w:color w:val="333333"/>
          <w:kern w:val="0"/>
          <w:sz w:val="24"/>
          <w14:ligatures w14:val="none"/>
        </w:rPr>
        <w:t>). In this context, policy shifts largely correspond to how people who committed offenses have been socially constructed as either redeemable or the intractable dangerous “other.”</w:t>
      </w:r>
    </w:p>
    <w:p w14:paraId="27C3B990"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Thus, from the Progressive era into the 1970s, people who committed offenses were portrayed as malleable and worthy of reform (</w:t>
      </w:r>
      <w:hyperlink r:id="rId10" w:anchor="bibr2-0093854820913585" w:history="1">
        <w:r w:rsidRPr="00106B83">
          <w:rPr>
            <w:rFonts w:cs="Open Sans"/>
            <w:color w:val="046FF8"/>
            <w:kern w:val="0"/>
            <w:sz w:val="24"/>
            <w:u w:val="single"/>
            <w14:ligatures w14:val="none"/>
          </w:rPr>
          <w:t>Allen, 1981</w:t>
        </w:r>
      </w:hyperlink>
      <w:r w:rsidRPr="00106B83">
        <w:rPr>
          <w:rFonts w:cs="Open Sans"/>
          <w:color w:val="333333"/>
          <w:kern w:val="0"/>
          <w:sz w:val="24"/>
          <w14:ligatures w14:val="none"/>
        </w:rPr>
        <w:t>; </w:t>
      </w:r>
      <w:hyperlink r:id="rId11" w:anchor="bibr19-0093854820913585" w:history="1">
        <w:r w:rsidRPr="00106B83">
          <w:rPr>
            <w:rFonts w:cs="Open Sans"/>
            <w:color w:val="046FF8"/>
            <w:kern w:val="0"/>
            <w:sz w:val="24"/>
            <w:u w:val="single"/>
            <w14:ligatures w14:val="none"/>
          </w:rPr>
          <w:t>Cullen &amp; Gilbert, 1982</w:t>
        </w:r>
      </w:hyperlink>
      <w:r w:rsidRPr="00106B83">
        <w:rPr>
          <w:rFonts w:cs="Open Sans"/>
          <w:color w:val="333333"/>
          <w:kern w:val="0"/>
          <w:sz w:val="24"/>
          <w14:ligatures w14:val="none"/>
        </w:rPr>
        <w:t>; </w:t>
      </w:r>
      <w:hyperlink r:id="rId12" w:anchor="bibr66-0093854820913585" w:history="1">
        <w:r w:rsidRPr="00106B83">
          <w:rPr>
            <w:rFonts w:cs="Open Sans"/>
            <w:color w:val="046FF8"/>
            <w:kern w:val="0"/>
            <w:sz w:val="24"/>
            <w:u w:val="single"/>
            <w14:ligatures w14:val="none"/>
          </w:rPr>
          <w:t>Rothman, 1980</w:t>
        </w:r>
      </w:hyperlink>
      <w:r w:rsidRPr="00106B83">
        <w:rPr>
          <w:rFonts w:cs="Open Sans"/>
          <w:color w:val="333333"/>
          <w:kern w:val="0"/>
          <w:sz w:val="24"/>
          <w14:ligatures w14:val="none"/>
        </w:rPr>
        <w:t>). The invention of the correctional system—including probation, parole, indeterminate sentencing, and the juvenile court—was predicated on the belief that the criminogenic needs of these individuals could be treated successfully (</w:t>
      </w:r>
      <w:hyperlink r:id="rId13" w:anchor="bibr66-0093854820913585" w:history="1">
        <w:r w:rsidRPr="00106B83">
          <w:rPr>
            <w:rFonts w:cs="Open Sans"/>
            <w:color w:val="046FF8"/>
            <w:kern w:val="0"/>
            <w:sz w:val="24"/>
            <w:u w:val="single"/>
            <w14:ligatures w14:val="none"/>
          </w:rPr>
          <w:t>Rothman, 1980</w:t>
        </w:r>
      </w:hyperlink>
      <w:r w:rsidRPr="00106B83">
        <w:rPr>
          <w:rFonts w:cs="Open Sans"/>
          <w:color w:val="333333"/>
          <w:kern w:val="0"/>
          <w:sz w:val="24"/>
          <w14:ligatures w14:val="none"/>
        </w:rPr>
        <w:t>). The goal was “normalization,” with corrections aiming to enrich people who committed offenses in the hope that they would be transformed and “and fit into the main organizing institutions of social life” (</w:t>
      </w:r>
      <w:hyperlink r:id="rId14" w:anchor="bibr69-0093854820913585" w:history="1">
        <w:r w:rsidRPr="00106B83">
          <w:rPr>
            <w:rFonts w:cs="Open Sans"/>
            <w:color w:val="046FF8"/>
            <w:kern w:val="0"/>
            <w:sz w:val="24"/>
            <w:u w:val="single"/>
            <w14:ligatures w14:val="none"/>
          </w:rPr>
          <w:t>Simon, 1993</w:t>
        </w:r>
      </w:hyperlink>
      <w:r w:rsidRPr="00106B83">
        <w:rPr>
          <w:rFonts w:cs="Open Sans"/>
          <w:color w:val="333333"/>
          <w:kern w:val="0"/>
          <w:sz w:val="24"/>
          <w14:ligatures w14:val="none"/>
        </w:rPr>
        <w:t>, p. 101). As </w:t>
      </w:r>
      <w:hyperlink r:id="rId15" w:anchor="bibr27-0093854820913585" w:history="1">
        <w:r w:rsidRPr="00106B83">
          <w:rPr>
            <w:rFonts w:cs="Open Sans"/>
            <w:color w:val="046FF8"/>
            <w:kern w:val="0"/>
            <w:sz w:val="24"/>
            <w:u w:val="single"/>
            <w14:ligatures w14:val="none"/>
          </w:rPr>
          <w:t>Garland (2001</w:t>
        </w:r>
      </w:hyperlink>
      <w:r w:rsidRPr="00106B83">
        <w:rPr>
          <w:rFonts w:cs="Open Sans"/>
          <w:color w:val="333333"/>
          <w:kern w:val="0"/>
          <w:sz w:val="24"/>
          <w14:ligatures w14:val="none"/>
        </w:rPr>
        <w:t>, pp. 38–39) observes, “penal-welfarism” prevailed in which the state was responsible “for the care of offenders as well as their punishment and control.”</w:t>
      </w:r>
    </w:p>
    <w:p w14:paraId="1AB28A34"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In the 1970s, however, the image of people who broke the law changed dramatically. “The recurrent image of the offender,” observes </w:t>
      </w:r>
      <w:hyperlink r:id="rId16" w:anchor="bibr27-0093854820913585" w:history="1">
        <w:r w:rsidRPr="00106B83">
          <w:rPr>
            <w:rFonts w:cs="Open Sans"/>
            <w:color w:val="046FF8"/>
            <w:kern w:val="0"/>
            <w:sz w:val="24"/>
            <w:u w:val="single"/>
            <w14:ligatures w14:val="none"/>
          </w:rPr>
          <w:t>Garland (2001)</w:t>
        </w:r>
      </w:hyperlink>
      <w:r w:rsidRPr="00106B83">
        <w:rPr>
          <w:rFonts w:cs="Open Sans"/>
          <w:color w:val="333333"/>
          <w:kern w:val="0"/>
          <w:sz w:val="24"/>
          <w14:ligatures w14:val="none"/>
        </w:rPr>
        <w:t>, “ceased to be that of the needy delinquent or the feckless misfit and became much more threatening—a matter of career criminals, crackheads, thugs, and predators” (p. 102). In </w:t>
      </w:r>
      <w:r w:rsidRPr="00106B83">
        <w:rPr>
          <w:rFonts w:cs="Open Sans"/>
          <w:i/>
          <w:iCs/>
          <w:color w:val="333333"/>
          <w:kern w:val="0"/>
          <w:sz w:val="24"/>
          <w14:ligatures w14:val="none"/>
        </w:rPr>
        <w:t>Thinking About Crime</w:t>
      </w:r>
      <w:r w:rsidRPr="00106B83">
        <w:rPr>
          <w:rFonts w:cs="Open Sans"/>
          <w:color w:val="333333"/>
          <w:kern w:val="0"/>
          <w:sz w:val="24"/>
          <w14:ligatures w14:val="none"/>
        </w:rPr>
        <w:t>, </w:t>
      </w:r>
      <w:hyperlink r:id="rId17" w:anchor="bibr80-0093854820913585" w:history="1">
        <w:r w:rsidRPr="00106B83">
          <w:rPr>
            <w:rFonts w:cs="Open Sans"/>
            <w:color w:val="046FF8"/>
            <w:kern w:val="0"/>
            <w:sz w:val="24"/>
            <w:u w:val="single"/>
            <w14:ligatures w14:val="none"/>
          </w:rPr>
          <w:t>James Q. Wilson (1975)</w:t>
        </w:r>
      </w:hyperlink>
      <w:r w:rsidRPr="00106B83">
        <w:rPr>
          <w:rFonts w:cs="Open Sans"/>
          <w:color w:val="333333"/>
          <w:kern w:val="0"/>
          <w:sz w:val="24"/>
          <w14:ligatures w14:val="none"/>
        </w:rPr>
        <w:t> offered the stunning conclusion that “Wicked people exist. Nothing avails except to set them apart from innocent people” (p. 235). Two decades later, </w:t>
      </w:r>
      <w:hyperlink r:id="rId18" w:anchor="bibr22-0093854820913585" w:history="1">
        <w:r w:rsidRPr="00106B83">
          <w:rPr>
            <w:rFonts w:cs="Open Sans"/>
            <w:color w:val="046FF8"/>
            <w:kern w:val="0"/>
            <w:sz w:val="24"/>
            <w:u w:val="single"/>
            <w14:ligatures w14:val="none"/>
          </w:rPr>
          <w:t>DiIulio (1995</w:t>
        </w:r>
      </w:hyperlink>
      <w:r w:rsidRPr="00106B83">
        <w:rPr>
          <w:rFonts w:cs="Open Sans"/>
          <w:color w:val="333333"/>
          <w:kern w:val="0"/>
          <w:sz w:val="24"/>
          <w14:ligatures w14:val="none"/>
        </w:rPr>
        <w:t>, p. 23) termed juveniles “super-predators,” describing them as “hardened” and “remorseless” and as having “absolutely no respect for human life and no sense of the future.” </w:t>
      </w:r>
      <w:hyperlink r:id="rId19" w:anchor="bibr27-0093854820913585" w:history="1">
        <w:r w:rsidRPr="00106B83">
          <w:rPr>
            <w:rFonts w:cs="Open Sans"/>
            <w:color w:val="046FF8"/>
            <w:kern w:val="0"/>
            <w:sz w:val="24"/>
            <w:u w:val="single"/>
            <w14:ligatures w14:val="none"/>
          </w:rPr>
          <w:t>Garland (2001</w:t>
        </w:r>
      </w:hyperlink>
      <w:r w:rsidRPr="00106B83">
        <w:rPr>
          <w:rFonts w:cs="Open Sans"/>
          <w:color w:val="333333"/>
          <w:kern w:val="0"/>
          <w:sz w:val="24"/>
          <w14:ligatures w14:val="none"/>
        </w:rPr>
        <w:t xml:space="preserve">, p. 136) captured these views under the umbrella of the “criminology of the other,” in which “offenders are treated as a different species of threatening, violent </w:t>
      </w:r>
      <w:r w:rsidRPr="00106B83">
        <w:rPr>
          <w:rFonts w:cs="Open Sans"/>
          <w:color w:val="333333"/>
          <w:kern w:val="0"/>
          <w:sz w:val="24"/>
          <w14:ligatures w14:val="none"/>
        </w:rPr>
        <w:lastRenderedPageBreak/>
        <w:t>individuals for whom we can have no sympathy and for whom there is no effective help.” More recently, </w:t>
      </w:r>
      <w:hyperlink r:id="rId20" w:anchor="bibr70-0093854820913585" w:history="1">
        <w:r w:rsidRPr="00106B83">
          <w:rPr>
            <w:rFonts w:cs="Open Sans"/>
            <w:color w:val="046FF8"/>
            <w:kern w:val="0"/>
            <w:sz w:val="24"/>
            <w:u w:val="single"/>
            <w14:ligatures w14:val="none"/>
          </w:rPr>
          <w:t>Simon (2014</w:t>
        </w:r>
      </w:hyperlink>
      <w:r w:rsidRPr="00106B83">
        <w:rPr>
          <w:rFonts w:cs="Open Sans"/>
          <w:color w:val="333333"/>
          <w:kern w:val="0"/>
          <w:sz w:val="24"/>
          <w14:ligatures w14:val="none"/>
        </w:rPr>
        <w:t>, p. 23) has documented the emergence in this area of the “prevailing wisdom” that “most criminals have a high and unchanging potential for criminal activity.” This conception of such individuals was inextricably linked to the view that keeping society risk-free required a policy of “total incapacitation.” “The politics of fear that produced mass incarceration,” notes </w:t>
      </w:r>
      <w:hyperlink r:id="rId21" w:anchor="bibr70-0093854820913585" w:history="1">
        <w:r w:rsidRPr="00106B83">
          <w:rPr>
            <w:rFonts w:cs="Open Sans"/>
            <w:color w:val="046FF8"/>
            <w:kern w:val="0"/>
            <w:sz w:val="24"/>
            <w:u w:val="single"/>
            <w14:ligatures w14:val="none"/>
          </w:rPr>
          <w:t>Simon (2014</w:t>
        </w:r>
      </w:hyperlink>
      <w:r w:rsidRPr="00106B83">
        <w:rPr>
          <w:rFonts w:cs="Open Sans"/>
          <w:color w:val="333333"/>
          <w:kern w:val="0"/>
          <w:sz w:val="24"/>
          <w14:ligatures w14:val="none"/>
        </w:rPr>
        <w:t>, p. 131), “relied on the image of the prisoner as an unchanging lethal threat.”</w:t>
      </w:r>
    </w:p>
    <w:p w14:paraId="4E6CABE8"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These portrayals of individuals’ criminality as a stable or fixed entity sound increasingly debatable—even if they were prevalent merely a decade ago. First, the “criminology of the other” in which all people who break the law are seen as inherently and permanently risky has been challenged by the “criminology of the diverse.” Essentially, politicians are now disaggregating the criminal class. A favorite category “non-violent drug offenders” are depicted as posing no danger and as candidates for prison release (see </w:t>
      </w:r>
      <w:hyperlink r:id="rId22" w:anchor="bibr53-0093854820913585" w:history="1">
        <w:r w:rsidRPr="00106B83">
          <w:rPr>
            <w:rFonts w:cs="Open Sans"/>
            <w:color w:val="046FF8"/>
            <w:kern w:val="0"/>
            <w:sz w:val="24"/>
            <w:u w:val="single"/>
            <w14:ligatures w14:val="none"/>
          </w:rPr>
          <w:t>Obama, 2017</w:t>
        </w:r>
      </w:hyperlink>
      <w:r w:rsidRPr="00106B83">
        <w:rPr>
          <w:rFonts w:cs="Open Sans"/>
          <w:color w:val="333333"/>
          <w:kern w:val="0"/>
          <w:sz w:val="24"/>
          <w14:ligatures w14:val="none"/>
        </w:rPr>
        <w:t>). The recent federal reform, The First Step Act of 2018, includes as a core component a “risk and needs assessment system” to determine individuals’ risk of recidivating and to develop individualized treatment plans (</w:t>
      </w:r>
      <w:hyperlink r:id="rId23" w:anchor="bibr55-0093854820913585" w:history="1">
        <w:r w:rsidRPr="00106B83">
          <w:rPr>
            <w:rFonts w:cs="Open Sans"/>
            <w:color w:val="046FF8"/>
            <w:kern w:val="0"/>
            <w:sz w:val="24"/>
            <w:u w:val="single"/>
            <w14:ligatures w14:val="none"/>
          </w:rPr>
          <w:t>Office of the Attorney General, 2019</w:t>
        </w:r>
      </w:hyperlink>
      <w:r w:rsidRPr="00106B83">
        <w:rPr>
          <w:rFonts w:cs="Open Sans"/>
          <w:color w:val="333333"/>
          <w:kern w:val="0"/>
          <w:sz w:val="24"/>
          <w14:ligatures w14:val="none"/>
        </w:rPr>
        <w:t>, p. 1). Second, the language of redemption is now common (see </w:t>
      </w:r>
      <w:hyperlink r:id="rId24" w:anchor="bibr21-0093854820913585" w:history="1">
        <w:r w:rsidRPr="00106B83">
          <w:rPr>
            <w:rFonts w:cs="Open Sans"/>
            <w:color w:val="046FF8"/>
            <w:kern w:val="0"/>
            <w:sz w:val="24"/>
            <w:u w:val="single"/>
            <w14:ligatures w14:val="none"/>
          </w:rPr>
          <w:t>Cullen et al., 2020</w:t>
        </w:r>
      </w:hyperlink>
      <w:r w:rsidRPr="00106B83">
        <w:rPr>
          <w:rFonts w:cs="Open Sans"/>
          <w:color w:val="333333"/>
          <w:kern w:val="0"/>
          <w:sz w:val="24"/>
          <w14:ligatures w14:val="none"/>
        </w:rPr>
        <w:t>). Recall the “REDEEM Act” proposed by Senators Cory Booker and Rand Paul in 2015. Similarly, in the U.S. House of Representatives, Doug Collins, a conservative Georgia Republican, offered the Prison Reform and Redemption Act (</w:t>
      </w:r>
      <w:hyperlink r:id="rId25" w:anchor="bibr16-0093854820913585" w:history="1">
        <w:r w:rsidRPr="00106B83">
          <w:rPr>
            <w:rFonts w:cs="Open Sans"/>
            <w:color w:val="046FF8"/>
            <w:kern w:val="0"/>
            <w:sz w:val="24"/>
            <w:u w:val="single"/>
            <w14:ligatures w14:val="none"/>
          </w:rPr>
          <w:t>Cohen, 2019</w:t>
        </w:r>
      </w:hyperlink>
      <w:r w:rsidRPr="00106B83">
        <w:rPr>
          <w:rFonts w:cs="Open Sans"/>
          <w:color w:val="333333"/>
          <w:kern w:val="0"/>
          <w:sz w:val="24"/>
          <w14:ligatures w14:val="none"/>
        </w:rPr>
        <w:t>). Most notably, at the White House signing ceremony for the First Step Act, President Trump commented that the “bipartisan bill will make our communities safer and give individuals released from prison a second chance at life after they have served their time, so important” (</w:t>
      </w:r>
      <w:hyperlink r:id="rId26" w:anchor="bibr67-0093854820913585" w:history="1">
        <w:r w:rsidRPr="00106B83">
          <w:rPr>
            <w:rFonts w:cs="Open Sans"/>
            <w:color w:val="046FF8"/>
            <w:kern w:val="0"/>
            <w:sz w:val="24"/>
            <w:u w:val="single"/>
            <w14:ligatures w14:val="none"/>
          </w:rPr>
          <w:t>Schwartz, 2018</w:t>
        </w:r>
      </w:hyperlink>
      <w:r w:rsidRPr="00106B83">
        <w:rPr>
          <w:rFonts w:cs="Open Sans"/>
          <w:color w:val="333333"/>
          <w:kern w:val="0"/>
          <w:sz w:val="24"/>
          <w14:ligatures w14:val="none"/>
        </w:rPr>
        <w:t>). He then added the following: “Redemption is at the heart of the American Idea, and that’s what this is about” (</w:t>
      </w:r>
      <w:hyperlink r:id="rId27" w:anchor="bibr67-0093854820913585" w:history="1">
        <w:r w:rsidRPr="00106B83">
          <w:rPr>
            <w:rFonts w:cs="Open Sans"/>
            <w:color w:val="046FF8"/>
            <w:kern w:val="0"/>
            <w:sz w:val="24"/>
            <w:u w:val="single"/>
            <w14:ligatures w14:val="none"/>
          </w:rPr>
          <w:t>Schwartz, 2018</w:t>
        </w:r>
      </w:hyperlink>
      <w:r w:rsidRPr="00106B83">
        <w:rPr>
          <w:rFonts w:cs="Open Sans"/>
          <w:color w:val="333333"/>
          <w:kern w:val="0"/>
          <w:sz w:val="24"/>
          <w14:ligatures w14:val="none"/>
        </w:rPr>
        <w:t>).</w:t>
      </w:r>
    </w:p>
    <w:p w14:paraId="3A0BB3E8"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The point is that public beliefs about people who committed offenses, especially about redeemability, may be consequential when writ large—if they do, in fact, lead to reduced punitiveness and greater support for rehabilitation and other inclusionary policies. Building on the work of </w:t>
      </w:r>
      <w:hyperlink r:id="rId28" w:anchor="bibr48-0093854820913585" w:history="1">
        <w:r w:rsidRPr="00106B83">
          <w:rPr>
            <w:rFonts w:cs="Open Sans"/>
            <w:color w:val="046FF8"/>
            <w:kern w:val="0"/>
            <w:sz w:val="24"/>
            <w:u w:val="single"/>
            <w14:ligatures w14:val="none"/>
          </w:rPr>
          <w:t>Maruna and King (2009)</w:t>
        </w:r>
      </w:hyperlink>
      <w:r w:rsidRPr="00106B83">
        <w:rPr>
          <w:rFonts w:cs="Open Sans"/>
          <w:color w:val="333333"/>
          <w:kern w:val="0"/>
          <w:sz w:val="24"/>
          <w14:ligatures w14:val="none"/>
        </w:rPr>
        <w:t>, the current project has implications regarding this possibility. A decade ago, </w:t>
      </w:r>
      <w:hyperlink r:id="rId29" w:anchor="bibr48-0093854820913585" w:history="1">
        <w:r w:rsidRPr="00106B83">
          <w:rPr>
            <w:rFonts w:cs="Open Sans"/>
            <w:color w:val="046FF8"/>
            <w:kern w:val="0"/>
            <w:sz w:val="24"/>
            <w:u w:val="single"/>
            <w14:ligatures w14:val="none"/>
          </w:rPr>
          <w:t>Maruna and King (2009)</w:t>
        </w:r>
      </w:hyperlink>
      <w:r w:rsidRPr="00106B83">
        <w:rPr>
          <w:rFonts w:cs="Open Sans"/>
          <w:color w:val="333333"/>
          <w:kern w:val="0"/>
          <w:sz w:val="24"/>
          <w14:ligatures w14:val="none"/>
        </w:rPr>
        <w:t xml:space="preserve"> advanced inquiry into the sources of public punitiveness by introducing, measuring, and showing the consequences of belief in individuals’ “redeemability”—that is, belief in “the impermanence of criminality” (p. 15). Their work falls under the umbrella of attribution theory, which examines how people explain behavior and, in turn, how these “attributions” make certain interventions seem logical. Prior to their contribution, one aspect of attribution theory had shaped research: whether the public perceived that the cause of crime was </w:t>
      </w:r>
      <w:r w:rsidRPr="00106B83">
        <w:rPr>
          <w:rFonts w:cs="Open Sans"/>
          <w:color w:val="333333"/>
          <w:kern w:val="0"/>
          <w:sz w:val="24"/>
          <w14:ligatures w14:val="none"/>
        </w:rPr>
        <w:lastRenderedPageBreak/>
        <w:t>“dispositional” or “situational” (see </w:t>
      </w:r>
      <w:hyperlink r:id="rId30" w:anchor="bibr33-0093854820913585" w:history="1">
        <w:r w:rsidRPr="00106B83">
          <w:rPr>
            <w:rFonts w:cs="Open Sans"/>
            <w:color w:val="046FF8"/>
            <w:kern w:val="0"/>
            <w:sz w:val="24"/>
            <w:u w:val="single"/>
            <w14:ligatures w14:val="none"/>
          </w:rPr>
          <w:t>Heider, 1958</w:t>
        </w:r>
      </w:hyperlink>
      <w:r w:rsidRPr="00106B83">
        <w:rPr>
          <w:rFonts w:cs="Open Sans"/>
          <w:color w:val="333333"/>
          <w:kern w:val="0"/>
          <w:sz w:val="24"/>
          <w14:ligatures w14:val="none"/>
        </w:rPr>
        <w:t>). The dispositional perspective attributes crime (and other behaviors) to individual traits or choices and tended to justify the use of punitive correctional policies, whereas the situational perspective attributes crime to more malleable external or social factors that legitimize rehabilitative responses (see, e.g., </w:t>
      </w:r>
      <w:hyperlink r:id="rId31" w:anchor="bibr17-0093854820913585" w:history="1">
        <w:r w:rsidRPr="00106B83">
          <w:rPr>
            <w:rFonts w:cs="Open Sans"/>
            <w:color w:val="046FF8"/>
            <w:kern w:val="0"/>
            <w:sz w:val="24"/>
            <w:u w:val="single"/>
            <w14:ligatures w14:val="none"/>
          </w:rPr>
          <w:t>Cullen et al., 1985</w:t>
        </w:r>
      </w:hyperlink>
      <w:r w:rsidRPr="00106B83">
        <w:rPr>
          <w:rFonts w:cs="Open Sans"/>
          <w:color w:val="333333"/>
          <w:kern w:val="0"/>
          <w:sz w:val="24"/>
          <w14:ligatures w14:val="none"/>
        </w:rPr>
        <w:t>)—a connection largely supported in the literature (</w:t>
      </w:r>
      <w:hyperlink r:id="rId32" w:anchor="bibr15-0093854820913585" w:history="1">
        <w:r w:rsidRPr="00106B83">
          <w:rPr>
            <w:rFonts w:cs="Open Sans"/>
            <w:color w:val="046FF8"/>
            <w:kern w:val="0"/>
            <w:sz w:val="24"/>
            <w:u w:val="single"/>
            <w14:ligatures w14:val="none"/>
          </w:rPr>
          <w:t>Cochran et al., 2003</w:t>
        </w:r>
      </w:hyperlink>
      <w:r w:rsidRPr="00106B83">
        <w:rPr>
          <w:rFonts w:cs="Open Sans"/>
          <w:color w:val="333333"/>
          <w:kern w:val="0"/>
          <w:sz w:val="24"/>
          <w14:ligatures w14:val="none"/>
        </w:rPr>
        <w:t>; </w:t>
      </w:r>
      <w:hyperlink r:id="rId33" w:anchor="bibr25-0093854820913585" w:history="1">
        <w:r w:rsidRPr="00106B83">
          <w:rPr>
            <w:rFonts w:cs="Open Sans"/>
            <w:color w:val="046FF8"/>
            <w:kern w:val="0"/>
            <w:sz w:val="24"/>
            <w:u w:val="single"/>
            <w14:ligatures w14:val="none"/>
          </w:rPr>
          <w:t>Falco &amp; Turner, 2014</w:t>
        </w:r>
      </w:hyperlink>
      <w:r w:rsidRPr="00106B83">
        <w:rPr>
          <w:rFonts w:cs="Open Sans"/>
          <w:color w:val="333333"/>
          <w:kern w:val="0"/>
          <w:sz w:val="24"/>
          <w14:ligatures w14:val="none"/>
        </w:rPr>
        <w:t>; </w:t>
      </w:r>
      <w:hyperlink r:id="rId34" w:anchor="bibr48-0093854820913585" w:history="1">
        <w:r w:rsidRPr="00106B83">
          <w:rPr>
            <w:rFonts w:cs="Open Sans"/>
            <w:color w:val="046FF8"/>
            <w:kern w:val="0"/>
            <w:sz w:val="24"/>
            <w:u w:val="single"/>
            <w14:ligatures w14:val="none"/>
          </w:rPr>
          <w:t>Maruna and King, 2009</w:t>
        </w:r>
      </w:hyperlink>
      <w:r w:rsidRPr="00106B83">
        <w:rPr>
          <w:rFonts w:cs="Open Sans"/>
          <w:color w:val="333333"/>
          <w:kern w:val="0"/>
          <w:sz w:val="24"/>
          <w14:ligatures w14:val="none"/>
        </w:rPr>
        <w:t>; </w:t>
      </w:r>
      <w:hyperlink r:id="rId35" w:anchor="bibr61-0093854820913585" w:history="1">
        <w:r w:rsidRPr="00106B83">
          <w:rPr>
            <w:rFonts w:cs="Open Sans"/>
            <w:color w:val="046FF8"/>
            <w:kern w:val="0"/>
            <w:sz w:val="24"/>
            <w:u w:val="single"/>
            <w14:ligatures w14:val="none"/>
          </w:rPr>
          <w:t>Pickett &amp; Baker, 2014</w:t>
        </w:r>
      </w:hyperlink>
      <w:r w:rsidRPr="00106B83">
        <w:rPr>
          <w:rFonts w:cs="Open Sans"/>
          <w:color w:val="333333"/>
          <w:kern w:val="0"/>
          <w:sz w:val="24"/>
          <w14:ligatures w14:val="none"/>
        </w:rPr>
        <w:t>; </w:t>
      </w:r>
      <w:hyperlink r:id="rId36" w:anchor="bibr76-0093854820913585" w:history="1">
        <w:r w:rsidRPr="00106B83">
          <w:rPr>
            <w:rFonts w:cs="Open Sans"/>
            <w:color w:val="046FF8"/>
            <w:kern w:val="0"/>
            <w:sz w:val="24"/>
            <w:u w:val="single"/>
            <w14:ligatures w14:val="none"/>
          </w:rPr>
          <w:t>Unnever et al., 2010</w:t>
        </w:r>
      </w:hyperlink>
      <w:r w:rsidRPr="00106B83">
        <w:rPr>
          <w:rFonts w:cs="Open Sans"/>
          <w:color w:val="333333"/>
          <w:kern w:val="0"/>
          <w:sz w:val="24"/>
          <w14:ligatures w14:val="none"/>
        </w:rPr>
        <w:t>).</w:t>
      </w:r>
    </w:p>
    <w:p w14:paraId="6E018FD7" w14:textId="77777777" w:rsidR="00106B83" w:rsidRPr="00106B83" w:rsidRDefault="00106B83" w:rsidP="00106B83">
      <w:pPr>
        <w:rPr>
          <w:rFonts w:cs="Open Sans"/>
          <w:color w:val="333333"/>
          <w:kern w:val="0"/>
          <w:sz w:val="24"/>
          <w14:ligatures w14:val="none"/>
        </w:rPr>
      </w:pPr>
      <w:hyperlink r:id="rId37" w:anchor="bibr48-0093854820913585" w:history="1">
        <w:r w:rsidRPr="00106B83">
          <w:rPr>
            <w:rFonts w:cs="Open Sans"/>
            <w:color w:val="046FF8"/>
            <w:kern w:val="0"/>
            <w:sz w:val="24"/>
            <w:u w:val="single"/>
            <w14:ligatures w14:val="none"/>
          </w:rPr>
          <w:t>Maruna and King (2009</w:t>
        </w:r>
      </w:hyperlink>
      <w:r w:rsidRPr="00106B83">
        <w:rPr>
          <w:rFonts w:cs="Open Sans"/>
          <w:color w:val="333333"/>
          <w:kern w:val="0"/>
          <w:sz w:val="24"/>
          <w14:ligatures w14:val="none"/>
        </w:rPr>
        <w:t>, p. 9) understood, however, that attribution theory in social psychology had evolved to incorporate additional cognitive dimensions, including “stability/instability” (</w:t>
      </w:r>
      <w:hyperlink r:id="rId38" w:anchor="bibr78-0093854820913585" w:history="1">
        <w:r w:rsidRPr="00106B83">
          <w:rPr>
            <w:rFonts w:cs="Open Sans"/>
            <w:color w:val="046FF8"/>
            <w:kern w:val="0"/>
            <w:sz w:val="24"/>
            <w:u w:val="single"/>
            <w14:ligatures w14:val="none"/>
          </w:rPr>
          <w:t>Weary, 1984</w:t>
        </w:r>
      </w:hyperlink>
      <w:r w:rsidRPr="00106B83">
        <w:rPr>
          <w:rFonts w:cs="Open Sans"/>
          <w:color w:val="333333"/>
          <w:kern w:val="0"/>
          <w:sz w:val="24"/>
          <w14:ligatures w14:val="none"/>
        </w:rPr>
        <w:t>; </w:t>
      </w:r>
      <w:hyperlink r:id="rId39" w:anchor="bibr79-0093854820913585" w:history="1">
        <w:r w:rsidRPr="00106B83">
          <w:rPr>
            <w:rFonts w:cs="Open Sans"/>
            <w:color w:val="046FF8"/>
            <w:kern w:val="0"/>
            <w:sz w:val="24"/>
            <w:u w:val="single"/>
            <w14:ligatures w14:val="none"/>
          </w:rPr>
          <w:t>Weiner, 2010</w:t>
        </w:r>
      </w:hyperlink>
      <w:r w:rsidRPr="00106B83">
        <w:rPr>
          <w:rFonts w:cs="Open Sans"/>
          <w:color w:val="333333"/>
          <w:kern w:val="0"/>
          <w:sz w:val="24"/>
          <w14:ligatures w14:val="none"/>
        </w:rPr>
        <w:t>). In a related development, other social psychologists—led most notably by Carol Dweck—framed the same issue in terms of the “implicit” theories people held about human attributes, distinguishing between “entity” theory that saw traits as fixed and “incremental theory” that saw traits as malleable. As </w:t>
      </w:r>
      <w:hyperlink r:id="rId40" w:anchor="bibr43-0093854820913585" w:history="1">
        <w:r w:rsidRPr="00106B83">
          <w:rPr>
            <w:rFonts w:cs="Open Sans"/>
            <w:color w:val="046FF8"/>
            <w:kern w:val="0"/>
            <w:sz w:val="24"/>
            <w:u w:val="single"/>
            <w14:ligatures w14:val="none"/>
          </w:rPr>
          <w:t>Levy et al. (1998)</w:t>
        </w:r>
      </w:hyperlink>
      <w:r w:rsidRPr="00106B83">
        <w:rPr>
          <w:rFonts w:cs="Open Sans"/>
          <w:color w:val="333333"/>
          <w:kern w:val="0"/>
          <w:sz w:val="24"/>
          <w14:ligatures w14:val="none"/>
        </w:rPr>
        <w:t> note, “a fixed versus a malleable view of traits may set up a framework for understanding social information and social judgments” (p. 1422). In an important innovation, </w:t>
      </w:r>
      <w:hyperlink r:id="rId41" w:anchor="bibr48-0093854820913585" w:history="1">
        <w:r w:rsidRPr="00106B83">
          <w:rPr>
            <w:rFonts w:cs="Open Sans"/>
            <w:color w:val="046FF8"/>
            <w:kern w:val="0"/>
            <w:sz w:val="24"/>
            <w:u w:val="single"/>
            <w14:ligatures w14:val="none"/>
          </w:rPr>
          <w:t>Maruna and King (2009</w:t>
        </w:r>
      </w:hyperlink>
      <w:r w:rsidRPr="00106B83">
        <w:rPr>
          <w:rFonts w:cs="Open Sans"/>
          <w:color w:val="333333"/>
          <w:kern w:val="0"/>
          <w:sz w:val="24"/>
          <w14:ligatures w14:val="none"/>
        </w:rPr>
        <w:t>, p. 9) called for the application of this reasoning to the study of public opinion about people who committed offenses:</w:t>
      </w:r>
    </w:p>
    <w:p w14:paraId="4CF80CA9"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This measure asks how permanent or transient members of the public feel the causes of criminality to be. That is, regardless of the origins of criminal behavior (situational or dispositional), do they believe that “once a criminal, always a criminal” or do they believe that even the most persistent offenders can redeem themselves and turn their lives around.</w:t>
      </w:r>
    </w:p>
    <w:p w14:paraId="630A9C6A" w14:textId="77777777" w:rsidR="00106B83" w:rsidRPr="00106B83" w:rsidRDefault="00106B83" w:rsidP="00106B83">
      <w:pPr>
        <w:rPr>
          <w:rFonts w:cs="Open Sans"/>
          <w:color w:val="333333"/>
          <w:kern w:val="0"/>
          <w:sz w:val="24"/>
          <w14:ligatures w14:val="none"/>
        </w:rPr>
      </w:pPr>
      <w:hyperlink r:id="rId42" w:anchor="bibr48-0093854820913585" w:history="1">
        <w:r w:rsidRPr="00106B83">
          <w:rPr>
            <w:rFonts w:cs="Open Sans"/>
            <w:color w:val="046FF8"/>
            <w:kern w:val="0"/>
            <w:sz w:val="24"/>
            <w:u w:val="single"/>
            <w14:ligatures w14:val="none"/>
          </w:rPr>
          <w:t>Maruna and King (2009</w:t>
        </w:r>
      </w:hyperlink>
      <w:r w:rsidRPr="00106B83">
        <w:rPr>
          <w:rFonts w:cs="Open Sans"/>
          <w:color w:val="333333"/>
          <w:kern w:val="0"/>
          <w:sz w:val="24"/>
          <w14:ligatures w14:val="none"/>
        </w:rPr>
        <w:t>, p. 9) observed that the public likely has “divergent views on this key issue,” and that such thinking about such individuals has potential consequences (see also </w:t>
      </w:r>
      <w:hyperlink r:id="rId43" w:anchor="bibr62-0093854820913585" w:history="1">
        <w:r w:rsidRPr="00106B83">
          <w:rPr>
            <w:rFonts w:cs="Open Sans"/>
            <w:color w:val="046FF8"/>
            <w:kern w:val="0"/>
            <w:sz w:val="24"/>
            <w:u w:val="single"/>
            <w14:ligatures w14:val="none"/>
          </w:rPr>
          <w:t>Plaks et al., 2009</w:t>
        </w:r>
      </w:hyperlink>
      <w:r w:rsidRPr="00106B83">
        <w:rPr>
          <w:rFonts w:cs="Open Sans"/>
          <w:color w:val="333333"/>
          <w:kern w:val="0"/>
          <w:sz w:val="24"/>
          <w14:ligatures w14:val="none"/>
        </w:rPr>
        <w:t>). They hypothesized that those who believed that criminality was a stable, fixed trait—“once a criminal, always a criminal”—would endorse more punitive correctional policies. By contrast, those who believed that these individuals were redeemable—who could change and be saved from a life in crime—would be less inclined to embrace uniformly harsh sanctioning of people considered to be wayward.</w:t>
      </w:r>
    </w:p>
    <w:p w14:paraId="291F735D"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To test this thesis, they collected data (</w:t>
      </w:r>
      <w:r w:rsidRPr="00106B83">
        <w:rPr>
          <w:rFonts w:cs="Open Sans"/>
          <w:i/>
          <w:iCs/>
          <w:color w:val="333333"/>
          <w:kern w:val="0"/>
          <w:sz w:val="24"/>
          <w14:ligatures w14:val="none"/>
        </w:rPr>
        <w:t>n</w:t>
      </w:r>
      <w:r w:rsidRPr="00106B83">
        <w:rPr>
          <w:rFonts w:cs="Open Sans"/>
          <w:color w:val="333333"/>
          <w:kern w:val="0"/>
          <w:sz w:val="24"/>
          <w14:ligatures w14:val="none"/>
        </w:rPr>
        <w:t> = 941) as part of the Cambridge University Public Opinion Project in which “surveys were sent to a random sample of British household in six wards chosen for their diversity in income and population demographics” (</w:t>
      </w:r>
      <w:hyperlink r:id="rId44" w:anchor="bibr48-0093854820913585" w:history="1">
        <w:r w:rsidRPr="00106B83">
          <w:rPr>
            <w:rFonts w:cs="Open Sans"/>
            <w:color w:val="046FF8"/>
            <w:kern w:val="0"/>
            <w:sz w:val="24"/>
            <w:u w:val="single"/>
            <w14:ligatures w14:val="none"/>
          </w:rPr>
          <w:t>Maruna &amp; King, 2009</w:t>
        </w:r>
      </w:hyperlink>
      <w:r w:rsidRPr="00106B83">
        <w:rPr>
          <w:rFonts w:cs="Open Sans"/>
          <w:color w:val="333333"/>
          <w:kern w:val="0"/>
          <w:sz w:val="24"/>
          <w14:ligatures w14:val="none"/>
        </w:rPr>
        <w:t xml:space="preserve">, p. 13). Their analysis included a four-item measure of redeemability (e.g., “Most offenders can go on to lead productive lives with help and hard work”) and an eight-item measure of punitiveness (e.g., “My general view towards offenders is that they should be treated harshly”). The results proved striking. When added to their model, redeemability beliefs had a “strong </w:t>
      </w:r>
      <w:r w:rsidRPr="00106B83">
        <w:rPr>
          <w:rFonts w:cs="Open Sans"/>
          <w:color w:val="333333"/>
          <w:kern w:val="0"/>
          <w:sz w:val="24"/>
          <w14:ligatures w14:val="none"/>
        </w:rPr>
        <w:lastRenderedPageBreak/>
        <w:t>negative” relationship with punitiveness (β = −.398) and explained 14% of the variation (</w:t>
      </w:r>
      <w:hyperlink r:id="rId45" w:anchor="bibr48-0093854820913585" w:history="1">
        <w:r w:rsidRPr="00106B83">
          <w:rPr>
            <w:rFonts w:cs="Open Sans"/>
            <w:color w:val="046FF8"/>
            <w:kern w:val="0"/>
            <w:sz w:val="24"/>
            <w:u w:val="single"/>
            <w14:ligatures w14:val="none"/>
          </w:rPr>
          <w:t>Maruna &amp; King, 2009</w:t>
        </w:r>
      </w:hyperlink>
      <w:r w:rsidRPr="00106B83">
        <w:rPr>
          <w:rFonts w:cs="Open Sans"/>
          <w:color w:val="333333"/>
          <w:kern w:val="0"/>
          <w:sz w:val="24"/>
          <w14:ligatures w14:val="none"/>
        </w:rPr>
        <w:t>, p. 18).</w:t>
      </w:r>
    </w:p>
    <w:p w14:paraId="36997CFE"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Although limited, subsequent research on redeemability or similar constructs (e.g., belief in a “growth mindset”) has generally supported this finding (see, e.g., </w:t>
      </w:r>
      <w:hyperlink r:id="rId46" w:anchor="bibr51-0093854820913585" w:history="1">
        <w:r w:rsidRPr="00106B83">
          <w:rPr>
            <w:rFonts w:cs="Open Sans"/>
            <w:color w:val="046FF8"/>
            <w:kern w:val="0"/>
            <w:sz w:val="24"/>
            <w:u w:val="single"/>
            <w14:ligatures w14:val="none"/>
          </w:rPr>
          <w:t>Moss et al., 2019</w:t>
        </w:r>
      </w:hyperlink>
      <w:r w:rsidRPr="00106B83">
        <w:rPr>
          <w:rFonts w:cs="Open Sans"/>
          <w:color w:val="333333"/>
          <w:kern w:val="0"/>
          <w:sz w:val="24"/>
          <w14:ligatures w14:val="none"/>
        </w:rPr>
        <w:t>; </w:t>
      </w:r>
      <w:hyperlink r:id="rId47" w:anchor="bibr63-0093854820913585" w:history="1">
        <w:r w:rsidRPr="00106B83">
          <w:rPr>
            <w:rFonts w:cs="Open Sans"/>
            <w:color w:val="046FF8"/>
            <w:kern w:val="0"/>
            <w:sz w:val="24"/>
            <w:u w:val="single"/>
            <w14:ligatures w14:val="none"/>
          </w:rPr>
          <w:t>Rade et al., 2018</w:t>
        </w:r>
      </w:hyperlink>
      <w:r w:rsidRPr="00106B83">
        <w:rPr>
          <w:rFonts w:cs="Open Sans"/>
          <w:color w:val="333333"/>
          <w:kern w:val="0"/>
          <w:sz w:val="24"/>
          <w14:ligatures w14:val="none"/>
        </w:rPr>
        <w:t>; </w:t>
      </w:r>
      <w:hyperlink r:id="rId48" w:anchor="bibr64-0093854820913585" w:history="1">
        <w:r w:rsidRPr="00106B83">
          <w:rPr>
            <w:rFonts w:cs="Open Sans"/>
            <w:color w:val="046FF8"/>
            <w:kern w:val="0"/>
            <w:sz w:val="24"/>
            <w:u w:val="single"/>
            <w14:ligatures w14:val="none"/>
          </w:rPr>
          <w:t>Reich, 2017</w:t>
        </w:r>
      </w:hyperlink>
      <w:r w:rsidRPr="00106B83">
        <w:rPr>
          <w:rFonts w:cs="Open Sans"/>
          <w:color w:val="333333"/>
          <w:kern w:val="0"/>
          <w:sz w:val="24"/>
          <w14:ligatures w14:val="none"/>
        </w:rPr>
        <w:t>; </w:t>
      </w:r>
      <w:hyperlink r:id="rId49" w:anchor="bibr71-0093854820913585" w:history="1">
        <w:r w:rsidRPr="00106B83">
          <w:rPr>
            <w:rFonts w:cs="Open Sans"/>
            <w:color w:val="046FF8"/>
            <w:kern w:val="0"/>
            <w:sz w:val="24"/>
            <w:u w:val="single"/>
            <w14:ligatures w14:val="none"/>
          </w:rPr>
          <w:t>Sloas &amp; Atkin-Plunk, 2019</w:t>
        </w:r>
      </w:hyperlink>
      <w:r w:rsidRPr="00106B83">
        <w:rPr>
          <w:rFonts w:cs="Open Sans"/>
          <w:color w:val="333333"/>
          <w:kern w:val="0"/>
          <w:sz w:val="24"/>
          <w14:ligatures w14:val="none"/>
        </w:rPr>
        <w:t>; </w:t>
      </w:r>
      <w:hyperlink r:id="rId50" w:anchor="bibr72-0093854820913585" w:history="1">
        <w:r w:rsidRPr="00106B83">
          <w:rPr>
            <w:rFonts w:cs="Open Sans"/>
            <w:color w:val="046FF8"/>
            <w:kern w:val="0"/>
            <w:sz w:val="24"/>
            <w:u w:val="single"/>
            <w14:ligatures w14:val="none"/>
          </w:rPr>
          <w:t>Tam et al., 2013</w:t>
        </w:r>
      </w:hyperlink>
      <w:r w:rsidRPr="00106B83">
        <w:rPr>
          <w:rFonts w:cs="Open Sans"/>
          <w:color w:val="333333"/>
          <w:kern w:val="0"/>
          <w:sz w:val="24"/>
          <w14:ligatures w14:val="none"/>
        </w:rPr>
        <w:t> see also </w:t>
      </w:r>
      <w:hyperlink r:id="rId51" w:anchor="bibr62-0093854820913585" w:history="1">
        <w:r w:rsidRPr="00106B83">
          <w:rPr>
            <w:rFonts w:cs="Open Sans"/>
            <w:color w:val="046FF8"/>
            <w:kern w:val="0"/>
            <w:sz w:val="24"/>
            <w:u w:val="single"/>
            <w14:ligatures w14:val="none"/>
          </w:rPr>
          <w:t>Plaks et al., 2009</w:t>
        </w:r>
      </w:hyperlink>
      <w:r w:rsidRPr="00106B83">
        <w:rPr>
          <w:rFonts w:cs="Open Sans"/>
          <w:color w:val="333333"/>
          <w:kern w:val="0"/>
          <w:sz w:val="24"/>
          <w14:ligatures w14:val="none"/>
        </w:rPr>
        <w:t>). Notably, several studies have shown that redeemability not only is negatively related to punitiveness but also is positively associated with support for specific progressive policies, such as restorative justice (</w:t>
      </w:r>
      <w:hyperlink r:id="rId52" w:anchor="bibr51-0093854820913585" w:history="1">
        <w:r w:rsidRPr="00106B83">
          <w:rPr>
            <w:rFonts w:cs="Open Sans"/>
            <w:color w:val="046FF8"/>
            <w:kern w:val="0"/>
            <w:sz w:val="24"/>
            <w:u w:val="single"/>
            <w14:ligatures w14:val="none"/>
          </w:rPr>
          <w:t>Moss et al., 2019</w:t>
        </w:r>
      </w:hyperlink>
      <w:r w:rsidRPr="00106B83">
        <w:rPr>
          <w:rFonts w:cs="Open Sans"/>
          <w:color w:val="333333"/>
          <w:kern w:val="0"/>
          <w:sz w:val="24"/>
          <w14:ligatures w14:val="none"/>
        </w:rPr>
        <w:t>), the use of parole (</w:t>
      </w:r>
      <w:hyperlink r:id="rId53" w:anchor="bibr23-0093854820913585" w:history="1">
        <w:r w:rsidRPr="00106B83">
          <w:rPr>
            <w:rFonts w:cs="Open Sans"/>
            <w:color w:val="046FF8"/>
            <w:kern w:val="0"/>
            <w:sz w:val="24"/>
            <w:u w:val="single"/>
            <w14:ligatures w14:val="none"/>
          </w:rPr>
          <w:t>Dodd, 2018</w:t>
        </w:r>
      </w:hyperlink>
      <w:r w:rsidRPr="00106B83">
        <w:rPr>
          <w:rFonts w:cs="Open Sans"/>
          <w:color w:val="333333"/>
          <w:kern w:val="0"/>
          <w:sz w:val="24"/>
          <w14:ligatures w14:val="none"/>
        </w:rPr>
        <w:t>), expanding housing assistance programs for people returning from prison and increasing employment opportunities (</w:t>
      </w:r>
      <w:hyperlink r:id="rId54" w:anchor="bibr57-0093854820913585" w:history="1">
        <w:r w:rsidRPr="00106B83">
          <w:rPr>
            <w:rFonts w:cs="Open Sans"/>
            <w:color w:val="046FF8"/>
            <w:kern w:val="0"/>
            <w:sz w:val="24"/>
            <w:u w:val="single"/>
            <w14:ligatures w14:val="none"/>
          </w:rPr>
          <w:t>Ouellette et al., 2017</w:t>
        </w:r>
      </w:hyperlink>
      <w:r w:rsidRPr="00106B83">
        <w:rPr>
          <w:rFonts w:cs="Open Sans"/>
          <w:color w:val="333333"/>
          <w:kern w:val="0"/>
          <w:sz w:val="24"/>
          <w14:ligatures w14:val="none"/>
        </w:rPr>
        <w:t>), and increasing employers’ willingness to hire persons with a felony conviction (</w:t>
      </w:r>
      <w:hyperlink r:id="rId55" w:anchor="bibr64-0093854820913585" w:history="1">
        <w:r w:rsidRPr="00106B83">
          <w:rPr>
            <w:rFonts w:cs="Open Sans"/>
            <w:color w:val="046FF8"/>
            <w:kern w:val="0"/>
            <w:sz w:val="24"/>
            <w:u w:val="single"/>
            <w14:ligatures w14:val="none"/>
          </w:rPr>
          <w:t>Reich, 2017</w:t>
        </w:r>
      </w:hyperlink>
      <w:r w:rsidRPr="00106B83">
        <w:rPr>
          <w:rFonts w:cs="Open Sans"/>
          <w:color w:val="333333"/>
          <w:kern w:val="0"/>
          <w:sz w:val="24"/>
          <w14:ligatures w14:val="none"/>
        </w:rPr>
        <w:t>).</w:t>
      </w:r>
    </w:p>
    <w:p w14:paraId="395CFDAE"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In this context, the current study seeks to build on </w:t>
      </w:r>
      <w:hyperlink r:id="rId56" w:anchor="bibr48-0093854820913585" w:history="1">
        <w:r w:rsidRPr="00106B83">
          <w:rPr>
            <w:rFonts w:cs="Open Sans"/>
            <w:color w:val="046FF8"/>
            <w:kern w:val="0"/>
            <w:sz w:val="24"/>
            <w:u w:val="single"/>
            <w14:ligatures w14:val="none"/>
          </w:rPr>
          <w:t>Maruna and King’s (2009)</w:t>
        </w:r>
      </w:hyperlink>
      <w:r w:rsidRPr="00106B83">
        <w:rPr>
          <w:rFonts w:cs="Open Sans"/>
          <w:color w:val="333333"/>
          <w:kern w:val="0"/>
          <w:sz w:val="24"/>
          <w14:ligatures w14:val="none"/>
        </w:rPr>
        <w:t> research in three important ways. First, whereas their study was conducted in Great Britain more than a decade ago, we explore their redeemability thesis in a distinct social context with a 2017 national-level study of American respondents. We use an opt-in internet survey conducted for us by YouGov to field these data. The findings are then confirmed with a second study employing a 2019 Mechanical Turk (MTurk) sample. Second, we control for factors typically included in U.S. public opinion surveys but omitted from </w:t>
      </w:r>
      <w:hyperlink r:id="rId57" w:anchor="bibr48-0093854820913585" w:history="1">
        <w:r w:rsidRPr="00106B83">
          <w:rPr>
            <w:rFonts w:cs="Open Sans"/>
            <w:color w:val="046FF8"/>
            <w:kern w:val="0"/>
            <w:sz w:val="24"/>
            <w:u w:val="single"/>
            <w14:ligatures w14:val="none"/>
          </w:rPr>
          <w:t>Maruna and King’s (2009)</w:t>
        </w:r>
      </w:hyperlink>
      <w:r w:rsidRPr="00106B83">
        <w:rPr>
          <w:rFonts w:cs="Open Sans"/>
          <w:color w:val="333333"/>
          <w:kern w:val="0"/>
          <w:sz w:val="24"/>
          <w14:ligatures w14:val="none"/>
        </w:rPr>
        <w:t>research, including political variables (party and ideology), race, and religiosity. As we report below, our analyses replicate their finding that belief in redeemability is negatively related to measures of punitiveness. Third, building on the emerging policy-specific research in this area, we then proceed to show that redeemability is associated not only with lower punitive sentiments but also with greater support for rehabilitation and specific inclusionary correctional policies (e.g., ban-the-box on employment applications, expunging criminal records, and voting rights for people with a felony conviction). As will be noted, these findings suggest that redeemability is a potentially significant source of public policy preferences and warrants continued investigation.</w:t>
      </w:r>
    </w:p>
    <w:p w14:paraId="3F7CDB25"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Before presenting the analysis, two important considerations merit discussion. First, a key assumption of the now-voluminous research on attribution theory and studies of redeemability/immutability/growth mindset is that beliefs about people who committed offenses and their capacity to change are “antecedents of punitiveness” and other correctional policies (</w:t>
      </w:r>
      <w:hyperlink r:id="rId58" w:anchor="bibr72-0093854820913585" w:history="1">
        <w:r w:rsidRPr="00106B83">
          <w:rPr>
            <w:rFonts w:cs="Open Sans"/>
            <w:color w:val="046FF8"/>
            <w:kern w:val="0"/>
            <w:sz w:val="24"/>
            <w:u w:val="single"/>
            <w14:ligatures w14:val="none"/>
          </w:rPr>
          <w:t>Tam et al., 2013</w:t>
        </w:r>
      </w:hyperlink>
      <w:r w:rsidRPr="00106B83">
        <w:rPr>
          <w:rFonts w:cs="Open Sans"/>
          <w:color w:val="333333"/>
          <w:kern w:val="0"/>
          <w:sz w:val="24"/>
          <w14:ligatures w14:val="none"/>
        </w:rPr>
        <w:t>, p. 603; see also </w:t>
      </w:r>
      <w:hyperlink r:id="rId59" w:anchor="bibr62-0093854820913585" w:history="1">
        <w:r w:rsidRPr="00106B83">
          <w:rPr>
            <w:rFonts w:cs="Open Sans"/>
            <w:color w:val="046FF8"/>
            <w:kern w:val="0"/>
            <w:sz w:val="24"/>
            <w:u w:val="single"/>
            <w14:ligatures w14:val="none"/>
          </w:rPr>
          <w:t>Plaks et al., 2009</w:t>
        </w:r>
      </w:hyperlink>
      <w:r w:rsidRPr="00106B83">
        <w:rPr>
          <w:rFonts w:cs="Open Sans"/>
          <w:color w:val="333333"/>
          <w:kern w:val="0"/>
          <w:sz w:val="24"/>
          <w14:ligatures w14:val="none"/>
        </w:rPr>
        <w:t>). The underlying theory is that views of such individuals—in this case, as capable of being reformed—provide the logic or rational basis for policies (such as providing them with opportunities to change). </w:t>
      </w:r>
      <w:hyperlink r:id="rId60" w:anchor="bibr48-0093854820913585" w:history="1">
        <w:r w:rsidRPr="00106B83">
          <w:rPr>
            <w:rFonts w:cs="Open Sans"/>
            <w:color w:val="046FF8"/>
            <w:kern w:val="0"/>
            <w:sz w:val="24"/>
            <w:u w:val="single"/>
            <w14:ligatures w14:val="none"/>
          </w:rPr>
          <w:t>Maruna and King (2009</w:t>
        </w:r>
      </w:hyperlink>
      <w:r w:rsidRPr="00106B83">
        <w:rPr>
          <w:rFonts w:cs="Open Sans"/>
          <w:color w:val="333333"/>
          <w:kern w:val="0"/>
          <w:sz w:val="24"/>
          <w14:ligatures w14:val="none"/>
        </w:rPr>
        <w:t xml:space="preserve">, p. 19) recognized, however, that this premise was theoretical and, with cross-sectional </w:t>
      </w:r>
      <w:r w:rsidRPr="00106B83">
        <w:rPr>
          <w:rFonts w:cs="Open Sans"/>
          <w:color w:val="333333"/>
          <w:kern w:val="0"/>
          <w:sz w:val="24"/>
          <w14:ligatures w14:val="none"/>
        </w:rPr>
        <w:lastRenderedPageBreak/>
        <w:t>data, they could not rule out the possibility that punitiveness was the source, not the cause, of people embracing an implicit entity perspective and a view of people who committed offenses as irredeemable. But they rejected this view, noting that</w:t>
      </w:r>
    </w:p>
    <w:p w14:paraId="33EFF99A"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although strong, the relationship between belief in redeemability and punitiveness does not suggest circularity between the two concepts. That is, they are not two sides of the same coin . . . After all, support for harsh punishment is not logically incompatible with a belief in redemption. (</w:t>
      </w:r>
      <w:hyperlink r:id="rId61" w:anchor="bibr48-0093854820913585" w:history="1">
        <w:r w:rsidRPr="00106B83">
          <w:rPr>
            <w:rFonts w:cs="Open Sans"/>
            <w:color w:val="046FF8"/>
            <w:kern w:val="0"/>
            <w:sz w:val="24"/>
            <w:u w:val="single"/>
            <w14:ligatures w14:val="none"/>
          </w:rPr>
          <w:t>Maruna and King, 2009</w:t>
        </w:r>
      </w:hyperlink>
      <w:r w:rsidRPr="00106B83">
        <w:rPr>
          <w:rFonts w:cs="Open Sans"/>
          <w:color w:val="333333"/>
          <w:kern w:val="0"/>
          <w:sz w:val="24"/>
          <w14:ligatures w14:val="none"/>
        </w:rPr>
        <w:t>, p. 19)</w:t>
      </w:r>
    </w:p>
    <w:p w14:paraId="184756A6"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For example, belief in the mutability of people who committed offenses could logically encourage a belief in punitive policies such as deterrence through prison terms, boot camps, and scared straight programs. Furthermore, experimental research shows that when implicit theories are manipulated (e.g., by giving subjects information favoring the entity attribution), social inferences change in a consistent way, thus suggesting a causal influence (</w:t>
      </w:r>
      <w:hyperlink r:id="rId62" w:anchor="bibr12-0093854820913585" w:history="1">
        <w:r w:rsidRPr="00106B83">
          <w:rPr>
            <w:rFonts w:cs="Open Sans"/>
            <w:color w:val="046FF8"/>
            <w:kern w:val="0"/>
            <w:sz w:val="24"/>
            <w:u w:val="single"/>
            <w14:ligatures w14:val="none"/>
          </w:rPr>
          <w:t>Chiu et al., 1997</w:t>
        </w:r>
      </w:hyperlink>
      <w:r w:rsidRPr="00106B83">
        <w:rPr>
          <w:rFonts w:cs="Open Sans"/>
          <w:color w:val="333333"/>
          <w:kern w:val="0"/>
          <w:sz w:val="24"/>
          <w14:ligatures w14:val="none"/>
        </w:rPr>
        <w:t>). Field research also demonstrates that those holding incremental theories are more likely to behave accordingly across diverse contexts—to coach their underperforming employees, to respond to transgressions by romantic partners in a constructive way, and to volunteer to help the homeless (</w:t>
      </w:r>
      <w:hyperlink r:id="rId63" w:anchor="bibr62-0093854820913585" w:history="1">
        <w:r w:rsidRPr="00106B83">
          <w:rPr>
            <w:rFonts w:cs="Open Sans"/>
            <w:color w:val="046FF8"/>
            <w:kern w:val="0"/>
            <w:sz w:val="24"/>
            <w:u w:val="single"/>
            <w14:ligatures w14:val="none"/>
          </w:rPr>
          <w:t>Plaks et al., 2009</w:t>
        </w:r>
      </w:hyperlink>
      <w:r w:rsidRPr="00106B83">
        <w:rPr>
          <w:rFonts w:cs="Open Sans"/>
          <w:color w:val="333333"/>
          <w:kern w:val="0"/>
          <w:sz w:val="24"/>
          <w14:ligatures w14:val="none"/>
        </w:rPr>
        <w:t>).</w:t>
      </w:r>
    </w:p>
    <w:p w14:paraId="03D3DFA5"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In the current study, we offer an empirical check on whether punitiveness renders spurious the significant relationship between redeemability and support for rehabilitation (two studies) and the policies of voting rights for persons with a felony conviction, ban-the-box, and expungement (one study). These measures are described in more detail below. We created a punitiveness scale consisting of three items (support for capital punishment, for harsher courts, and for punishment/protecting society as the goal of prisons), and then we included this with the redeemability measure in the multivariate analyses of rehabilitation and the three inclusionary policies. In all analyses, redeemability remained statistically significant at the </w:t>
      </w:r>
      <w:r w:rsidRPr="00106B83">
        <w:rPr>
          <w:rFonts w:cs="Open Sans"/>
          <w:i/>
          <w:iCs/>
          <w:color w:val="333333"/>
          <w:kern w:val="0"/>
          <w:sz w:val="24"/>
          <w14:ligatures w14:val="none"/>
        </w:rPr>
        <w:t>p</w:t>
      </w:r>
      <w:r w:rsidRPr="00106B83">
        <w:rPr>
          <w:rFonts w:cs="Open Sans"/>
          <w:color w:val="333333"/>
          <w:kern w:val="0"/>
          <w:sz w:val="24"/>
          <w14:ligatures w14:val="none"/>
        </w:rPr>
        <w:t> &lt; .001 level, with the β for the rehabilitation scale .644 or higher and the odds ratio for the other policies 2.305 or higher (full results available upon request from the first author). These findings suggest that redeemability is associated with a range of outcomes independent of the respondents’ level of punitiveness.</w:t>
      </w:r>
    </w:p>
    <w:p w14:paraId="72377F66"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Second, it is beyond the scope of this article to explore the origins of belief in redeemability, especially individual differences in this orientation. Furthermore, little research on this topic exists. Still, it is possible to identify at least four potential sources for future inquiry to consider. First, using the Big Five, scholars have shown that personality traits—especially the dimension of agreeableness—are related to more positive and hopeful attitudes toward people who committed offenses, including being less punitive (e.g., </w:t>
      </w:r>
      <w:hyperlink r:id="rId64" w:anchor="bibr56-0093854820913585" w:history="1">
        <w:r w:rsidRPr="00106B83">
          <w:rPr>
            <w:rFonts w:cs="Open Sans"/>
            <w:color w:val="046FF8"/>
            <w:kern w:val="0"/>
            <w:sz w:val="24"/>
            <w:u w:val="single"/>
            <w14:ligatures w14:val="none"/>
          </w:rPr>
          <w:t>Olver &amp; Barlow, 2010</w:t>
        </w:r>
      </w:hyperlink>
      <w:r w:rsidRPr="00106B83">
        <w:rPr>
          <w:rFonts w:cs="Open Sans"/>
          <w:color w:val="333333"/>
          <w:kern w:val="0"/>
          <w:sz w:val="24"/>
          <w14:ligatures w14:val="none"/>
        </w:rPr>
        <w:t>; </w:t>
      </w:r>
      <w:hyperlink r:id="rId65" w:anchor="bibr65-0093854820913585" w:history="1">
        <w:r w:rsidRPr="00106B83">
          <w:rPr>
            <w:rFonts w:cs="Open Sans"/>
            <w:color w:val="046FF8"/>
            <w:kern w:val="0"/>
            <w:sz w:val="24"/>
            <w:u w:val="single"/>
            <w14:ligatures w14:val="none"/>
          </w:rPr>
          <w:t>Roberts et al., 2013</w:t>
        </w:r>
      </w:hyperlink>
      <w:r w:rsidRPr="00106B83">
        <w:rPr>
          <w:rFonts w:cs="Open Sans"/>
          <w:color w:val="333333"/>
          <w:kern w:val="0"/>
          <w:sz w:val="24"/>
          <w14:ligatures w14:val="none"/>
        </w:rPr>
        <w:t xml:space="preserve">), and to a “redemptive self” that fosters sensitivity to the suffering of others and the desire </w:t>
      </w:r>
      <w:r w:rsidRPr="00106B83">
        <w:rPr>
          <w:rFonts w:cs="Open Sans"/>
          <w:color w:val="333333"/>
          <w:kern w:val="0"/>
          <w:sz w:val="24"/>
          <w14:ligatures w14:val="none"/>
        </w:rPr>
        <w:lastRenderedPageBreak/>
        <w:t>to pursue goals that benefit others (</w:t>
      </w:r>
      <w:hyperlink r:id="rId66" w:anchor="bibr29-0093854820913585" w:history="1">
        <w:r w:rsidRPr="00106B83">
          <w:rPr>
            <w:rFonts w:cs="Open Sans"/>
            <w:color w:val="046FF8"/>
            <w:kern w:val="0"/>
            <w:sz w:val="24"/>
            <w:u w:val="single"/>
            <w14:ligatures w14:val="none"/>
          </w:rPr>
          <w:t>Guo et al., 2016</w:t>
        </w:r>
      </w:hyperlink>
      <w:r w:rsidRPr="00106B83">
        <w:rPr>
          <w:rFonts w:cs="Open Sans"/>
          <w:color w:val="333333"/>
          <w:kern w:val="0"/>
          <w:sz w:val="24"/>
          <w14:ligatures w14:val="none"/>
        </w:rPr>
        <w:t>). Second, those who have a personal growth mindset might be more likely to see the possibility that troubled individuals are malleable and can be reformed. Possessing a growth mindset has been linked to neuroscience factors (</w:t>
      </w:r>
      <w:hyperlink r:id="rId67" w:anchor="bibr52-0093854820913585" w:history="1">
        <w:r w:rsidRPr="00106B83">
          <w:rPr>
            <w:rFonts w:cs="Open Sans"/>
            <w:color w:val="046FF8"/>
            <w:kern w:val="0"/>
            <w:sz w:val="24"/>
            <w:u w:val="single"/>
            <w14:ligatures w14:val="none"/>
          </w:rPr>
          <w:t>Ng, 2018</w:t>
        </w:r>
      </w:hyperlink>
      <w:r w:rsidRPr="00106B83">
        <w:rPr>
          <w:rFonts w:cs="Open Sans"/>
          <w:color w:val="333333"/>
          <w:kern w:val="0"/>
          <w:sz w:val="24"/>
          <w14:ligatures w14:val="none"/>
        </w:rPr>
        <w:t>) and parenting practices that avoid communicating to children that failure is debilitating (</w:t>
      </w:r>
      <w:hyperlink r:id="rId68" w:anchor="bibr31-0093854820913585" w:history="1">
        <w:r w:rsidRPr="00106B83">
          <w:rPr>
            <w:rFonts w:cs="Open Sans"/>
            <w:color w:val="046FF8"/>
            <w:kern w:val="0"/>
            <w:sz w:val="24"/>
            <w:u w:val="single"/>
            <w14:ligatures w14:val="none"/>
          </w:rPr>
          <w:t>Haimovitz &amp; Dweck, 2016</w:t>
        </w:r>
      </w:hyperlink>
      <w:r w:rsidRPr="00106B83">
        <w:rPr>
          <w:rFonts w:cs="Open Sans"/>
          <w:color w:val="333333"/>
          <w:kern w:val="0"/>
          <w:sz w:val="24"/>
          <w14:ligatures w14:val="none"/>
        </w:rPr>
        <w:t>).</w:t>
      </w:r>
    </w:p>
    <w:p w14:paraId="561F70AD"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Third, </w:t>
      </w:r>
      <w:hyperlink r:id="rId69" w:anchor="bibr30-0093854820913585" w:history="1">
        <w:r w:rsidRPr="00106B83">
          <w:rPr>
            <w:rFonts w:cs="Open Sans"/>
            <w:color w:val="046FF8"/>
            <w:kern w:val="0"/>
            <w:sz w:val="24"/>
            <w:u w:val="single"/>
            <w14:ligatures w14:val="none"/>
          </w:rPr>
          <w:t>Haidt’s (2012)</w:t>
        </w:r>
      </w:hyperlink>
      <w:r w:rsidRPr="00106B83">
        <w:rPr>
          <w:rFonts w:cs="Open Sans"/>
          <w:color w:val="333333"/>
          <w:kern w:val="0"/>
          <w:sz w:val="24"/>
          <w14:ligatures w14:val="none"/>
        </w:rPr>
        <w:t> moral foundation theory argues that the care/harm intuition makes some individuals—usually identified as political liberals—seek to ameliorate, rather than impose pain on others. Accordingly, their morality would likely favor conceptions of people who committed offenses as redeemable and thus as candidates to be saved from a life in crime. Fourth, correctional research shows that those who embrace religious forgiveness (</w:t>
      </w:r>
      <w:hyperlink r:id="rId70" w:anchor="bibr6-0093854820913585" w:history="1">
        <w:r w:rsidRPr="00106B83">
          <w:rPr>
            <w:rFonts w:cs="Open Sans"/>
            <w:color w:val="046FF8"/>
            <w:kern w:val="0"/>
            <w:sz w:val="24"/>
            <w:u w:val="single"/>
            <w14:ligatures w14:val="none"/>
          </w:rPr>
          <w:t>Applegate et al., 2000</w:t>
        </w:r>
      </w:hyperlink>
      <w:r w:rsidRPr="00106B83">
        <w:rPr>
          <w:rFonts w:cs="Open Sans"/>
          <w:color w:val="333333"/>
          <w:kern w:val="0"/>
          <w:sz w:val="24"/>
          <w14:ligatures w14:val="none"/>
        </w:rPr>
        <w:t>), are high on empathy (</w:t>
      </w:r>
      <w:hyperlink r:id="rId71" w:anchor="bibr77-0093854820913585" w:history="1">
        <w:r w:rsidRPr="00106B83">
          <w:rPr>
            <w:rFonts w:cs="Open Sans"/>
            <w:color w:val="046FF8"/>
            <w:kern w:val="0"/>
            <w:sz w:val="24"/>
            <w:u w:val="single"/>
            <w14:ligatures w14:val="none"/>
          </w:rPr>
          <w:t>Unnever et al., 2005</w:t>
        </w:r>
      </w:hyperlink>
      <w:r w:rsidRPr="00106B83">
        <w:rPr>
          <w:rFonts w:cs="Open Sans"/>
          <w:color w:val="333333"/>
          <w:kern w:val="0"/>
          <w:sz w:val="24"/>
          <w14:ligatures w14:val="none"/>
        </w:rPr>
        <w:t>), and display racial sympathy (</w:t>
      </w:r>
      <w:hyperlink r:id="rId72" w:anchor="bibr13-0093854820913585" w:history="1">
        <w:r w:rsidRPr="00106B83">
          <w:rPr>
            <w:rFonts w:cs="Open Sans"/>
            <w:color w:val="046FF8"/>
            <w:kern w:val="0"/>
            <w:sz w:val="24"/>
            <w:u w:val="single"/>
            <w14:ligatures w14:val="none"/>
          </w:rPr>
          <w:t>Chudy, 2017</w:t>
        </w:r>
      </w:hyperlink>
      <w:r w:rsidRPr="00106B83">
        <w:rPr>
          <w:rFonts w:cs="Open Sans"/>
          <w:color w:val="333333"/>
          <w:kern w:val="0"/>
          <w:sz w:val="24"/>
          <w14:ligatures w14:val="none"/>
        </w:rPr>
        <w:t>; </w:t>
      </w:r>
      <w:hyperlink r:id="rId73" w:anchor="bibr32-0093854820913585" w:history="1">
        <w:r w:rsidRPr="00106B83">
          <w:rPr>
            <w:rFonts w:cs="Open Sans"/>
            <w:color w:val="046FF8"/>
            <w:kern w:val="0"/>
            <w:sz w:val="24"/>
            <w:u w:val="single"/>
            <w14:ligatures w14:val="none"/>
          </w:rPr>
          <w:t>Hannan et al., 2019</w:t>
        </w:r>
      </w:hyperlink>
      <w:r w:rsidRPr="00106B83">
        <w:rPr>
          <w:rFonts w:cs="Open Sans"/>
          <w:color w:val="333333"/>
          <w:kern w:val="0"/>
          <w:sz w:val="24"/>
          <w14:ligatures w14:val="none"/>
        </w:rPr>
        <w:t>) are likely to be less punitive and more supportive of correctional reform, suggesting they view people who committed offenses as malleable.</w:t>
      </w:r>
    </w:p>
    <w:p w14:paraId="0F328A2C" w14:textId="77777777" w:rsidR="00106B83" w:rsidRPr="00106B83" w:rsidRDefault="00106B83" w:rsidP="00106B83">
      <w:pPr>
        <w:spacing w:before="100" w:beforeAutospacing="1" w:after="100" w:afterAutospacing="1"/>
        <w:outlineLvl w:val="1"/>
        <w:rPr>
          <w:rFonts w:ascii="Arial" w:hAnsi="Arial" w:cs="Arial"/>
          <w:color w:val="555555"/>
          <w:kern w:val="0"/>
          <w:sz w:val="36"/>
          <w:szCs w:val="36"/>
          <w14:ligatures w14:val="none"/>
        </w:rPr>
      </w:pPr>
      <w:r w:rsidRPr="00106B83">
        <w:rPr>
          <w:rFonts w:ascii="Arial" w:hAnsi="Arial" w:cs="Arial"/>
          <w:color w:val="555555"/>
          <w:kern w:val="0"/>
          <w:sz w:val="36"/>
          <w:szCs w:val="36"/>
          <w14:ligatures w14:val="none"/>
        </w:rPr>
        <w:t>Method</w:t>
      </w:r>
    </w:p>
    <w:p w14:paraId="20EB6DFD" w14:textId="77777777" w:rsidR="00106B83" w:rsidRPr="00106B83" w:rsidRDefault="00106B83" w:rsidP="00106B83">
      <w:pPr>
        <w:spacing w:before="100" w:beforeAutospacing="1" w:after="100" w:afterAutospacing="1"/>
        <w:outlineLvl w:val="2"/>
        <w:rPr>
          <w:rFonts w:ascii="Arial" w:hAnsi="Arial" w:cs="Arial"/>
          <w:color w:val="555555"/>
          <w:kern w:val="0"/>
          <w:sz w:val="27"/>
          <w:szCs w:val="27"/>
          <w14:ligatures w14:val="none"/>
        </w:rPr>
      </w:pPr>
      <w:r w:rsidRPr="00106B83">
        <w:rPr>
          <w:rFonts w:ascii="Arial" w:hAnsi="Arial" w:cs="Arial"/>
          <w:color w:val="555555"/>
          <w:kern w:val="0"/>
          <w:sz w:val="27"/>
          <w:szCs w:val="27"/>
          <w14:ligatures w14:val="none"/>
        </w:rPr>
        <w:t>Sample</w:t>
      </w:r>
    </w:p>
    <w:p w14:paraId="02E738A3"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To test the effects of belief in redeemability, we commissioned YouGov to interview a national sample of American adults (18 years and older). YouGov is considered a reliable source of survey data for academic research in social science disciplines, including criminal justice (e.g., </w:t>
      </w:r>
      <w:hyperlink r:id="rId74" w:anchor="bibr73-0093854820913585" w:history="1">
        <w:r w:rsidRPr="00106B83">
          <w:rPr>
            <w:rFonts w:cs="Open Sans"/>
            <w:color w:val="046FF8"/>
            <w:kern w:val="0"/>
            <w:sz w:val="24"/>
            <w:u w:val="single"/>
            <w14:ligatures w14:val="none"/>
          </w:rPr>
          <w:t>Thielo et al., 2019</w:t>
        </w:r>
      </w:hyperlink>
      <w:r w:rsidRPr="00106B83">
        <w:rPr>
          <w:rFonts w:cs="Open Sans"/>
          <w:color w:val="333333"/>
          <w:kern w:val="0"/>
          <w:sz w:val="24"/>
          <w14:ligatures w14:val="none"/>
        </w:rPr>
        <w:t>). YouGov administered our survey to a national sample of 1,000 U.S. respondents from March 3–7, 2017.</w:t>
      </w:r>
    </w:p>
    <w:p w14:paraId="7B7481C1"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In fielding the sample, YouGov uses a two-stage, sample-matching design. First, YouGov selects a matched (on the joint distribution of a large number of covariates, e.g., political ideology, voter registration status) sample of respondents from its online panel (more than two million adult U.S. panelists) using distance matching with a synthetic sampling frame (constructed from probability samples, including the Current Population Survey and the American Community Survey [ACS]). It then uses propensity score matching to weight the sample to resemble the U.S. population on the matched covariates (</w:t>
      </w:r>
      <w:hyperlink r:id="rId75" w:anchor="bibr3-0093854820913585" w:history="1">
        <w:r w:rsidRPr="00106B83">
          <w:rPr>
            <w:rFonts w:cs="Open Sans"/>
            <w:color w:val="046FF8"/>
            <w:kern w:val="0"/>
            <w:sz w:val="24"/>
            <w:u w:val="single"/>
            <w14:ligatures w14:val="none"/>
          </w:rPr>
          <w:t>Ansolabehere &amp; Rivers, 2013</w:t>
        </w:r>
      </w:hyperlink>
      <w:r w:rsidRPr="00106B83">
        <w:rPr>
          <w:rFonts w:cs="Open Sans"/>
          <w:color w:val="333333"/>
          <w:kern w:val="0"/>
          <w:sz w:val="24"/>
          <w14:ligatures w14:val="none"/>
        </w:rPr>
        <w:t>). Given the matching and weighting of variables, the method of sample selection is assumed disregardable; clear evidence exists showing that findings from YouGov surveys generalize to the U.S. population (</w:t>
      </w:r>
      <w:hyperlink r:id="rId76" w:anchor="bibr4-0093854820913585" w:history="1">
        <w:r w:rsidRPr="00106B83">
          <w:rPr>
            <w:rFonts w:cs="Open Sans"/>
            <w:color w:val="046FF8"/>
            <w:kern w:val="0"/>
            <w:sz w:val="24"/>
            <w:u w:val="single"/>
            <w14:ligatures w14:val="none"/>
          </w:rPr>
          <w:t>Ansolabehere &amp; Schaffner, 2014</w:t>
        </w:r>
      </w:hyperlink>
      <w:r w:rsidRPr="00106B83">
        <w:rPr>
          <w:rFonts w:cs="Open Sans"/>
          <w:color w:val="333333"/>
          <w:kern w:val="0"/>
          <w:sz w:val="24"/>
          <w14:ligatures w14:val="none"/>
        </w:rPr>
        <w:t>; </w:t>
      </w:r>
      <w:hyperlink r:id="rId77" w:anchor="bibr68-0093854820913585" w:history="1">
        <w:r w:rsidRPr="00106B83">
          <w:rPr>
            <w:rFonts w:cs="Open Sans"/>
            <w:color w:val="046FF8"/>
            <w:kern w:val="0"/>
            <w:sz w:val="24"/>
            <w:u w:val="single"/>
            <w14:ligatures w14:val="none"/>
          </w:rPr>
          <w:t>Simmons &amp; Bobo, 2015</w:t>
        </w:r>
      </w:hyperlink>
      <w:r w:rsidRPr="00106B83">
        <w:rPr>
          <w:rFonts w:cs="Open Sans"/>
          <w:color w:val="333333"/>
          <w:kern w:val="0"/>
          <w:sz w:val="24"/>
          <w14:ligatures w14:val="none"/>
        </w:rPr>
        <w:t>). Moreover, several studies support the notion that YouGov’s sampling design may outperform probability sampling strategies (</w:t>
      </w:r>
      <w:hyperlink r:id="rId78" w:anchor="bibr39-0093854820913585" w:history="1">
        <w:r w:rsidRPr="00106B83">
          <w:rPr>
            <w:rFonts w:cs="Open Sans"/>
            <w:color w:val="046FF8"/>
            <w:kern w:val="0"/>
            <w:sz w:val="24"/>
            <w:u w:val="single"/>
            <w14:ligatures w14:val="none"/>
          </w:rPr>
          <w:t>Kennedy et al., 2016</w:t>
        </w:r>
      </w:hyperlink>
      <w:r w:rsidRPr="00106B83">
        <w:rPr>
          <w:rFonts w:cs="Open Sans"/>
          <w:color w:val="333333"/>
          <w:kern w:val="0"/>
          <w:sz w:val="24"/>
          <w14:ligatures w14:val="none"/>
        </w:rPr>
        <w:t>).</w:t>
      </w:r>
    </w:p>
    <w:p w14:paraId="3FA2C054"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 xml:space="preserve">When compared with estimates from the U.S. Census and the ACS (in parentheses), our weighted sample looks much like the U.S. population: non-Hispanic White, </w:t>
      </w:r>
      <w:r w:rsidRPr="00106B83">
        <w:rPr>
          <w:rFonts w:cs="Open Sans"/>
          <w:color w:val="333333"/>
          <w:kern w:val="0"/>
          <w:sz w:val="24"/>
          <w14:ligatures w14:val="none"/>
        </w:rPr>
        <w:lastRenderedPageBreak/>
        <w:t>66.8% (64.5%); male, 48.5% (48.7%); bachelor’s degree, 26.5% (28.4%); married, 44.1% (48.2%); Northeast, 18.7% (17.2%); Midwest, 20.1% (20.9%); South, 36.0% (38.1%); West, 25.3% (23.8%). When compared with the Pew Research Center’s estimates of party identification among registered voters (in parentheses), our weighted sample also looks like the U.S. population: lean Republican or Republican, 34.5% (42%); lean Democrat or Democrat, 43.9% (50%). Given these similarities in major population demographics, we have confidence that the sample generalizes to all American adults.</w:t>
      </w:r>
    </w:p>
    <w:p w14:paraId="61B9209E" w14:textId="77777777" w:rsidR="00106B83" w:rsidRPr="00106B83" w:rsidRDefault="00106B83" w:rsidP="00106B83">
      <w:pPr>
        <w:spacing w:before="100" w:beforeAutospacing="1" w:after="100" w:afterAutospacing="1"/>
        <w:outlineLvl w:val="2"/>
        <w:rPr>
          <w:rFonts w:ascii="Arial" w:hAnsi="Arial" w:cs="Arial"/>
          <w:color w:val="555555"/>
          <w:kern w:val="0"/>
          <w:sz w:val="27"/>
          <w:szCs w:val="27"/>
          <w14:ligatures w14:val="none"/>
        </w:rPr>
      </w:pPr>
      <w:r w:rsidRPr="00106B83">
        <w:rPr>
          <w:rFonts w:ascii="Arial" w:hAnsi="Arial" w:cs="Arial"/>
          <w:color w:val="555555"/>
          <w:kern w:val="0"/>
          <w:sz w:val="27"/>
          <w:szCs w:val="27"/>
          <w14:ligatures w14:val="none"/>
        </w:rPr>
        <w:t>Dependent Variables</w:t>
      </w:r>
    </w:p>
    <w:p w14:paraId="16253FE4"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The dependent variables in our analyses gauge the respondents’ support for a variety of punitive and inclusionary criminal justice policies. To assess the respondents’ attitudes toward punitive crime policies, we focus on three widely used measures of punitiveness (see </w:t>
      </w:r>
      <w:hyperlink r:id="rId79" w:anchor="bibr24-0093854820913585" w:history="1">
        <w:r w:rsidRPr="00106B83">
          <w:rPr>
            <w:rFonts w:cs="Open Sans"/>
            <w:color w:val="046FF8"/>
            <w:kern w:val="0"/>
            <w:sz w:val="24"/>
            <w:u w:val="single"/>
            <w14:ligatures w14:val="none"/>
          </w:rPr>
          <w:t>Enns, 2016</w:t>
        </w:r>
      </w:hyperlink>
      <w:r w:rsidRPr="00106B83">
        <w:rPr>
          <w:rFonts w:cs="Open Sans"/>
          <w:color w:val="333333"/>
          <w:kern w:val="0"/>
          <w:sz w:val="24"/>
          <w14:ligatures w14:val="none"/>
        </w:rPr>
        <w:t>): support for the death penalty, support for harsher courts, and belief that the main goal of prisons should be punitive, rather than rehabilitative. The wording for these measures was taken from questions employed for decades by the General Social Survey (death penalty and harsher courts questions) and by the Harris Poll (main goal of prisons question; see </w:t>
      </w:r>
      <w:hyperlink r:id="rId80" w:anchor="bibr18-0093854820913585" w:history="1">
        <w:r w:rsidRPr="00106B83">
          <w:rPr>
            <w:rFonts w:cs="Open Sans"/>
            <w:color w:val="046FF8"/>
            <w:kern w:val="0"/>
            <w:sz w:val="24"/>
            <w:u w:val="single"/>
            <w14:ligatures w14:val="none"/>
          </w:rPr>
          <w:t>Cullen et al., 2000</w:t>
        </w:r>
      </w:hyperlink>
      <w:r w:rsidRPr="00106B83">
        <w:rPr>
          <w:rFonts w:cs="Open Sans"/>
          <w:color w:val="333333"/>
          <w:kern w:val="0"/>
          <w:sz w:val="24"/>
          <w14:ligatures w14:val="none"/>
        </w:rPr>
        <w:t>; </w:t>
      </w:r>
      <w:hyperlink r:id="rId81" w:anchor="bibr24-0093854820913585" w:history="1">
        <w:r w:rsidRPr="00106B83">
          <w:rPr>
            <w:rFonts w:cs="Open Sans"/>
            <w:color w:val="046FF8"/>
            <w:kern w:val="0"/>
            <w:sz w:val="24"/>
            <w:u w:val="single"/>
            <w14:ligatures w14:val="none"/>
          </w:rPr>
          <w:t>Enns, 2016</w:t>
        </w:r>
      </w:hyperlink>
      <w:r w:rsidRPr="00106B83">
        <w:rPr>
          <w:rFonts w:cs="Open Sans"/>
          <w:color w:val="333333"/>
          <w:kern w:val="0"/>
          <w:sz w:val="24"/>
          <w14:ligatures w14:val="none"/>
        </w:rPr>
        <w:t>). Thus, we measured the respondents’ support (0 = </w:t>
      </w:r>
      <w:r w:rsidRPr="00106B83">
        <w:rPr>
          <w:rFonts w:cs="Open Sans"/>
          <w:i/>
          <w:iCs/>
          <w:color w:val="333333"/>
          <w:kern w:val="0"/>
          <w:sz w:val="24"/>
          <w14:ligatures w14:val="none"/>
        </w:rPr>
        <w:t>oppose/no opinion</w:t>
      </w:r>
      <w:r w:rsidRPr="00106B83">
        <w:rPr>
          <w:rFonts w:cs="Open Sans"/>
          <w:color w:val="333333"/>
          <w:kern w:val="0"/>
          <w:sz w:val="24"/>
          <w14:ligatures w14:val="none"/>
        </w:rPr>
        <w:t>, 1 = </w:t>
      </w:r>
      <w:r w:rsidRPr="00106B83">
        <w:rPr>
          <w:rFonts w:cs="Open Sans"/>
          <w:i/>
          <w:iCs/>
          <w:color w:val="333333"/>
          <w:kern w:val="0"/>
          <w:sz w:val="24"/>
          <w14:ligatures w14:val="none"/>
        </w:rPr>
        <w:t>favor</w:t>
      </w:r>
      <w:r w:rsidRPr="00106B83">
        <w:rPr>
          <w:rFonts w:cs="Open Sans"/>
          <w:color w:val="333333"/>
          <w:kern w:val="0"/>
          <w:sz w:val="24"/>
          <w14:ligatures w14:val="none"/>
        </w:rPr>
        <w:t>) for the death penalty by asking “are you in favor of the death penalty for a person convicted of murder?” Harsher courts was measured by asking the respondents “in general, do you think the courts in this area deal too harshly or not harshly enough with criminals?” Responses were coded such that 0 = </w:t>
      </w:r>
      <w:r w:rsidRPr="00106B83">
        <w:rPr>
          <w:rFonts w:cs="Open Sans"/>
          <w:i/>
          <w:iCs/>
          <w:color w:val="333333"/>
          <w:kern w:val="0"/>
          <w:sz w:val="24"/>
          <w14:ligatures w14:val="none"/>
        </w:rPr>
        <w:t>don’t know</w:t>
      </w:r>
      <w:r w:rsidRPr="00106B83">
        <w:rPr>
          <w:rFonts w:cs="Open Sans"/>
          <w:color w:val="333333"/>
          <w:kern w:val="0"/>
          <w:sz w:val="24"/>
          <w14:ligatures w14:val="none"/>
        </w:rPr>
        <w:t>/</w:t>
      </w:r>
      <w:r w:rsidRPr="00106B83">
        <w:rPr>
          <w:rFonts w:cs="Open Sans"/>
          <w:i/>
          <w:iCs/>
          <w:color w:val="333333"/>
          <w:kern w:val="0"/>
          <w:sz w:val="24"/>
          <w14:ligatures w14:val="none"/>
        </w:rPr>
        <w:t>about right</w:t>
      </w:r>
      <w:r w:rsidRPr="00106B83">
        <w:rPr>
          <w:rFonts w:cs="Open Sans"/>
          <w:color w:val="333333"/>
          <w:kern w:val="0"/>
          <w:sz w:val="24"/>
          <w14:ligatures w14:val="none"/>
        </w:rPr>
        <w:t>/</w:t>
      </w:r>
      <w:r w:rsidRPr="00106B83">
        <w:rPr>
          <w:rFonts w:cs="Open Sans"/>
          <w:i/>
          <w:iCs/>
          <w:color w:val="333333"/>
          <w:kern w:val="0"/>
          <w:sz w:val="24"/>
          <w14:ligatures w14:val="none"/>
        </w:rPr>
        <w:t>too harsh</w:t>
      </w:r>
      <w:r w:rsidRPr="00106B83">
        <w:rPr>
          <w:rFonts w:cs="Open Sans"/>
          <w:color w:val="333333"/>
          <w:kern w:val="0"/>
          <w:sz w:val="24"/>
          <w14:ligatures w14:val="none"/>
        </w:rPr>
        <w:t> and 1 = </w:t>
      </w:r>
      <w:r w:rsidRPr="00106B83">
        <w:rPr>
          <w:rFonts w:cs="Open Sans"/>
          <w:i/>
          <w:iCs/>
          <w:color w:val="333333"/>
          <w:kern w:val="0"/>
          <w:sz w:val="24"/>
          <w14:ligatures w14:val="none"/>
        </w:rPr>
        <w:t>not harsh enough</w:t>
      </w:r>
      <w:r w:rsidRPr="00106B83">
        <w:rPr>
          <w:rFonts w:cs="Open Sans"/>
          <w:color w:val="333333"/>
          <w:kern w:val="0"/>
          <w:sz w:val="24"/>
          <w14:ligatures w14:val="none"/>
        </w:rPr>
        <w:t>. Support for a punitive goal of prisons (0 = </w:t>
      </w:r>
      <w:r w:rsidRPr="00106B83">
        <w:rPr>
          <w:rFonts w:cs="Open Sans"/>
          <w:i/>
          <w:iCs/>
          <w:color w:val="333333"/>
          <w:kern w:val="0"/>
          <w:sz w:val="24"/>
          <w14:ligatures w14:val="none"/>
        </w:rPr>
        <w:t>rehabilitation</w:t>
      </w:r>
      <w:r w:rsidRPr="00106B83">
        <w:rPr>
          <w:rFonts w:cs="Open Sans"/>
          <w:color w:val="333333"/>
          <w:kern w:val="0"/>
          <w:sz w:val="24"/>
          <w14:ligatures w14:val="none"/>
        </w:rPr>
        <w:t>/</w:t>
      </w:r>
      <w:r w:rsidRPr="00106B83">
        <w:rPr>
          <w:rFonts w:cs="Open Sans"/>
          <w:i/>
          <w:iCs/>
          <w:color w:val="333333"/>
          <w:kern w:val="0"/>
          <w:sz w:val="24"/>
          <w14:ligatures w14:val="none"/>
        </w:rPr>
        <w:t>not sure</w:t>
      </w:r>
      <w:r w:rsidRPr="00106B83">
        <w:rPr>
          <w:rFonts w:cs="Open Sans"/>
          <w:color w:val="333333"/>
          <w:kern w:val="0"/>
          <w:sz w:val="24"/>
          <w14:ligatures w14:val="none"/>
        </w:rPr>
        <w:t>, 1 = </w:t>
      </w:r>
      <w:r w:rsidRPr="00106B83">
        <w:rPr>
          <w:rFonts w:cs="Open Sans"/>
          <w:i/>
          <w:iCs/>
          <w:color w:val="333333"/>
          <w:kern w:val="0"/>
          <w:sz w:val="24"/>
          <w14:ligatures w14:val="none"/>
        </w:rPr>
        <w:t>punishing the individual</w:t>
      </w:r>
      <w:r w:rsidRPr="00106B83">
        <w:rPr>
          <w:rFonts w:cs="Open Sans"/>
          <w:color w:val="333333"/>
          <w:kern w:val="0"/>
          <w:sz w:val="24"/>
          <w14:ligatures w14:val="none"/>
        </w:rPr>
        <w:t>/</w:t>
      </w:r>
      <w:r w:rsidRPr="00106B83">
        <w:rPr>
          <w:rFonts w:cs="Open Sans"/>
          <w:i/>
          <w:iCs/>
          <w:color w:val="333333"/>
          <w:kern w:val="0"/>
          <w:sz w:val="24"/>
          <w14:ligatures w14:val="none"/>
        </w:rPr>
        <w:t>protecting society</w:t>
      </w:r>
      <w:r w:rsidRPr="00106B83">
        <w:rPr>
          <w:rFonts w:cs="Open Sans"/>
          <w:color w:val="333333"/>
          <w:kern w:val="0"/>
          <w:sz w:val="24"/>
          <w14:ligatures w14:val="none"/>
        </w:rPr>
        <w:t>) was measured by asking the respondents</w:t>
      </w:r>
    </w:p>
    <w:p w14:paraId="2E10D649"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what do you think should be the main emphasis in most prisons—punishing the individual convicted of a crime, trying to rehabilitate the individual so that he or she might return to society as a productive citizen, or, protecting society from future crimes he or she might commit?</w:t>
      </w:r>
    </w:p>
    <w:p w14:paraId="56F97ACC"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 xml:space="preserve">As noted, the purpose of this research is to assess the impact of redeemability not only on punitiveness but also on policies that seek to “include,” rather than “exclude” people who committed offenses from the community. Thus, survey items were incorporated to gauge the respondents’ support for four inclusionary policies: correctional rehabilitation, banning the box on employment applications, expunging criminal records, and allowing persons with a felony conviction the right to vote. These specific policies were selected because of the attention they have received as barriers to the full social and legal participation of people who </w:t>
      </w:r>
      <w:r w:rsidRPr="00106B83">
        <w:rPr>
          <w:rFonts w:cs="Open Sans"/>
          <w:color w:val="333333"/>
          <w:kern w:val="0"/>
          <w:sz w:val="24"/>
          <w14:ligatures w14:val="none"/>
        </w:rPr>
        <w:lastRenderedPageBreak/>
        <w:t>committed offenses in society (e.g., </w:t>
      </w:r>
      <w:hyperlink r:id="rId82" w:anchor="bibr1-0093854820913585" w:history="1">
        <w:r w:rsidRPr="00106B83">
          <w:rPr>
            <w:rFonts w:cs="Open Sans"/>
            <w:color w:val="046FF8"/>
            <w:kern w:val="0"/>
            <w:sz w:val="24"/>
            <w:u w:val="single"/>
            <w14:ligatures w14:val="none"/>
          </w:rPr>
          <w:t>Alexander, 2010</w:t>
        </w:r>
      </w:hyperlink>
      <w:r w:rsidRPr="00106B83">
        <w:rPr>
          <w:rFonts w:cs="Open Sans"/>
          <w:color w:val="333333"/>
          <w:kern w:val="0"/>
          <w:sz w:val="24"/>
          <w14:ligatures w14:val="none"/>
        </w:rPr>
        <w:t>; </w:t>
      </w:r>
      <w:hyperlink r:id="rId83" w:anchor="bibr9-0093854820913585" w:history="1">
        <w:r w:rsidRPr="00106B83">
          <w:rPr>
            <w:rFonts w:cs="Open Sans"/>
            <w:color w:val="046FF8"/>
            <w:kern w:val="0"/>
            <w:sz w:val="24"/>
            <w:u w:val="single"/>
            <w14:ligatures w14:val="none"/>
          </w:rPr>
          <w:t>Burton et al., 1987</w:t>
        </w:r>
      </w:hyperlink>
      <w:r w:rsidRPr="00106B83">
        <w:rPr>
          <w:rFonts w:cs="Open Sans"/>
          <w:color w:val="333333"/>
          <w:kern w:val="0"/>
          <w:sz w:val="24"/>
          <w14:ligatures w14:val="none"/>
        </w:rPr>
        <w:t>, </w:t>
      </w:r>
      <w:hyperlink r:id="rId84" w:anchor="bibr10-0093854820913585" w:history="1">
        <w:r w:rsidRPr="00106B83">
          <w:rPr>
            <w:rFonts w:cs="Open Sans"/>
            <w:color w:val="046FF8"/>
            <w:kern w:val="0"/>
            <w:sz w:val="24"/>
            <w:u w:val="single"/>
            <w14:ligatures w14:val="none"/>
          </w:rPr>
          <w:t>2014</w:t>
        </w:r>
      </w:hyperlink>
      <w:r w:rsidRPr="00106B83">
        <w:rPr>
          <w:rFonts w:cs="Open Sans"/>
          <w:color w:val="333333"/>
          <w:kern w:val="0"/>
          <w:sz w:val="24"/>
          <w14:ligatures w14:val="none"/>
        </w:rPr>
        <w:t>; </w:t>
      </w:r>
      <w:hyperlink r:id="rId85" w:anchor="bibr11-0093854820913585" w:history="1">
        <w:r w:rsidRPr="00106B83">
          <w:rPr>
            <w:rFonts w:cs="Open Sans"/>
            <w:color w:val="046FF8"/>
            <w:kern w:val="0"/>
            <w:sz w:val="24"/>
            <w:u w:val="single"/>
            <w14:ligatures w14:val="none"/>
          </w:rPr>
          <w:t>Chin, 2017</w:t>
        </w:r>
      </w:hyperlink>
      <w:r w:rsidRPr="00106B83">
        <w:rPr>
          <w:rFonts w:cs="Open Sans"/>
          <w:color w:val="333333"/>
          <w:kern w:val="0"/>
          <w:sz w:val="24"/>
          <w14:ligatures w14:val="none"/>
        </w:rPr>
        <w:t>; </w:t>
      </w:r>
      <w:hyperlink r:id="rId86" w:anchor="bibr36-0093854820913585" w:history="1">
        <w:r w:rsidRPr="00106B83">
          <w:rPr>
            <w:rFonts w:cs="Open Sans"/>
            <w:color w:val="046FF8"/>
            <w:kern w:val="0"/>
            <w:sz w:val="24"/>
            <w:u w:val="single"/>
            <w14:ligatures w14:val="none"/>
          </w:rPr>
          <w:t>Jacobs, 2015</w:t>
        </w:r>
      </w:hyperlink>
      <w:r w:rsidRPr="00106B83">
        <w:rPr>
          <w:rFonts w:cs="Open Sans"/>
          <w:color w:val="333333"/>
          <w:kern w:val="0"/>
          <w:sz w:val="24"/>
          <w14:ligatures w14:val="none"/>
        </w:rPr>
        <w:t>; </w:t>
      </w:r>
      <w:hyperlink r:id="rId87" w:anchor="bibr44-0093854820913585" w:history="1">
        <w:r w:rsidRPr="00106B83">
          <w:rPr>
            <w:rFonts w:cs="Open Sans"/>
            <w:color w:val="046FF8"/>
            <w:kern w:val="0"/>
            <w:sz w:val="24"/>
            <w:u w:val="single"/>
            <w14:ligatures w14:val="none"/>
          </w:rPr>
          <w:t>Manza &amp; Uggen, 2006</w:t>
        </w:r>
      </w:hyperlink>
      <w:r w:rsidRPr="00106B83">
        <w:rPr>
          <w:rFonts w:cs="Open Sans"/>
          <w:color w:val="333333"/>
          <w:kern w:val="0"/>
          <w:sz w:val="24"/>
          <w14:ligatures w14:val="none"/>
        </w:rPr>
        <w:t>; </w:t>
      </w:r>
      <w:hyperlink r:id="rId88" w:anchor="bibr58-0093854820913585" w:history="1">
        <w:r w:rsidRPr="00106B83">
          <w:rPr>
            <w:rFonts w:cs="Open Sans"/>
            <w:color w:val="046FF8"/>
            <w:kern w:val="0"/>
            <w:sz w:val="24"/>
            <w:u w:val="single"/>
            <w14:ligatures w14:val="none"/>
          </w:rPr>
          <w:t>Pager, 2007</w:t>
        </w:r>
      </w:hyperlink>
      <w:r w:rsidRPr="00106B83">
        <w:rPr>
          <w:rFonts w:cs="Open Sans"/>
          <w:color w:val="333333"/>
          <w:kern w:val="0"/>
          <w:sz w:val="24"/>
          <w14:ligatures w14:val="none"/>
        </w:rPr>
        <w:t>).</w:t>
      </w:r>
    </w:p>
    <w:p w14:paraId="3BE8BA81"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To measure support for rehabilitation, we adapted questions from the prior work of </w:t>
      </w:r>
      <w:hyperlink r:id="rId89" w:anchor="bibr5-0093854820913585" w:history="1">
        <w:r w:rsidRPr="00106B83">
          <w:rPr>
            <w:rFonts w:cs="Open Sans"/>
            <w:color w:val="046FF8"/>
            <w:kern w:val="0"/>
            <w:sz w:val="24"/>
            <w:u w:val="single"/>
            <w14:ligatures w14:val="none"/>
          </w:rPr>
          <w:t>Applegate et al. (1997)</w:t>
        </w:r>
      </w:hyperlink>
      <w:r w:rsidRPr="00106B83">
        <w:rPr>
          <w:rFonts w:cs="Open Sans"/>
          <w:color w:val="333333"/>
          <w:kern w:val="0"/>
          <w:sz w:val="24"/>
          <w14:ligatures w14:val="none"/>
        </w:rPr>
        <w:t> and </w:t>
      </w:r>
      <w:hyperlink r:id="rId90" w:anchor="bibr20-0093854820913585" w:history="1">
        <w:r w:rsidRPr="00106B83">
          <w:rPr>
            <w:rFonts w:cs="Open Sans"/>
            <w:color w:val="046FF8"/>
            <w:kern w:val="0"/>
            <w:sz w:val="24"/>
            <w:u w:val="single"/>
            <w14:ligatures w14:val="none"/>
          </w:rPr>
          <w:t>Cullen et al. (1983)</w:t>
        </w:r>
      </w:hyperlink>
      <w:r w:rsidRPr="00106B83">
        <w:rPr>
          <w:rFonts w:cs="Open Sans"/>
          <w:color w:val="333333"/>
          <w:kern w:val="0"/>
          <w:sz w:val="24"/>
          <w14:ligatures w14:val="none"/>
        </w:rPr>
        <w:t>. Accordingly, support for rehabilitation is a mean index (α = .841, factor loadings = .739–.788) measured with responses to five items that asked how much (1 = </w:t>
      </w:r>
      <w:r w:rsidRPr="00106B83">
        <w:rPr>
          <w:rFonts w:cs="Open Sans"/>
          <w:i/>
          <w:iCs/>
          <w:color w:val="333333"/>
          <w:kern w:val="0"/>
          <w:sz w:val="24"/>
          <w14:ligatures w14:val="none"/>
        </w:rPr>
        <w:t>strongly disagree</w:t>
      </w:r>
      <w:r w:rsidRPr="00106B83">
        <w:rPr>
          <w:rFonts w:cs="Open Sans"/>
          <w:color w:val="333333"/>
          <w:kern w:val="0"/>
          <w:sz w:val="24"/>
          <w14:ligatures w14:val="none"/>
        </w:rPr>
        <w:t>, 6 = </w:t>
      </w:r>
      <w:r w:rsidRPr="00106B83">
        <w:rPr>
          <w:rFonts w:cs="Open Sans"/>
          <w:i/>
          <w:iCs/>
          <w:color w:val="333333"/>
          <w:kern w:val="0"/>
          <w:sz w:val="24"/>
          <w14:ligatures w14:val="none"/>
        </w:rPr>
        <w:t>strongly agree</w:t>
      </w:r>
      <w:r w:rsidRPr="00106B83">
        <w:rPr>
          <w:rFonts w:cs="Open Sans"/>
          <w:color w:val="333333"/>
          <w:kern w:val="0"/>
          <w:sz w:val="24"/>
          <w14:ligatures w14:val="none"/>
        </w:rPr>
        <w:t>) the respondents supported the following statements: (1) “it is important to try to rehabilitate adults who have committed crimes and are now in the correctional system,” (2) “it is a good idea to provide treatment for offenders who are supervised by the courts and live in the community,” (3) “rehabilitation programs should be available even for offenders who have been involved in a lot of crime in their lives,” (4) “all rehabilitation programs have done is to allow criminals who deserve to be punished to get off easily,” and (5) “I would not support expanding the rehabilitation programs that are now being undertaken in our prisons.” Items 4 and 5 were reverse coded so that higher values on the mean index correspond to greater support for rehabilitation. The use of these reverse-coded items to measure this construct is important in that it reduces the potential for acquiescence bias (</w:t>
      </w:r>
      <w:hyperlink r:id="rId91" w:anchor="bibr61-0093854820913585" w:history="1">
        <w:r w:rsidRPr="00106B83">
          <w:rPr>
            <w:rFonts w:cs="Open Sans"/>
            <w:color w:val="046FF8"/>
            <w:kern w:val="0"/>
            <w:sz w:val="24"/>
            <w:u w:val="single"/>
            <w14:ligatures w14:val="none"/>
          </w:rPr>
          <w:t>Pickett &amp; Baker, 2014</w:t>
        </w:r>
      </w:hyperlink>
      <w:r w:rsidRPr="00106B83">
        <w:rPr>
          <w:rFonts w:cs="Open Sans"/>
          <w:color w:val="333333"/>
          <w:kern w:val="0"/>
          <w:sz w:val="24"/>
          <w14:ligatures w14:val="none"/>
        </w:rPr>
        <w:t>).</w:t>
      </w:r>
    </w:p>
    <w:p w14:paraId="6A47AAE5"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To measure support for ban-the-box (0 = </w:t>
      </w:r>
      <w:r w:rsidRPr="00106B83">
        <w:rPr>
          <w:rFonts w:cs="Open Sans"/>
          <w:i/>
          <w:iCs/>
          <w:color w:val="333333"/>
          <w:kern w:val="0"/>
          <w:sz w:val="24"/>
          <w14:ligatures w14:val="none"/>
        </w:rPr>
        <w:t>keep the box</w:t>
      </w:r>
      <w:r w:rsidRPr="00106B83">
        <w:rPr>
          <w:rFonts w:cs="Open Sans"/>
          <w:color w:val="333333"/>
          <w:kern w:val="0"/>
          <w:sz w:val="24"/>
          <w14:ligatures w14:val="none"/>
        </w:rPr>
        <w:t>, 1 = </w:t>
      </w:r>
      <w:r w:rsidRPr="00106B83">
        <w:rPr>
          <w:rFonts w:cs="Open Sans"/>
          <w:i/>
          <w:iCs/>
          <w:color w:val="333333"/>
          <w:kern w:val="0"/>
          <w:sz w:val="24"/>
          <w14:ligatures w14:val="none"/>
        </w:rPr>
        <w:t>ban-the-box</w:t>
      </w:r>
      <w:r w:rsidRPr="00106B83">
        <w:rPr>
          <w:rFonts w:cs="Open Sans"/>
          <w:color w:val="333333"/>
          <w:kern w:val="0"/>
          <w:sz w:val="24"/>
          <w14:ligatures w14:val="none"/>
        </w:rPr>
        <w:t>) policies, the respondents were first asked to read the following introductory paragraph:</w:t>
      </w:r>
    </w:p>
    <w:p w14:paraId="5A7410B2"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As you may know, many job applications contain a “box” that a person applying for the job must check if they have a criminal record from their past. Recently, however, many elected officials have passed ban-the-box laws. These laws say that employers must remove this “box” on job applications that people must check if they have been arrested and/or convicted of a crime. With ban-the-box laws, employers can still conduct criminal background checks and choose to not hire someone who has a criminal record. However, they can only do this AFTER they have looked at the person’s job application and decided to interview them or give them a job offer.</w:t>
      </w:r>
    </w:p>
    <w:p w14:paraId="31B16005"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Then, the respondents were asked to choose one of the following options: (1) ban-the-box laws are a good idea because ex-offenders’ skills and qualifications for jobs will be considered. This could help them get jobs because they won’t just be rejected right away for having criminal records”; or (2) ban-the-box laws are a bad idea because they make employers waste time considering hiring people that they may end up rejecting later when they find out about their criminal records.”</w:t>
      </w:r>
    </w:p>
    <w:p w14:paraId="7CBD741B"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Similarly, support for expungement (0 = </w:t>
      </w:r>
      <w:r w:rsidRPr="00106B83">
        <w:rPr>
          <w:rFonts w:cs="Open Sans"/>
          <w:i/>
          <w:iCs/>
          <w:color w:val="333333"/>
          <w:kern w:val="0"/>
          <w:sz w:val="24"/>
          <w14:ligatures w14:val="none"/>
        </w:rPr>
        <w:t>oppose</w:t>
      </w:r>
      <w:r w:rsidRPr="00106B83">
        <w:rPr>
          <w:rFonts w:cs="Open Sans"/>
          <w:color w:val="333333"/>
          <w:kern w:val="0"/>
          <w:sz w:val="24"/>
          <w14:ligatures w14:val="none"/>
        </w:rPr>
        <w:t>, 1 = </w:t>
      </w:r>
      <w:r w:rsidRPr="00106B83">
        <w:rPr>
          <w:rFonts w:cs="Open Sans"/>
          <w:i/>
          <w:iCs/>
          <w:color w:val="333333"/>
          <w:kern w:val="0"/>
          <w:sz w:val="24"/>
          <w14:ligatures w14:val="none"/>
        </w:rPr>
        <w:t>support</w:t>
      </w:r>
      <w:r w:rsidRPr="00106B83">
        <w:rPr>
          <w:rFonts w:cs="Open Sans"/>
          <w:color w:val="333333"/>
          <w:kern w:val="0"/>
          <w:sz w:val="24"/>
          <w14:ligatures w14:val="none"/>
        </w:rPr>
        <w:t>) was measured by asking the respondents to first read the following introductory paragraph:</w:t>
      </w:r>
    </w:p>
    <w:p w14:paraId="0B1C3D47"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 xml:space="preserve">There has been some debate recently about expunging criminal records for offenders who have completed their sentences and thus paid for their crime. When </w:t>
      </w:r>
      <w:r w:rsidRPr="00106B83">
        <w:rPr>
          <w:rFonts w:cs="Open Sans"/>
          <w:color w:val="333333"/>
          <w:kern w:val="0"/>
          <w:sz w:val="24"/>
          <w14:ligatures w14:val="none"/>
        </w:rPr>
        <w:lastRenderedPageBreak/>
        <w:t>a criminal record is expunged, this means that the criminal record is removed or sealed and thus is no longer something that the public, including employers, can see. It’s like starting over from scratch. We would like to know your views on this matter. Some people argue that expunging criminal records is a good policy because it gives criminal offenders the opportunity to wipe their slate clean and get their lives back on track. Other people believe that expunging criminal records is a bad policy because public access to criminal records helps keep communities safe.</w:t>
      </w:r>
    </w:p>
    <w:p w14:paraId="55677DDF"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The respondents then were asked to choose one of the following options: (1) “expunging criminal records is a good policy because it gives criminal offenders a chance to get their lives back on track,” or (2) “expunging criminal records is a bad policy because public access to criminal records helps keep communities safe.”</w:t>
      </w:r>
    </w:p>
    <w:p w14:paraId="7E54ACE0"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We should note that the ban-the-box and expungement questions contain arguments for and against each policy. This approach was chosen because some respondents might not be familiar with these policies or reasons given for supporting and opposing them. As a reviewer pointed out, however, it is possible that for people to “support either policy for reasons not included in the response options.” It also is possible that including the phrase “get their lives back on track” in the expungement question might have made the redemptive nature of this reform more salient. As noted below, the consistency of the results across all dependent variables suggests that question-wording did not produce any counterintuitive results. Still, future research should explore whether the content of items affects subjects’ responses.</w:t>
      </w:r>
    </w:p>
    <w:p w14:paraId="1178F78D"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Finally, to measure whether the respondents believe individuals convicted of felonies should retain the right to vote, the respondents chose from one of the three options: (1) they should lose permanently their right to vote, (2) they should lose their right to vote only until they have completed their sentence, and (3) they should not lose their right to vote at all. Thus, Felon voting rights was coded such that 0 = </w:t>
      </w:r>
      <w:r w:rsidRPr="00106B83">
        <w:rPr>
          <w:rFonts w:cs="Open Sans"/>
          <w:i/>
          <w:iCs/>
          <w:color w:val="333333"/>
          <w:kern w:val="0"/>
          <w:sz w:val="24"/>
          <w14:ligatures w14:val="none"/>
        </w:rPr>
        <w:t>they should lose permanently their right to vote</w:t>
      </w:r>
      <w:r w:rsidRPr="00106B83">
        <w:rPr>
          <w:rFonts w:cs="Open Sans"/>
          <w:color w:val="333333"/>
          <w:kern w:val="0"/>
          <w:sz w:val="24"/>
          <w14:ligatures w14:val="none"/>
        </w:rPr>
        <w:t>/</w:t>
      </w:r>
      <w:r w:rsidRPr="00106B83">
        <w:rPr>
          <w:rFonts w:cs="Open Sans"/>
          <w:i/>
          <w:iCs/>
          <w:color w:val="333333"/>
          <w:kern w:val="0"/>
          <w:sz w:val="24"/>
          <w14:ligatures w14:val="none"/>
        </w:rPr>
        <w:t>they should lose their right to vote only until they have completed their sentence</w:t>
      </w:r>
      <w:r w:rsidRPr="00106B83">
        <w:rPr>
          <w:rFonts w:cs="Open Sans"/>
          <w:color w:val="333333"/>
          <w:kern w:val="0"/>
          <w:sz w:val="24"/>
          <w14:ligatures w14:val="none"/>
        </w:rPr>
        <w:t> and 1 = </w:t>
      </w:r>
      <w:r w:rsidRPr="00106B83">
        <w:rPr>
          <w:rFonts w:cs="Open Sans"/>
          <w:i/>
          <w:iCs/>
          <w:color w:val="333333"/>
          <w:kern w:val="0"/>
          <w:sz w:val="24"/>
          <w14:ligatures w14:val="none"/>
        </w:rPr>
        <w:t>they should not lose their right to vote at all</w:t>
      </w:r>
      <w:r w:rsidRPr="00106B83">
        <w:rPr>
          <w:rFonts w:cs="Open Sans"/>
          <w:color w:val="333333"/>
          <w:kern w:val="0"/>
          <w:sz w:val="24"/>
          <w14:ligatures w14:val="none"/>
        </w:rPr>
        <w:t>.</w:t>
      </w:r>
    </w:p>
    <w:p w14:paraId="68BD9E88"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Note that we made our original coding decisions on the dependent variables to try to capture respondents who clearly were punitive (favored capital punishment or harsher courts) or were clearly in favor of progressive policy proposals. To check that these coding choices did not affect the results, we recoded all these variables and reran the analyses. None of the findings with regard to redeemability were affected (redeemability remained significant at the </w:t>
      </w:r>
      <w:r w:rsidRPr="00106B83">
        <w:rPr>
          <w:rFonts w:cs="Open Sans"/>
          <w:i/>
          <w:iCs/>
          <w:color w:val="333333"/>
          <w:kern w:val="0"/>
          <w:sz w:val="24"/>
          <w14:ligatures w14:val="none"/>
        </w:rPr>
        <w:t>p</w:t>
      </w:r>
      <w:r w:rsidRPr="00106B83">
        <w:rPr>
          <w:rFonts w:cs="Open Sans"/>
          <w:color w:val="333333"/>
          <w:kern w:val="0"/>
          <w:sz w:val="24"/>
          <w14:ligatures w14:val="none"/>
        </w:rPr>
        <w:t xml:space="preserve"> &lt; .001 level). Specifically, we conducted the analyses excluding the respondents who answered “not sure” and “don’t know,” and we also ran multinomial logistic regressions where applicable (e.g., the models predicting Harsher Courts, Punish and Protect, and Felon Voting </w:t>
      </w:r>
      <w:r w:rsidRPr="00106B83">
        <w:rPr>
          <w:rFonts w:cs="Open Sans"/>
          <w:color w:val="333333"/>
          <w:kern w:val="0"/>
          <w:sz w:val="24"/>
          <w14:ligatures w14:val="none"/>
        </w:rPr>
        <w:lastRenderedPageBreak/>
        <w:t>Rights). Ordered logit models were not estimated because these data violated the proportional odds assumption. Nonetheless, we found no substantive differences.</w:t>
      </w:r>
    </w:p>
    <w:p w14:paraId="4D77BE18" w14:textId="77777777" w:rsidR="00106B83" w:rsidRPr="00106B83" w:rsidRDefault="00106B83" w:rsidP="00106B83">
      <w:pPr>
        <w:spacing w:before="100" w:beforeAutospacing="1" w:after="100" w:afterAutospacing="1"/>
        <w:outlineLvl w:val="2"/>
        <w:rPr>
          <w:rFonts w:ascii="Arial" w:hAnsi="Arial" w:cs="Arial"/>
          <w:color w:val="555555"/>
          <w:kern w:val="0"/>
          <w:sz w:val="27"/>
          <w:szCs w:val="27"/>
          <w14:ligatures w14:val="none"/>
        </w:rPr>
      </w:pPr>
      <w:r w:rsidRPr="00106B83">
        <w:rPr>
          <w:rFonts w:ascii="Arial" w:hAnsi="Arial" w:cs="Arial"/>
          <w:color w:val="555555"/>
          <w:kern w:val="0"/>
          <w:sz w:val="27"/>
          <w:szCs w:val="27"/>
          <w14:ligatures w14:val="none"/>
        </w:rPr>
        <w:t>Independent Variable</w:t>
      </w:r>
    </w:p>
    <w:p w14:paraId="05C46DC6"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To measure the respondents’ belief in redeemability, we adapted questions from </w:t>
      </w:r>
      <w:hyperlink r:id="rId92" w:anchor="bibr48-0093854820913585" w:history="1">
        <w:r w:rsidRPr="00106B83">
          <w:rPr>
            <w:rFonts w:cs="Open Sans"/>
            <w:color w:val="046FF8"/>
            <w:kern w:val="0"/>
            <w:sz w:val="24"/>
            <w:u w:val="single"/>
            <w14:ligatures w14:val="none"/>
          </w:rPr>
          <w:t>Maruna and King (2009)</w:t>
        </w:r>
      </w:hyperlink>
      <w:r w:rsidRPr="00106B83">
        <w:rPr>
          <w:rFonts w:cs="Open Sans"/>
          <w:color w:val="333333"/>
          <w:kern w:val="0"/>
          <w:sz w:val="24"/>
          <w14:ligatures w14:val="none"/>
        </w:rPr>
        <w:t>. Three of the four questions were the same or quite similar to those used by Maruna and King in their four-item scale (Items 1, 3, and 4 below). Given the focus on adults, we chose not to use their item on “young offenders” and replaced it with Item 2. Similar measures of this construct have been used in prior research (e.g., </w:t>
      </w:r>
      <w:hyperlink r:id="rId93" w:anchor="bibr23-0093854820913585" w:history="1">
        <w:r w:rsidRPr="00106B83">
          <w:rPr>
            <w:rFonts w:cs="Open Sans"/>
            <w:color w:val="046FF8"/>
            <w:kern w:val="0"/>
            <w:sz w:val="24"/>
            <w:u w:val="single"/>
            <w14:ligatures w14:val="none"/>
          </w:rPr>
          <w:t>Dodd, 2018</w:t>
        </w:r>
      </w:hyperlink>
      <w:r w:rsidRPr="00106B83">
        <w:rPr>
          <w:rFonts w:cs="Open Sans"/>
          <w:color w:val="333333"/>
          <w:kern w:val="0"/>
          <w:sz w:val="24"/>
          <w14:ligatures w14:val="none"/>
        </w:rPr>
        <w:t>; </w:t>
      </w:r>
      <w:hyperlink r:id="rId94" w:anchor="bibr42-0093854820913585" w:history="1">
        <w:r w:rsidRPr="00106B83">
          <w:rPr>
            <w:rFonts w:cs="Open Sans"/>
            <w:color w:val="046FF8"/>
            <w:kern w:val="0"/>
            <w:sz w:val="24"/>
            <w:u w:val="single"/>
            <w14:ligatures w14:val="none"/>
          </w:rPr>
          <w:t>Leverentz, 2011</w:t>
        </w:r>
      </w:hyperlink>
      <w:r w:rsidRPr="00106B83">
        <w:rPr>
          <w:rFonts w:cs="Open Sans"/>
          <w:color w:val="333333"/>
          <w:kern w:val="0"/>
          <w:sz w:val="24"/>
          <w14:ligatures w14:val="none"/>
        </w:rPr>
        <w:t>; </w:t>
      </w:r>
      <w:hyperlink r:id="rId95" w:anchor="bibr57-0093854820913585" w:history="1">
        <w:r w:rsidRPr="00106B83">
          <w:rPr>
            <w:rFonts w:cs="Open Sans"/>
            <w:color w:val="046FF8"/>
            <w:kern w:val="0"/>
            <w:sz w:val="24"/>
            <w:u w:val="single"/>
            <w14:ligatures w14:val="none"/>
          </w:rPr>
          <w:t>Ouellette et al., 2017</w:t>
        </w:r>
      </w:hyperlink>
      <w:r w:rsidRPr="00106B83">
        <w:rPr>
          <w:rFonts w:cs="Open Sans"/>
          <w:color w:val="333333"/>
          <w:kern w:val="0"/>
          <w:sz w:val="24"/>
          <w14:ligatures w14:val="none"/>
        </w:rPr>
        <w:t>). Thus, redeemability is a mean index (α = .718, factor loadings = .490–.781); note that the Cronbach’s alpha for </w:t>
      </w:r>
      <w:hyperlink r:id="rId96" w:anchor="bibr48-0093854820913585" w:history="1">
        <w:r w:rsidRPr="00106B83">
          <w:rPr>
            <w:rFonts w:cs="Open Sans"/>
            <w:color w:val="046FF8"/>
            <w:kern w:val="0"/>
            <w:sz w:val="24"/>
            <w:u w:val="single"/>
            <w14:ligatures w14:val="none"/>
          </w:rPr>
          <w:t>Maruna and King’s (2009)</w:t>
        </w:r>
      </w:hyperlink>
      <w:r w:rsidRPr="00106B83">
        <w:rPr>
          <w:rFonts w:cs="Open Sans"/>
          <w:color w:val="333333"/>
          <w:kern w:val="0"/>
          <w:sz w:val="24"/>
          <w14:ligatures w14:val="none"/>
        </w:rPr>
        <w:t> measure was .64. Our measure of redeemability was created from the respondents’ opinions (1 = </w:t>
      </w:r>
      <w:r w:rsidRPr="00106B83">
        <w:rPr>
          <w:rFonts w:cs="Open Sans"/>
          <w:i/>
          <w:iCs/>
          <w:color w:val="333333"/>
          <w:kern w:val="0"/>
          <w:sz w:val="24"/>
          <w14:ligatures w14:val="none"/>
        </w:rPr>
        <w:t>strongly disagree</w:t>
      </w:r>
      <w:r w:rsidRPr="00106B83">
        <w:rPr>
          <w:rFonts w:cs="Open Sans"/>
          <w:color w:val="333333"/>
          <w:kern w:val="0"/>
          <w:sz w:val="24"/>
          <w14:ligatures w14:val="none"/>
        </w:rPr>
        <w:t>, 6 = </w:t>
      </w:r>
      <w:r w:rsidRPr="00106B83">
        <w:rPr>
          <w:rFonts w:cs="Open Sans"/>
          <w:i/>
          <w:iCs/>
          <w:color w:val="333333"/>
          <w:kern w:val="0"/>
          <w:sz w:val="24"/>
          <w14:ligatures w14:val="none"/>
        </w:rPr>
        <w:t>strongly agree</w:t>
      </w:r>
      <w:r w:rsidRPr="00106B83">
        <w:rPr>
          <w:rFonts w:cs="Open Sans"/>
          <w:color w:val="333333"/>
          <w:kern w:val="0"/>
          <w:sz w:val="24"/>
          <w14:ligatures w14:val="none"/>
        </w:rPr>
        <w:t>) to the following four statements: (1) “most offenders can go on to lead productive lives with help and hard work,” (2) “given the right conditions, a great many offenders can turn their lives around and become law-abiding citizens,” (3) “most criminal offenders are unlikely to change for the better,” and (4) “some offenders are so damaged that they can never lead productive lives.” Items 3 and 4 were reverse coded such that higher values on the mean index represent a greater belief in redeemability. Again, because items in this scale were asked in both directions (i.e., belief in and non-belief in redeemability), the potential for acquiescence bias is lessened (</w:t>
      </w:r>
      <w:hyperlink r:id="rId97" w:anchor="bibr61-0093854820913585" w:history="1">
        <w:r w:rsidRPr="00106B83">
          <w:rPr>
            <w:rFonts w:cs="Open Sans"/>
            <w:color w:val="046FF8"/>
            <w:kern w:val="0"/>
            <w:sz w:val="24"/>
            <w:u w:val="single"/>
            <w14:ligatures w14:val="none"/>
          </w:rPr>
          <w:t>Pickett &amp; Baker, 2014</w:t>
        </w:r>
      </w:hyperlink>
      <w:r w:rsidRPr="00106B83">
        <w:rPr>
          <w:rFonts w:cs="Open Sans"/>
          <w:color w:val="333333"/>
          <w:kern w:val="0"/>
          <w:sz w:val="24"/>
          <w14:ligatures w14:val="none"/>
        </w:rPr>
        <w:t>).</w:t>
      </w:r>
    </w:p>
    <w:p w14:paraId="5BB3EA3E" w14:textId="77777777" w:rsidR="00106B83" w:rsidRPr="00106B83" w:rsidRDefault="00106B83" w:rsidP="00106B83">
      <w:pPr>
        <w:spacing w:before="100" w:beforeAutospacing="1" w:after="100" w:afterAutospacing="1"/>
        <w:outlineLvl w:val="2"/>
        <w:rPr>
          <w:rFonts w:ascii="Arial" w:hAnsi="Arial" w:cs="Arial"/>
          <w:color w:val="555555"/>
          <w:kern w:val="0"/>
          <w:sz w:val="27"/>
          <w:szCs w:val="27"/>
          <w14:ligatures w14:val="none"/>
        </w:rPr>
      </w:pPr>
      <w:r w:rsidRPr="00106B83">
        <w:rPr>
          <w:rFonts w:ascii="Arial" w:hAnsi="Arial" w:cs="Arial"/>
          <w:color w:val="555555"/>
          <w:kern w:val="0"/>
          <w:sz w:val="27"/>
          <w:szCs w:val="27"/>
          <w14:ligatures w14:val="none"/>
        </w:rPr>
        <w:t>Control Variables</w:t>
      </w:r>
    </w:p>
    <w:p w14:paraId="202E37E6"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We control for a number of factors that theory and prior research suggest may be confounders of the relationships between our independent and dependent variables. These include the respondents’ race (1 = White), gender (1 = Male), age (in years), marital status (1 = Married), household composition (1 = Child in Residence), education (1 = no high school, 6 = graduate degree), income (1 = &lt; US$10K, 16 = US$500K+), political party affiliation (1 = Republican), and ideology (1 = Conservative). As is common in YouGov surveys, there was a comparatively large amount of item missing data on the income variable (13.5%). Using linear regression imputation, we imputed the missing income values based on the scores on the other variables in the analysis. We also control for religious beliefs. Religiosity is a standardized mean index (α = .741, factor loadings = .511–.787) based on three questions assessing the importance of religion in the respondents’ lives, their frequency of church attendance, and their frequency of praying. Finally, we control for the respondents’ region of residence (1 = Southerner). </w:t>
      </w:r>
      <w:hyperlink r:id="rId98" w:anchor="table1-0093854820913585" w:history="1">
        <w:r w:rsidRPr="00106B83">
          <w:rPr>
            <w:rFonts w:cs="Open Sans"/>
            <w:color w:val="046FF8"/>
            <w:kern w:val="0"/>
            <w:sz w:val="24"/>
            <w:u w:val="single"/>
            <w14:ligatures w14:val="none"/>
          </w:rPr>
          <w:t xml:space="preserve">Table </w:t>
        </w:r>
        <w:r w:rsidRPr="00106B83">
          <w:rPr>
            <w:rFonts w:cs="Open Sans"/>
            <w:color w:val="046FF8"/>
            <w:kern w:val="0"/>
            <w:sz w:val="24"/>
            <w:u w:val="single"/>
            <w14:ligatures w14:val="none"/>
          </w:rPr>
          <w:lastRenderedPageBreak/>
          <w:t>1</w:t>
        </w:r>
      </w:hyperlink>
      <w:r w:rsidRPr="00106B83">
        <w:rPr>
          <w:rFonts w:cs="Open Sans"/>
          <w:color w:val="333333"/>
          <w:kern w:val="0"/>
          <w:sz w:val="24"/>
          <w14:ligatures w14:val="none"/>
        </w:rPr>
        <w:t> provides the descriptive statistics for all the variables included in the analyses and the bivariate correlations between each independent and dependent variable included in the analyses.</w:t>
      </w:r>
    </w:p>
    <w:p w14:paraId="28233132" w14:textId="77777777" w:rsidR="00106B83" w:rsidRPr="00106B83" w:rsidRDefault="00106B83" w:rsidP="00106B83">
      <w:pPr>
        <w:shd w:val="clear" w:color="auto" w:fill="FFFFFF"/>
        <w:spacing w:line="480" w:lineRule="auto"/>
        <w:rPr>
          <w:rFonts w:cs="Open Sans"/>
          <w:color w:val="333333"/>
          <w:kern w:val="0"/>
          <w:sz w:val="24"/>
          <w14:ligatures w14:val="none"/>
        </w:rPr>
      </w:pPr>
      <w:r w:rsidRPr="00106B83">
        <w:rPr>
          <w:rFonts w:cs="Open Sans"/>
          <w:b/>
          <w:bCs/>
          <w:color w:val="333333"/>
          <w:kern w:val="0"/>
          <w:sz w:val="24"/>
          <w14:ligatures w14:val="none"/>
        </w:rPr>
        <w:t>Table 1</w:t>
      </w:r>
      <w:r w:rsidRPr="00106B83">
        <w:rPr>
          <w:rFonts w:cs="Open Sans"/>
          <w:color w:val="333333"/>
          <w:kern w:val="0"/>
          <w:sz w:val="24"/>
          <w14:ligatures w14:val="none"/>
        </w:rPr>
        <w:t>: Descriptive Statistics and Correlation Matrices of Independent and Control Variables With the Outcomes</w:t>
      </w:r>
    </w:p>
    <w:tbl>
      <w:tblPr>
        <w:tblW w:w="14415" w:type="dxa"/>
        <w:tblCellSpacing w:w="15" w:type="dxa"/>
        <w:tblCellMar>
          <w:top w:w="15" w:type="dxa"/>
          <w:left w:w="15" w:type="dxa"/>
          <w:bottom w:w="15" w:type="dxa"/>
          <w:right w:w="15" w:type="dxa"/>
        </w:tblCellMar>
        <w:tblLook w:val="04A0" w:firstRow="1" w:lastRow="0" w:firstColumn="1" w:lastColumn="0" w:noHBand="0" w:noVBand="1"/>
      </w:tblPr>
      <w:tblGrid>
        <w:gridCol w:w="2742"/>
        <w:gridCol w:w="787"/>
        <w:gridCol w:w="600"/>
        <w:gridCol w:w="1305"/>
        <w:gridCol w:w="1417"/>
        <w:gridCol w:w="1777"/>
        <w:gridCol w:w="1527"/>
        <w:gridCol w:w="1127"/>
        <w:gridCol w:w="1487"/>
        <w:gridCol w:w="1646"/>
      </w:tblGrid>
      <w:tr w:rsidR="00106B83" w:rsidRPr="00106B83" w14:paraId="5AC8FB78" w14:textId="77777777" w:rsidTr="00106B83">
        <w:trPr>
          <w:tblHeader/>
          <w:tblCellSpacing w:w="15" w:type="dxa"/>
        </w:trPr>
        <w:tc>
          <w:tcPr>
            <w:tcW w:w="0" w:type="auto"/>
            <w:vMerge w:val="restart"/>
            <w:tcBorders>
              <w:top w:val="nil"/>
            </w:tcBorders>
            <w:shd w:val="clear" w:color="auto" w:fill="4E60AC"/>
            <w:vAlign w:val="center"/>
            <w:hideMark/>
          </w:tcPr>
          <w:p w14:paraId="69231F4E" w14:textId="77777777" w:rsidR="00106B83" w:rsidRPr="00106B83" w:rsidRDefault="00106B83" w:rsidP="00106B83">
            <w:pP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Variables</w:t>
            </w:r>
          </w:p>
        </w:tc>
        <w:tc>
          <w:tcPr>
            <w:tcW w:w="0" w:type="auto"/>
            <w:vMerge w:val="restart"/>
            <w:tcBorders>
              <w:top w:val="nil"/>
            </w:tcBorders>
            <w:shd w:val="clear" w:color="auto" w:fill="4E60AC"/>
            <w:vAlign w:val="center"/>
            <w:hideMark/>
          </w:tcPr>
          <w:p w14:paraId="0374F2DE"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i/>
                <w:iCs/>
                <w:color w:val="FFFFFF"/>
                <w:kern w:val="0"/>
                <w:sz w:val="24"/>
                <w14:ligatures w14:val="none"/>
              </w:rPr>
              <w:t>M</w:t>
            </w:r>
            <w:r w:rsidRPr="00106B83">
              <w:rPr>
                <w:rFonts w:ascii="Times New Roman" w:hAnsi="Times New Roman"/>
                <w:b/>
                <w:bCs/>
                <w:color w:val="FFFFFF"/>
                <w:kern w:val="0"/>
                <w:sz w:val="24"/>
                <w14:ligatures w14:val="none"/>
              </w:rPr>
              <w:t> or %</w:t>
            </w:r>
          </w:p>
        </w:tc>
        <w:tc>
          <w:tcPr>
            <w:tcW w:w="0" w:type="auto"/>
            <w:vMerge w:val="restart"/>
            <w:tcBorders>
              <w:top w:val="nil"/>
            </w:tcBorders>
            <w:shd w:val="clear" w:color="auto" w:fill="4E60AC"/>
            <w:vAlign w:val="center"/>
            <w:hideMark/>
          </w:tcPr>
          <w:p w14:paraId="3895E7F8"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i/>
                <w:iCs/>
                <w:color w:val="FFFFFF"/>
                <w:kern w:val="0"/>
                <w:sz w:val="24"/>
                <w14:ligatures w14:val="none"/>
              </w:rPr>
              <w:t>SD</w:t>
            </w:r>
          </w:p>
        </w:tc>
        <w:tc>
          <w:tcPr>
            <w:tcW w:w="0" w:type="auto"/>
            <w:gridSpan w:val="7"/>
            <w:tcBorders>
              <w:top w:val="nil"/>
            </w:tcBorders>
            <w:shd w:val="clear" w:color="auto" w:fill="4E60AC"/>
            <w:vAlign w:val="center"/>
            <w:hideMark/>
          </w:tcPr>
          <w:p w14:paraId="69F0ED35"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Bivariate correlation matrices with outcomes</w:t>
            </w:r>
          </w:p>
        </w:tc>
      </w:tr>
      <w:tr w:rsidR="00106B83" w:rsidRPr="00106B83" w14:paraId="3355C09B" w14:textId="77777777" w:rsidTr="00106B83">
        <w:trPr>
          <w:tblHeader/>
          <w:tblCellSpacing w:w="15" w:type="dxa"/>
        </w:trPr>
        <w:tc>
          <w:tcPr>
            <w:tcW w:w="0" w:type="auto"/>
            <w:vMerge/>
            <w:tcBorders>
              <w:top w:val="nil"/>
            </w:tcBorders>
            <w:vAlign w:val="center"/>
            <w:hideMark/>
          </w:tcPr>
          <w:p w14:paraId="6B64160A" w14:textId="77777777" w:rsidR="00106B83" w:rsidRPr="00106B83" w:rsidRDefault="00106B83" w:rsidP="00106B83">
            <w:pPr>
              <w:jc w:val="center"/>
              <w:rPr>
                <w:rFonts w:ascii="Times New Roman" w:hAnsi="Times New Roman"/>
                <w:b/>
                <w:bCs/>
                <w:color w:val="FFFFFF"/>
                <w:kern w:val="0"/>
                <w:sz w:val="24"/>
                <w14:ligatures w14:val="none"/>
              </w:rPr>
            </w:pPr>
          </w:p>
        </w:tc>
        <w:tc>
          <w:tcPr>
            <w:tcW w:w="0" w:type="auto"/>
            <w:vMerge/>
            <w:tcBorders>
              <w:top w:val="nil"/>
            </w:tcBorders>
            <w:vAlign w:val="center"/>
            <w:hideMark/>
          </w:tcPr>
          <w:p w14:paraId="79AE699A" w14:textId="77777777" w:rsidR="00106B83" w:rsidRPr="00106B83" w:rsidRDefault="00106B83" w:rsidP="00106B83">
            <w:pPr>
              <w:jc w:val="center"/>
              <w:rPr>
                <w:rFonts w:ascii="Times New Roman" w:hAnsi="Times New Roman"/>
                <w:b/>
                <w:bCs/>
                <w:color w:val="FFFFFF"/>
                <w:kern w:val="0"/>
                <w:sz w:val="24"/>
                <w14:ligatures w14:val="none"/>
              </w:rPr>
            </w:pPr>
          </w:p>
        </w:tc>
        <w:tc>
          <w:tcPr>
            <w:tcW w:w="0" w:type="auto"/>
            <w:vMerge/>
            <w:tcBorders>
              <w:top w:val="nil"/>
            </w:tcBorders>
            <w:vAlign w:val="center"/>
            <w:hideMark/>
          </w:tcPr>
          <w:p w14:paraId="33162F68" w14:textId="77777777" w:rsidR="00106B83" w:rsidRPr="00106B83" w:rsidRDefault="00106B83" w:rsidP="00106B83">
            <w:pPr>
              <w:jc w:val="center"/>
              <w:rPr>
                <w:rFonts w:ascii="Times New Roman" w:hAnsi="Times New Roman"/>
                <w:b/>
                <w:bCs/>
                <w:color w:val="FFFFFF"/>
                <w:kern w:val="0"/>
                <w:sz w:val="24"/>
                <w14:ligatures w14:val="none"/>
              </w:rPr>
            </w:pPr>
          </w:p>
        </w:tc>
        <w:tc>
          <w:tcPr>
            <w:tcW w:w="0" w:type="auto"/>
            <w:tcBorders>
              <w:top w:val="nil"/>
            </w:tcBorders>
            <w:shd w:val="clear" w:color="auto" w:fill="4E60AC"/>
            <w:vAlign w:val="center"/>
            <w:hideMark/>
          </w:tcPr>
          <w:p w14:paraId="7525895C"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Death penalty</w:t>
            </w:r>
          </w:p>
        </w:tc>
        <w:tc>
          <w:tcPr>
            <w:tcW w:w="0" w:type="auto"/>
            <w:tcBorders>
              <w:top w:val="nil"/>
            </w:tcBorders>
            <w:shd w:val="clear" w:color="auto" w:fill="4E60AC"/>
            <w:vAlign w:val="center"/>
            <w:hideMark/>
          </w:tcPr>
          <w:p w14:paraId="3C1393CB"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Harsher courts</w:t>
            </w:r>
          </w:p>
        </w:tc>
        <w:tc>
          <w:tcPr>
            <w:tcW w:w="0" w:type="auto"/>
            <w:tcBorders>
              <w:top w:val="nil"/>
            </w:tcBorders>
            <w:shd w:val="clear" w:color="auto" w:fill="4E60AC"/>
            <w:vAlign w:val="center"/>
            <w:hideMark/>
          </w:tcPr>
          <w:p w14:paraId="5619B8DF"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Punitive prison goal</w:t>
            </w:r>
          </w:p>
        </w:tc>
        <w:tc>
          <w:tcPr>
            <w:tcW w:w="0" w:type="auto"/>
            <w:tcBorders>
              <w:top w:val="nil"/>
            </w:tcBorders>
            <w:shd w:val="clear" w:color="auto" w:fill="4E60AC"/>
            <w:vAlign w:val="center"/>
            <w:hideMark/>
          </w:tcPr>
          <w:p w14:paraId="33D632F5"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Rehabilitation</w:t>
            </w:r>
          </w:p>
        </w:tc>
        <w:tc>
          <w:tcPr>
            <w:tcW w:w="0" w:type="auto"/>
            <w:tcBorders>
              <w:top w:val="nil"/>
            </w:tcBorders>
            <w:shd w:val="clear" w:color="auto" w:fill="4E60AC"/>
            <w:vAlign w:val="center"/>
            <w:hideMark/>
          </w:tcPr>
          <w:p w14:paraId="3B6DA2B7"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Ban-the-box</w:t>
            </w:r>
          </w:p>
        </w:tc>
        <w:tc>
          <w:tcPr>
            <w:tcW w:w="0" w:type="auto"/>
            <w:tcBorders>
              <w:top w:val="nil"/>
            </w:tcBorders>
            <w:shd w:val="clear" w:color="auto" w:fill="4E60AC"/>
            <w:vAlign w:val="center"/>
            <w:hideMark/>
          </w:tcPr>
          <w:p w14:paraId="78082BC8"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Expungement</w:t>
            </w:r>
          </w:p>
        </w:tc>
        <w:tc>
          <w:tcPr>
            <w:tcW w:w="0" w:type="auto"/>
            <w:tcBorders>
              <w:top w:val="nil"/>
            </w:tcBorders>
            <w:shd w:val="clear" w:color="auto" w:fill="4E60AC"/>
            <w:vAlign w:val="center"/>
            <w:hideMark/>
          </w:tcPr>
          <w:p w14:paraId="6C8487AC"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Felon voting rights</w:t>
            </w:r>
          </w:p>
        </w:tc>
      </w:tr>
      <w:tr w:rsidR="00106B83" w:rsidRPr="00106B83" w14:paraId="2BA1B0DD" w14:textId="77777777" w:rsidTr="00106B83">
        <w:trPr>
          <w:tblCellSpacing w:w="15" w:type="dxa"/>
        </w:trPr>
        <w:tc>
          <w:tcPr>
            <w:tcW w:w="0" w:type="auto"/>
            <w:gridSpan w:val="10"/>
            <w:tcBorders>
              <w:top w:val="nil"/>
            </w:tcBorders>
            <w:vAlign w:val="center"/>
            <w:hideMark/>
          </w:tcPr>
          <w:p w14:paraId="7BCABC2B"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Outcome variables</w:t>
            </w:r>
          </w:p>
        </w:tc>
      </w:tr>
      <w:tr w:rsidR="00106B83" w:rsidRPr="00106B83" w14:paraId="7F300590" w14:textId="77777777" w:rsidTr="00106B83">
        <w:trPr>
          <w:tblCellSpacing w:w="15" w:type="dxa"/>
        </w:trPr>
        <w:tc>
          <w:tcPr>
            <w:tcW w:w="0" w:type="auto"/>
            <w:tcBorders>
              <w:top w:val="single" w:sz="6" w:space="0" w:color="DDDDDD"/>
            </w:tcBorders>
            <w:shd w:val="clear" w:color="auto" w:fill="F7F7F7"/>
            <w:vAlign w:val="center"/>
            <w:hideMark/>
          </w:tcPr>
          <w:p w14:paraId="750ACFD8"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Death penalty (% favor)</w:t>
            </w:r>
          </w:p>
        </w:tc>
        <w:tc>
          <w:tcPr>
            <w:tcW w:w="0" w:type="auto"/>
            <w:tcBorders>
              <w:top w:val="single" w:sz="6" w:space="0" w:color="DDDDDD"/>
            </w:tcBorders>
            <w:shd w:val="clear" w:color="auto" w:fill="F7F7F7"/>
            <w:vAlign w:val="center"/>
            <w:hideMark/>
          </w:tcPr>
          <w:p w14:paraId="3AD48F33"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54.53</w:t>
            </w:r>
          </w:p>
        </w:tc>
        <w:tc>
          <w:tcPr>
            <w:tcW w:w="0" w:type="auto"/>
            <w:tcBorders>
              <w:top w:val="single" w:sz="6" w:space="0" w:color="DDDDDD"/>
            </w:tcBorders>
            <w:shd w:val="clear" w:color="auto" w:fill="F7F7F7"/>
            <w:vAlign w:val="center"/>
            <w:hideMark/>
          </w:tcPr>
          <w:p w14:paraId="0786699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4A8D024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1E9CF10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05D84D5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561C3010"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126CC2C3"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71786A5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33953C1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r>
      <w:tr w:rsidR="00106B83" w:rsidRPr="00106B83" w14:paraId="469D04A3" w14:textId="77777777" w:rsidTr="00106B83">
        <w:trPr>
          <w:tblCellSpacing w:w="15" w:type="dxa"/>
        </w:trPr>
        <w:tc>
          <w:tcPr>
            <w:tcW w:w="0" w:type="auto"/>
            <w:tcBorders>
              <w:top w:val="single" w:sz="6" w:space="0" w:color="DDDDDD"/>
            </w:tcBorders>
            <w:vAlign w:val="center"/>
            <w:hideMark/>
          </w:tcPr>
          <w:p w14:paraId="70526E21"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Harsher courts (% favor)</w:t>
            </w:r>
          </w:p>
        </w:tc>
        <w:tc>
          <w:tcPr>
            <w:tcW w:w="0" w:type="auto"/>
            <w:tcBorders>
              <w:top w:val="single" w:sz="6" w:space="0" w:color="DDDDDD"/>
            </w:tcBorders>
            <w:vAlign w:val="center"/>
            <w:hideMark/>
          </w:tcPr>
          <w:p w14:paraId="2557DBE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40.12</w:t>
            </w:r>
          </w:p>
        </w:tc>
        <w:tc>
          <w:tcPr>
            <w:tcW w:w="0" w:type="auto"/>
            <w:tcBorders>
              <w:top w:val="single" w:sz="6" w:space="0" w:color="DDDDDD"/>
            </w:tcBorders>
            <w:vAlign w:val="center"/>
            <w:hideMark/>
          </w:tcPr>
          <w:p w14:paraId="369C06C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vAlign w:val="center"/>
            <w:hideMark/>
          </w:tcPr>
          <w:p w14:paraId="1ABC1227"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vAlign w:val="center"/>
            <w:hideMark/>
          </w:tcPr>
          <w:p w14:paraId="3C11153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vAlign w:val="center"/>
            <w:hideMark/>
          </w:tcPr>
          <w:p w14:paraId="7666ED63"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vAlign w:val="center"/>
            <w:hideMark/>
          </w:tcPr>
          <w:p w14:paraId="65ADE11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vAlign w:val="center"/>
            <w:hideMark/>
          </w:tcPr>
          <w:p w14:paraId="5AA0AEA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vAlign w:val="center"/>
            <w:hideMark/>
          </w:tcPr>
          <w:p w14:paraId="615A310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vAlign w:val="center"/>
            <w:hideMark/>
          </w:tcPr>
          <w:p w14:paraId="5C190336"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r>
      <w:tr w:rsidR="00106B83" w:rsidRPr="00106B83" w14:paraId="0A7C7816" w14:textId="77777777" w:rsidTr="00106B83">
        <w:trPr>
          <w:tblCellSpacing w:w="15" w:type="dxa"/>
        </w:trPr>
        <w:tc>
          <w:tcPr>
            <w:tcW w:w="0" w:type="auto"/>
            <w:tcBorders>
              <w:top w:val="single" w:sz="6" w:space="0" w:color="DDDDDD"/>
            </w:tcBorders>
            <w:shd w:val="clear" w:color="auto" w:fill="F7F7F7"/>
            <w:vAlign w:val="center"/>
            <w:hideMark/>
          </w:tcPr>
          <w:p w14:paraId="10C7A8C6"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Punitive prison goal (% favor)</w:t>
            </w:r>
          </w:p>
        </w:tc>
        <w:tc>
          <w:tcPr>
            <w:tcW w:w="0" w:type="auto"/>
            <w:tcBorders>
              <w:top w:val="single" w:sz="6" w:space="0" w:color="DDDDDD"/>
            </w:tcBorders>
            <w:shd w:val="clear" w:color="auto" w:fill="F7F7F7"/>
            <w:vAlign w:val="center"/>
            <w:hideMark/>
          </w:tcPr>
          <w:p w14:paraId="56A27950"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53.50</w:t>
            </w:r>
          </w:p>
        </w:tc>
        <w:tc>
          <w:tcPr>
            <w:tcW w:w="0" w:type="auto"/>
            <w:tcBorders>
              <w:top w:val="single" w:sz="6" w:space="0" w:color="DDDDDD"/>
            </w:tcBorders>
            <w:shd w:val="clear" w:color="auto" w:fill="F7F7F7"/>
            <w:vAlign w:val="center"/>
            <w:hideMark/>
          </w:tcPr>
          <w:p w14:paraId="3214D38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64046166"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1719611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43AEA3C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1DCE86E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171B065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02CE3190"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3B501683"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r>
      <w:tr w:rsidR="00106B83" w:rsidRPr="00106B83" w14:paraId="016FDC6D" w14:textId="77777777" w:rsidTr="00106B83">
        <w:trPr>
          <w:tblCellSpacing w:w="15" w:type="dxa"/>
        </w:trPr>
        <w:tc>
          <w:tcPr>
            <w:tcW w:w="0" w:type="auto"/>
            <w:tcBorders>
              <w:top w:val="single" w:sz="6" w:space="0" w:color="DDDDDD"/>
            </w:tcBorders>
            <w:vAlign w:val="center"/>
            <w:hideMark/>
          </w:tcPr>
          <w:p w14:paraId="64179BF6"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Felon voting rights (% favor)</w:t>
            </w:r>
          </w:p>
        </w:tc>
        <w:tc>
          <w:tcPr>
            <w:tcW w:w="0" w:type="auto"/>
            <w:tcBorders>
              <w:top w:val="single" w:sz="6" w:space="0" w:color="DDDDDD"/>
            </w:tcBorders>
            <w:vAlign w:val="center"/>
            <w:hideMark/>
          </w:tcPr>
          <w:p w14:paraId="78C7208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76.64</w:t>
            </w:r>
          </w:p>
        </w:tc>
        <w:tc>
          <w:tcPr>
            <w:tcW w:w="0" w:type="auto"/>
            <w:tcBorders>
              <w:top w:val="single" w:sz="6" w:space="0" w:color="DDDDDD"/>
            </w:tcBorders>
            <w:vAlign w:val="center"/>
            <w:hideMark/>
          </w:tcPr>
          <w:p w14:paraId="0A36E389"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p>
        </w:tc>
        <w:tc>
          <w:tcPr>
            <w:tcW w:w="0" w:type="auto"/>
            <w:tcBorders>
              <w:top w:val="single" w:sz="6" w:space="0" w:color="DDDDDD"/>
            </w:tcBorders>
            <w:vAlign w:val="center"/>
            <w:hideMark/>
          </w:tcPr>
          <w:p w14:paraId="76C3BD2F"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p>
        </w:tc>
        <w:tc>
          <w:tcPr>
            <w:tcW w:w="0" w:type="auto"/>
            <w:tcBorders>
              <w:top w:val="single" w:sz="6" w:space="0" w:color="DDDDDD"/>
            </w:tcBorders>
            <w:vAlign w:val="center"/>
            <w:hideMark/>
          </w:tcPr>
          <w:p w14:paraId="4E3D99AD"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p>
        </w:tc>
        <w:tc>
          <w:tcPr>
            <w:tcW w:w="0" w:type="auto"/>
            <w:tcBorders>
              <w:top w:val="single" w:sz="6" w:space="0" w:color="DDDDDD"/>
            </w:tcBorders>
            <w:vAlign w:val="center"/>
            <w:hideMark/>
          </w:tcPr>
          <w:p w14:paraId="2C3D6761"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p>
        </w:tc>
        <w:tc>
          <w:tcPr>
            <w:tcW w:w="0" w:type="auto"/>
            <w:tcBorders>
              <w:top w:val="single" w:sz="6" w:space="0" w:color="DDDDDD"/>
            </w:tcBorders>
            <w:vAlign w:val="center"/>
            <w:hideMark/>
          </w:tcPr>
          <w:p w14:paraId="4AB3AC6F"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p>
        </w:tc>
        <w:tc>
          <w:tcPr>
            <w:tcW w:w="0" w:type="auto"/>
            <w:tcBorders>
              <w:top w:val="single" w:sz="6" w:space="0" w:color="DDDDDD"/>
            </w:tcBorders>
            <w:vAlign w:val="center"/>
            <w:hideMark/>
          </w:tcPr>
          <w:p w14:paraId="69EB0101"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p>
        </w:tc>
        <w:tc>
          <w:tcPr>
            <w:tcW w:w="0" w:type="auto"/>
            <w:tcBorders>
              <w:top w:val="single" w:sz="6" w:space="0" w:color="DDDDDD"/>
            </w:tcBorders>
            <w:vAlign w:val="center"/>
            <w:hideMark/>
          </w:tcPr>
          <w:p w14:paraId="779265AB"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p>
        </w:tc>
        <w:tc>
          <w:tcPr>
            <w:tcW w:w="0" w:type="auto"/>
            <w:tcBorders>
              <w:top w:val="single" w:sz="6" w:space="0" w:color="DDDDDD"/>
            </w:tcBorders>
            <w:vAlign w:val="center"/>
            <w:hideMark/>
          </w:tcPr>
          <w:p w14:paraId="465336F3"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p>
        </w:tc>
      </w:tr>
      <w:tr w:rsidR="00106B83" w:rsidRPr="00106B83" w14:paraId="774D518C" w14:textId="77777777" w:rsidTr="00106B83">
        <w:trPr>
          <w:tblCellSpacing w:w="15" w:type="dxa"/>
        </w:trPr>
        <w:tc>
          <w:tcPr>
            <w:tcW w:w="0" w:type="auto"/>
            <w:tcBorders>
              <w:top w:val="single" w:sz="6" w:space="0" w:color="DDDDDD"/>
            </w:tcBorders>
            <w:shd w:val="clear" w:color="auto" w:fill="F7F7F7"/>
            <w:vAlign w:val="center"/>
            <w:hideMark/>
          </w:tcPr>
          <w:p w14:paraId="3B67F466"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Rehabilitation</w:t>
            </w:r>
          </w:p>
        </w:tc>
        <w:tc>
          <w:tcPr>
            <w:tcW w:w="0" w:type="auto"/>
            <w:tcBorders>
              <w:top w:val="single" w:sz="6" w:space="0" w:color="DDDDDD"/>
            </w:tcBorders>
            <w:shd w:val="clear" w:color="auto" w:fill="F7F7F7"/>
            <w:vAlign w:val="center"/>
            <w:hideMark/>
          </w:tcPr>
          <w:p w14:paraId="1E17CCB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4.19</w:t>
            </w:r>
          </w:p>
        </w:tc>
        <w:tc>
          <w:tcPr>
            <w:tcW w:w="0" w:type="auto"/>
            <w:tcBorders>
              <w:top w:val="single" w:sz="6" w:space="0" w:color="DDDDDD"/>
            </w:tcBorders>
            <w:shd w:val="clear" w:color="auto" w:fill="F7F7F7"/>
            <w:vAlign w:val="center"/>
            <w:hideMark/>
          </w:tcPr>
          <w:p w14:paraId="1216523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1.02</w:t>
            </w:r>
          </w:p>
        </w:tc>
        <w:tc>
          <w:tcPr>
            <w:tcW w:w="0" w:type="auto"/>
            <w:tcBorders>
              <w:top w:val="single" w:sz="6" w:space="0" w:color="DDDDDD"/>
            </w:tcBorders>
            <w:shd w:val="clear" w:color="auto" w:fill="F7F7F7"/>
            <w:vAlign w:val="center"/>
            <w:hideMark/>
          </w:tcPr>
          <w:p w14:paraId="7D5DD75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141BBF2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0781608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09613D0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726F773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393E0107"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1ABA474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r>
      <w:tr w:rsidR="00106B83" w:rsidRPr="00106B83" w14:paraId="195B77F2" w14:textId="77777777" w:rsidTr="00106B83">
        <w:trPr>
          <w:tblCellSpacing w:w="15" w:type="dxa"/>
        </w:trPr>
        <w:tc>
          <w:tcPr>
            <w:tcW w:w="0" w:type="auto"/>
            <w:tcBorders>
              <w:top w:val="single" w:sz="6" w:space="0" w:color="DDDDDD"/>
            </w:tcBorders>
            <w:vAlign w:val="center"/>
            <w:hideMark/>
          </w:tcPr>
          <w:p w14:paraId="6C3E5122"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Ban-the-box (% favor)</w:t>
            </w:r>
          </w:p>
        </w:tc>
        <w:tc>
          <w:tcPr>
            <w:tcW w:w="0" w:type="auto"/>
            <w:tcBorders>
              <w:top w:val="single" w:sz="6" w:space="0" w:color="DDDDDD"/>
            </w:tcBorders>
            <w:vAlign w:val="center"/>
            <w:hideMark/>
          </w:tcPr>
          <w:p w14:paraId="2DBB672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64.72</w:t>
            </w:r>
          </w:p>
        </w:tc>
        <w:tc>
          <w:tcPr>
            <w:tcW w:w="0" w:type="auto"/>
            <w:tcBorders>
              <w:top w:val="single" w:sz="6" w:space="0" w:color="DDDDDD"/>
            </w:tcBorders>
            <w:vAlign w:val="center"/>
            <w:hideMark/>
          </w:tcPr>
          <w:p w14:paraId="09705ED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vAlign w:val="center"/>
            <w:hideMark/>
          </w:tcPr>
          <w:p w14:paraId="36F32FA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vAlign w:val="center"/>
            <w:hideMark/>
          </w:tcPr>
          <w:p w14:paraId="2A76FEF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vAlign w:val="center"/>
            <w:hideMark/>
          </w:tcPr>
          <w:p w14:paraId="321F3A0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vAlign w:val="center"/>
            <w:hideMark/>
          </w:tcPr>
          <w:p w14:paraId="73019CD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vAlign w:val="center"/>
            <w:hideMark/>
          </w:tcPr>
          <w:p w14:paraId="1FE9F750"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vAlign w:val="center"/>
            <w:hideMark/>
          </w:tcPr>
          <w:p w14:paraId="6DC1756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vAlign w:val="center"/>
            <w:hideMark/>
          </w:tcPr>
          <w:p w14:paraId="31C2CDB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r>
      <w:tr w:rsidR="00106B83" w:rsidRPr="00106B83" w14:paraId="068F1AA4" w14:textId="77777777" w:rsidTr="00106B83">
        <w:trPr>
          <w:tblCellSpacing w:w="15" w:type="dxa"/>
        </w:trPr>
        <w:tc>
          <w:tcPr>
            <w:tcW w:w="0" w:type="auto"/>
            <w:tcBorders>
              <w:top w:val="single" w:sz="6" w:space="0" w:color="DDDDDD"/>
            </w:tcBorders>
            <w:shd w:val="clear" w:color="auto" w:fill="F7F7F7"/>
            <w:vAlign w:val="center"/>
            <w:hideMark/>
          </w:tcPr>
          <w:p w14:paraId="65153FCD"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Expungement (% favor)</w:t>
            </w:r>
          </w:p>
        </w:tc>
        <w:tc>
          <w:tcPr>
            <w:tcW w:w="0" w:type="auto"/>
            <w:tcBorders>
              <w:top w:val="single" w:sz="6" w:space="0" w:color="DDDDDD"/>
            </w:tcBorders>
            <w:shd w:val="clear" w:color="auto" w:fill="F7F7F7"/>
            <w:vAlign w:val="center"/>
            <w:hideMark/>
          </w:tcPr>
          <w:p w14:paraId="7B3D80D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45.06</w:t>
            </w:r>
          </w:p>
        </w:tc>
        <w:tc>
          <w:tcPr>
            <w:tcW w:w="0" w:type="auto"/>
            <w:tcBorders>
              <w:top w:val="single" w:sz="6" w:space="0" w:color="DDDDDD"/>
            </w:tcBorders>
            <w:shd w:val="clear" w:color="auto" w:fill="F7F7F7"/>
            <w:vAlign w:val="center"/>
            <w:hideMark/>
          </w:tcPr>
          <w:p w14:paraId="0184FBD3"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65BD6BD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2EDF456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4675DF4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33045BE0"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49455E1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05387227"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6180000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r>
      <w:tr w:rsidR="00106B83" w:rsidRPr="00106B83" w14:paraId="33047C02" w14:textId="77777777" w:rsidTr="00106B83">
        <w:trPr>
          <w:tblCellSpacing w:w="15" w:type="dxa"/>
        </w:trPr>
        <w:tc>
          <w:tcPr>
            <w:tcW w:w="0" w:type="auto"/>
            <w:gridSpan w:val="10"/>
            <w:tcBorders>
              <w:top w:val="single" w:sz="6" w:space="0" w:color="DDDDDD"/>
            </w:tcBorders>
            <w:vAlign w:val="center"/>
            <w:hideMark/>
          </w:tcPr>
          <w:p w14:paraId="3AFDBB3A"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Independent variable</w:t>
            </w:r>
          </w:p>
        </w:tc>
      </w:tr>
      <w:tr w:rsidR="00106B83" w:rsidRPr="00106B83" w14:paraId="2ECC11E9" w14:textId="77777777" w:rsidTr="00106B83">
        <w:trPr>
          <w:tblCellSpacing w:w="15" w:type="dxa"/>
        </w:trPr>
        <w:tc>
          <w:tcPr>
            <w:tcW w:w="0" w:type="auto"/>
            <w:tcBorders>
              <w:top w:val="single" w:sz="6" w:space="0" w:color="DDDDDD"/>
            </w:tcBorders>
            <w:shd w:val="clear" w:color="auto" w:fill="F7F7F7"/>
            <w:vAlign w:val="center"/>
            <w:hideMark/>
          </w:tcPr>
          <w:p w14:paraId="4E162DB2"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Redeemability</w:t>
            </w:r>
          </w:p>
        </w:tc>
        <w:tc>
          <w:tcPr>
            <w:tcW w:w="0" w:type="auto"/>
            <w:tcBorders>
              <w:top w:val="single" w:sz="6" w:space="0" w:color="DDDDDD"/>
            </w:tcBorders>
            <w:shd w:val="clear" w:color="auto" w:fill="F7F7F7"/>
            <w:vAlign w:val="center"/>
            <w:hideMark/>
          </w:tcPr>
          <w:p w14:paraId="43E3DEC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3.56</w:t>
            </w:r>
          </w:p>
        </w:tc>
        <w:tc>
          <w:tcPr>
            <w:tcW w:w="0" w:type="auto"/>
            <w:tcBorders>
              <w:top w:val="single" w:sz="6" w:space="0" w:color="DDDDDD"/>
            </w:tcBorders>
            <w:shd w:val="clear" w:color="auto" w:fill="F7F7F7"/>
            <w:vAlign w:val="center"/>
            <w:hideMark/>
          </w:tcPr>
          <w:p w14:paraId="17E56AD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0.87</w:t>
            </w:r>
          </w:p>
        </w:tc>
        <w:tc>
          <w:tcPr>
            <w:tcW w:w="0" w:type="auto"/>
            <w:tcBorders>
              <w:top w:val="single" w:sz="6" w:space="0" w:color="DDDDDD"/>
            </w:tcBorders>
            <w:shd w:val="clear" w:color="auto" w:fill="F7F7F7"/>
            <w:vAlign w:val="center"/>
            <w:hideMark/>
          </w:tcPr>
          <w:p w14:paraId="57402340"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−.41</w:t>
            </w:r>
            <w:hyperlink r:id="rId99" w:anchor="table-fn1-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shd w:val="clear" w:color="auto" w:fill="F7F7F7"/>
            <w:vAlign w:val="center"/>
            <w:hideMark/>
          </w:tcPr>
          <w:p w14:paraId="52953F17"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−.44</w:t>
            </w:r>
            <w:hyperlink r:id="rId100" w:anchor="table-fn1-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shd w:val="clear" w:color="auto" w:fill="F7F7F7"/>
            <w:vAlign w:val="center"/>
            <w:hideMark/>
          </w:tcPr>
          <w:p w14:paraId="42A24453"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−.45</w:t>
            </w:r>
            <w:hyperlink r:id="rId101" w:anchor="table-fn1-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shd w:val="clear" w:color="auto" w:fill="F7F7F7"/>
            <w:vAlign w:val="center"/>
            <w:hideMark/>
          </w:tcPr>
          <w:p w14:paraId="6623FE5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.69</w:t>
            </w:r>
            <w:hyperlink r:id="rId102" w:anchor="table-fn1-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shd w:val="clear" w:color="auto" w:fill="F7F7F7"/>
            <w:vAlign w:val="center"/>
            <w:hideMark/>
          </w:tcPr>
          <w:p w14:paraId="0DE22A4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.32</w:t>
            </w:r>
            <w:hyperlink r:id="rId103" w:anchor="table-fn1-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shd w:val="clear" w:color="auto" w:fill="F7F7F7"/>
            <w:vAlign w:val="center"/>
            <w:hideMark/>
          </w:tcPr>
          <w:p w14:paraId="387D90C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.37</w:t>
            </w:r>
            <w:hyperlink r:id="rId104" w:anchor="table-fn1-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shd w:val="clear" w:color="auto" w:fill="F7F7F7"/>
            <w:vAlign w:val="center"/>
            <w:hideMark/>
          </w:tcPr>
          <w:p w14:paraId="44273293"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.38</w:t>
            </w:r>
            <w:hyperlink r:id="rId105" w:anchor="table-fn1-0093854820913585" w:history="1">
              <w:r w:rsidRPr="00106B83">
                <w:rPr>
                  <w:rFonts w:ascii="Times New Roman" w:hAnsi="Times New Roman"/>
                  <w:color w:val="046FF8"/>
                  <w:kern w:val="0"/>
                  <w:sz w:val="24"/>
                  <w:u w:val="single"/>
                  <w14:ligatures w14:val="none"/>
                </w:rPr>
                <w:t>*</w:t>
              </w:r>
            </w:hyperlink>
          </w:p>
        </w:tc>
      </w:tr>
      <w:tr w:rsidR="00106B83" w:rsidRPr="00106B83" w14:paraId="2812F6D3" w14:textId="77777777" w:rsidTr="00106B83">
        <w:trPr>
          <w:tblCellSpacing w:w="15" w:type="dxa"/>
        </w:trPr>
        <w:tc>
          <w:tcPr>
            <w:tcW w:w="0" w:type="auto"/>
            <w:gridSpan w:val="10"/>
            <w:tcBorders>
              <w:top w:val="single" w:sz="6" w:space="0" w:color="DDDDDD"/>
            </w:tcBorders>
            <w:vAlign w:val="center"/>
            <w:hideMark/>
          </w:tcPr>
          <w:p w14:paraId="65D7EFAF"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Control variables</w:t>
            </w:r>
          </w:p>
        </w:tc>
      </w:tr>
      <w:tr w:rsidR="00106B83" w:rsidRPr="00106B83" w14:paraId="6628AF27" w14:textId="77777777" w:rsidTr="00106B83">
        <w:trPr>
          <w:tblCellSpacing w:w="15" w:type="dxa"/>
        </w:trPr>
        <w:tc>
          <w:tcPr>
            <w:tcW w:w="0" w:type="auto"/>
            <w:tcBorders>
              <w:top w:val="single" w:sz="6" w:space="0" w:color="DDDDDD"/>
            </w:tcBorders>
            <w:shd w:val="clear" w:color="auto" w:fill="F7F7F7"/>
            <w:vAlign w:val="center"/>
            <w:hideMark/>
          </w:tcPr>
          <w:p w14:paraId="7A93C5DB"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Republican (%)</w:t>
            </w:r>
          </w:p>
        </w:tc>
        <w:tc>
          <w:tcPr>
            <w:tcW w:w="0" w:type="auto"/>
            <w:tcBorders>
              <w:top w:val="single" w:sz="6" w:space="0" w:color="DDDDDD"/>
            </w:tcBorders>
            <w:shd w:val="clear" w:color="auto" w:fill="F7F7F7"/>
            <w:vAlign w:val="center"/>
            <w:hideMark/>
          </w:tcPr>
          <w:p w14:paraId="121A4E2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23.46</w:t>
            </w:r>
          </w:p>
        </w:tc>
        <w:tc>
          <w:tcPr>
            <w:tcW w:w="0" w:type="auto"/>
            <w:tcBorders>
              <w:top w:val="single" w:sz="6" w:space="0" w:color="DDDDDD"/>
            </w:tcBorders>
            <w:shd w:val="clear" w:color="auto" w:fill="F7F7F7"/>
            <w:vAlign w:val="center"/>
            <w:hideMark/>
          </w:tcPr>
          <w:p w14:paraId="1635281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104F4F0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.19</w:t>
            </w:r>
            <w:hyperlink r:id="rId106" w:anchor="table-fn1-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shd w:val="clear" w:color="auto" w:fill="F7F7F7"/>
            <w:vAlign w:val="center"/>
            <w:hideMark/>
          </w:tcPr>
          <w:p w14:paraId="4D9859A6"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.17</w:t>
            </w:r>
            <w:hyperlink r:id="rId107" w:anchor="table-fn1-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shd w:val="clear" w:color="auto" w:fill="F7F7F7"/>
            <w:vAlign w:val="center"/>
            <w:hideMark/>
          </w:tcPr>
          <w:p w14:paraId="68B40A6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.14</w:t>
            </w:r>
            <w:hyperlink r:id="rId108" w:anchor="table-fn1-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shd w:val="clear" w:color="auto" w:fill="F7F7F7"/>
            <w:vAlign w:val="center"/>
            <w:hideMark/>
          </w:tcPr>
          <w:p w14:paraId="5E00B84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−.22</w:t>
            </w:r>
            <w:hyperlink r:id="rId109" w:anchor="table-fn1-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shd w:val="clear" w:color="auto" w:fill="F7F7F7"/>
            <w:vAlign w:val="center"/>
            <w:hideMark/>
          </w:tcPr>
          <w:p w14:paraId="5CA9B2D0"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−.11</w:t>
            </w:r>
            <w:hyperlink r:id="rId110" w:anchor="table-fn1-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shd w:val="clear" w:color="auto" w:fill="F7F7F7"/>
            <w:vAlign w:val="center"/>
            <w:hideMark/>
          </w:tcPr>
          <w:p w14:paraId="753DB28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−.14</w:t>
            </w:r>
            <w:hyperlink r:id="rId111" w:anchor="table-fn1-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shd w:val="clear" w:color="auto" w:fill="F7F7F7"/>
            <w:vAlign w:val="center"/>
            <w:hideMark/>
          </w:tcPr>
          <w:p w14:paraId="5AF78EA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−.20</w:t>
            </w:r>
            <w:hyperlink r:id="rId112" w:anchor="table-fn1-0093854820913585" w:history="1">
              <w:r w:rsidRPr="00106B83">
                <w:rPr>
                  <w:rFonts w:ascii="Times New Roman" w:hAnsi="Times New Roman"/>
                  <w:color w:val="046FF8"/>
                  <w:kern w:val="0"/>
                  <w:sz w:val="24"/>
                  <w:u w:val="single"/>
                  <w14:ligatures w14:val="none"/>
                </w:rPr>
                <w:t>*</w:t>
              </w:r>
            </w:hyperlink>
          </w:p>
        </w:tc>
      </w:tr>
      <w:tr w:rsidR="00106B83" w:rsidRPr="00106B83" w14:paraId="28815E4D" w14:textId="77777777" w:rsidTr="00106B83">
        <w:trPr>
          <w:tblCellSpacing w:w="15" w:type="dxa"/>
        </w:trPr>
        <w:tc>
          <w:tcPr>
            <w:tcW w:w="0" w:type="auto"/>
            <w:tcBorders>
              <w:top w:val="single" w:sz="6" w:space="0" w:color="DDDDDD"/>
            </w:tcBorders>
            <w:vAlign w:val="center"/>
            <w:hideMark/>
          </w:tcPr>
          <w:p w14:paraId="41D44921"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Conservatism (%)</w:t>
            </w:r>
          </w:p>
        </w:tc>
        <w:tc>
          <w:tcPr>
            <w:tcW w:w="0" w:type="auto"/>
            <w:tcBorders>
              <w:top w:val="single" w:sz="6" w:space="0" w:color="DDDDDD"/>
            </w:tcBorders>
            <w:vAlign w:val="center"/>
            <w:hideMark/>
          </w:tcPr>
          <w:p w14:paraId="0806484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34.66</w:t>
            </w:r>
          </w:p>
        </w:tc>
        <w:tc>
          <w:tcPr>
            <w:tcW w:w="0" w:type="auto"/>
            <w:tcBorders>
              <w:top w:val="single" w:sz="6" w:space="0" w:color="DDDDDD"/>
            </w:tcBorders>
            <w:vAlign w:val="center"/>
            <w:hideMark/>
          </w:tcPr>
          <w:p w14:paraId="740FF56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vAlign w:val="center"/>
            <w:hideMark/>
          </w:tcPr>
          <w:p w14:paraId="23475FC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.29</w:t>
            </w:r>
            <w:hyperlink r:id="rId113" w:anchor="table-fn1-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vAlign w:val="center"/>
            <w:hideMark/>
          </w:tcPr>
          <w:p w14:paraId="0432B8B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.22</w:t>
            </w:r>
            <w:hyperlink r:id="rId114" w:anchor="table-fn1-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vAlign w:val="center"/>
            <w:hideMark/>
          </w:tcPr>
          <w:p w14:paraId="28E48F9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.23</w:t>
            </w:r>
            <w:hyperlink r:id="rId115" w:anchor="table-fn1-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vAlign w:val="center"/>
            <w:hideMark/>
          </w:tcPr>
          <w:p w14:paraId="636517D3"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−.31</w:t>
            </w:r>
            <w:hyperlink r:id="rId116" w:anchor="table-fn1-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vAlign w:val="center"/>
            <w:hideMark/>
          </w:tcPr>
          <w:p w14:paraId="384FEB8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−.21</w:t>
            </w:r>
            <w:hyperlink r:id="rId117" w:anchor="table-fn1-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vAlign w:val="center"/>
            <w:hideMark/>
          </w:tcPr>
          <w:p w14:paraId="6D0C10E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−.22</w:t>
            </w:r>
            <w:hyperlink r:id="rId118" w:anchor="table-fn1-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vAlign w:val="center"/>
            <w:hideMark/>
          </w:tcPr>
          <w:p w14:paraId="02F267B6"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−.28</w:t>
            </w:r>
            <w:hyperlink r:id="rId119" w:anchor="table-fn1-0093854820913585" w:history="1">
              <w:r w:rsidRPr="00106B83">
                <w:rPr>
                  <w:rFonts w:ascii="Times New Roman" w:hAnsi="Times New Roman"/>
                  <w:color w:val="046FF8"/>
                  <w:kern w:val="0"/>
                  <w:sz w:val="24"/>
                  <w:u w:val="single"/>
                  <w14:ligatures w14:val="none"/>
                </w:rPr>
                <w:t>*</w:t>
              </w:r>
            </w:hyperlink>
          </w:p>
        </w:tc>
      </w:tr>
      <w:tr w:rsidR="00106B83" w:rsidRPr="00106B83" w14:paraId="217F086F" w14:textId="77777777" w:rsidTr="00106B83">
        <w:trPr>
          <w:tblCellSpacing w:w="15" w:type="dxa"/>
        </w:trPr>
        <w:tc>
          <w:tcPr>
            <w:tcW w:w="0" w:type="auto"/>
            <w:tcBorders>
              <w:top w:val="single" w:sz="6" w:space="0" w:color="DDDDDD"/>
            </w:tcBorders>
            <w:shd w:val="clear" w:color="auto" w:fill="F7F7F7"/>
            <w:vAlign w:val="center"/>
            <w:hideMark/>
          </w:tcPr>
          <w:p w14:paraId="060B77C3"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Religiosity</w:t>
            </w:r>
          </w:p>
        </w:tc>
        <w:tc>
          <w:tcPr>
            <w:tcW w:w="0" w:type="auto"/>
            <w:tcBorders>
              <w:top w:val="single" w:sz="6" w:space="0" w:color="DDDDDD"/>
            </w:tcBorders>
            <w:shd w:val="clear" w:color="auto" w:fill="F7F7F7"/>
            <w:vAlign w:val="center"/>
            <w:hideMark/>
          </w:tcPr>
          <w:p w14:paraId="00FE186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0.01</w:t>
            </w:r>
          </w:p>
        </w:tc>
        <w:tc>
          <w:tcPr>
            <w:tcW w:w="0" w:type="auto"/>
            <w:tcBorders>
              <w:top w:val="single" w:sz="6" w:space="0" w:color="DDDDDD"/>
            </w:tcBorders>
            <w:shd w:val="clear" w:color="auto" w:fill="F7F7F7"/>
            <w:vAlign w:val="center"/>
            <w:hideMark/>
          </w:tcPr>
          <w:p w14:paraId="2EFB19D6"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0.81</w:t>
            </w:r>
          </w:p>
        </w:tc>
        <w:tc>
          <w:tcPr>
            <w:tcW w:w="0" w:type="auto"/>
            <w:tcBorders>
              <w:top w:val="single" w:sz="6" w:space="0" w:color="DDDDDD"/>
            </w:tcBorders>
            <w:shd w:val="clear" w:color="auto" w:fill="F7F7F7"/>
            <w:vAlign w:val="center"/>
            <w:hideMark/>
          </w:tcPr>
          <w:p w14:paraId="721AE83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w:t>
            </w:r>
          </w:p>
        </w:tc>
        <w:tc>
          <w:tcPr>
            <w:tcW w:w="0" w:type="auto"/>
            <w:tcBorders>
              <w:top w:val="single" w:sz="6" w:space="0" w:color="DDDDDD"/>
            </w:tcBorders>
            <w:shd w:val="clear" w:color="auto" w:fill="F7F7F7"/>
            <w:vAlign w:val="center"/>
            <w:hideMark/>
          </w:tcPr>
          <w:p w14:paraId="0D4BFB56"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.13</w:t>
            </w:r>
            <w:hyperlink r:id="rId120" w:anchor="table-fn1-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shd w:val="clear" w:color="auto" w:fill="F7F7F7"/>
            <w:vAlign w:val="center"/>
            <w:hideMark/>
          </w:tcPr>
          <w:p w14:paraId="36F5D0A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.08</w:t>
            </w:r>
          </w:p>
        </w:tc>
        <w:tc>
          <w:tcPr>
            <w:tcW w:w="0" w:type="auto"/>
            <w:tcBorders>
              <w:top w:val="single" w:sz="6" w:space="0" w:color="DDDDDD"/>
            </w:tcBorders>
            <w:shd w:val="clear" w:color="auto" w:fill="F7F7F7"/>
            <w:vAlign w:val="center"/>
            <w:hideMark/>
          </w:tcPr>
          <w:p w14:paraId="0F52A2A3"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−.16</w:t>
            </w:r>
            <w:hyperlink r:id="rId121" w:anchor="table-fn1-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shd w:val="clear" w:color="auto" w:fill="F7F7F7"/>
            <w:vAlign w:val="center"/>
            <w:hideMark/>
          </w:tcPr>
          <w:p w14:paraId="70360660"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−.07</w:t>
            </w:r>
          </w:p>
        </w:tc>
        <w:tc>
          <w:tcPr>
            <w:tcW w:w="0" w:type="auto"/>
            <w:tcBorders>
              <w:top w:val="single" w:sz="6" w:space="0" w:color="DDDDDD"/>
            </w:tcBorders>
            <w:shd w:val="clear" w:color="auto" w:fill="F7F7F7"/>
            <w:vAlign w:val="center"/>
            <w:hideMark/>
          </w:tcPr>
          <w:p w14:paraId="639F95C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−.06</w:t>
            </w:r>
          </w:p>
        </w:tc>
        <w:tc>
          <w:tcPr>
            <w:tcW w:w="0" w:type="auto"/>
            <w:tcBorders>
              <w:top w:val="single" w:sz="6" w:space="0" w:color="DDDDDD"/>
            </w:tcBorders>
            <w:shd w:val="clear" w:color="auto" w:fill="F7F7F7"/>
            <w:vAlign w:val="center"/>
            <w:hideMark/>
          </w:tcPr>
          <w:p w14:paraId="7C4295F0"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−.11</w:t>
            </w:r>
            <w:hyperlink r:id="rId122" w:anchor="table-fn1-0093854820913585" w:history="1">
              <w:r w:rsidRPr="00106B83">
                <w:rPr>
                  <w:rFonts w:ascii="Times New Roman" w:hAnsi="Times New Roman"/>
                  <w:color w:val="046FF8"/>
                  <w:kern w:val="0"/>
                  <w:sz w:val="24"/>
                  <w:u w:val="single"/>
                  <w14:ligatures w14:val="none"/>
                </w:rPr>
                <w:t>*</w:t>
              </w:r>
            </w:hyperlink>
          </w:p>
        </w:tc>
      </w:tr>
      <w:tr w:rsidR="00106B83" w:rsidRPr="00106B83" w14:paraId="38F8FDFA" w14:textId="77777777" w:rsidTr="00106B83">
        <w:trPr>
          <w:tblCellSpacing w:w="15" w:type="dxa"/>
        </w:trPr>
        <w:tc>
          <w:tcPr>
            <w:tcW w:w="0" w:type="auto"/>
            <w:tcBorders>
              <w:top w:val="single" w:sz="6" w:space="0" w:color="DDDDDD"/>
            </w:tcBorders>
            <w:vAlign w:val="center"/>
            <w:hideMark/>
          </w:tcPr>
          <w:p w14:paraId="217341B3"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Married (%)</w:t>
            </w:r>
          </w:p>
        </w:tc>
        <w:tc>
          <w:tcPr>
            <w:tcW w:w="0" w:type="auto"/>
            <w:tcBorders>
              <w:top w:val="single" w:sz="6" w:space="0" w:color="DDDDDD"/>
            </w:tcBorders>
            <w:vAlign w:val="center"/>
            <w:hideMark/>
          </w:tcPr>
          <w:p w14:paraId="5DAC2C6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44.10</w:t>
            </w:r>
          </w:p>
        </w:tc>
        <w:tc>
          <w:tcPr>
            <w:tcW w:w="0" w:type="auto"/>
            <w:tcBorders>
              <w:top w:val="single" w:sz="6" w:space="0" w:color="DDDDDD"/>
            </w:tcBorders>
            <w:vAlign w:val="center"/>
            <w:hideMark/>
          </w:tcPr>
          <w:p w14:paraId="3130EE26"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vAlign w:val="center"/>
            <w:hideMark/>
          </w:tcPr>
          <w:p w14:paraId="3D2CE326"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.08</w:t>
            </w:r>
          </w:p>
        </w:tc>
        <w:tc>
          <w:tcPr>
            <w:tcW w:w="0" w:type="auto"/>
            <w:tcBorders>
              <w:top w:val="single" w:sz="6" w:space="0" w:color="DDDDDD"/>
            </w:tcBorders>
            <w:vAlign w:val="center"/>
            <w:hideMark/>
          </w:tcPr>
          <w:p w14:paraId="7E12FD3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.08</w:t>
            </w:r>
          </w:p>
        </w:tc>
        <w:tc>
          <w:tcPr>
            <w:tcW w:w="0" w:type="auto"/>
            <w:tcBorders>
              <w:top w:val="single" w:sz="6" w:space="0" w:color="DDDDDD"/>
            </w:tcBorders>
            <w:vAlign w:val="center"/>
            <w:hideMark/>
          </w:tcPr>
          <w:p w14:paraId="398A4EE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.05</w:t>
            </w:r>
          </w:p>
        </w:tc>
        <w:tc>
          <w:tcPr>
            <w:tcW w:w="0" w:type="auto"/>
            <w:tcBorders>
              <w:top w:val="single" w:sz="6" w:space="0" w:color="DDDDDD"/>
            </w:tcBorders>
            <w:vAlign w:val="center"/>
            <w:hideMark/>
          </w:tcPr>
          <w:p w14:paraId="0A02A973"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−.12</w:t>
            </w:r>
            <w:hyperlink r:id="rId123" w:anchor="table-fn1-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vAlign w:val="center"/>
            <w:hideMark/>
          </w:tcPr>
          <w:p w14:paraId="232B61F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−.02</w:t>
            </w:r>
          </w:p>
        </w:tc>
        <w:tc>
          <w:tcPr>
            <w:tcW w:w="0" w:type="auto"/>
            <w:tcBorders>
              <w:top w:val="single" w:sz="6" w:space="0" w:color="DDDDDD"/>
            </w:tcBorders>
            <w:vAlign w:val="center"/>
            <w:hideMark/>
          </w:tcPr>
          <w:p w14:paraId="525A1B9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w:t>
            </w:r>
          </w:p>
        </w:tc>
        <w:tc>
          <w:tcPr>
            <w:tcW w:w="0" w:type="auto"/>
            <w:tcBorders>
              <w:top w:val="single" w:sz="6" w:space="0" w:color="DDDDDD"/>
            </w:tcBorders>
            <w:vAlign w:val="center"/>
            <w:hideMark/>
          </w:tcPr>
          <w:p w14:paraId="65E262E6"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−.07</w:t>
            </w:r>
          </w:p>
        </w:tc>
      </w:tr>
      <w:tr w:rsidR="00106B83" w:rsidRPr="00106B83" w14:paraId="755F1864" w14:textId="77777777" w:rsidTr="00106B83">
        <w:trPr>
          <w:tblCellSpacing w:w="15" w:type="dxa"/>
        </w:trPr>
        <w:tc>
          <w:tcPr>
            <w:tcW w:w="0" w:type="auto"/>
            <w:tcBorders>
              <w:top w:val="single" w:sz="6" w:space="0" w:color="DDDDDD"/>
            </w:tcBorders>
            <w:shd w:val="clear" w:color="auto" w:fill="F7F7F7"/>
            <w:vAlign w:val="center"/>
            <w:hideMark/>
          </w:tcPr>
          <w:p w14:paraId="4334334A"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Child in residence (%)</w:t>
            </w:r>
          </w:p>
        </w:tc>
        <w:tc>
          <w:tcPr>
            <w:tcW w:w="0" w:type="auto"/>
            <w:tcBorders>
              <w:top w:val="single" w:sz="6" w:space="0" w:color="DDDDDD"/>
            </w:tcBorders>
            <w:shd w:val="clear" w:color="auto" w:fill="F7F7F7"/>
            <w:vAlign w:val="center"/>
            <w:hideMark/>
          </w:tcPr>
          <w:p w14:paraId="44A0850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24.64</w:t>
            </w:r>
          </w:p>
        </w:tc>
        <w:tc>
          <w:tcPr>
            <w:tcW w:w="0" w:type="auto"/>
            <w:tcBorders>
              <w:top w:val="single" w:sz="6" w:space="0" w:color="DDDDDD"/>
            </w:tcBorders>
            <w:shd w:val="clear" w:color="auto" w:fill="F7F7F7"/>
            <w:vAlign w:val="center"/>
            <w:hideMark/>
          </w:tcPr>
          <w:p w14:paraId="5D1D6ED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4D32C2A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.07</w:t>
            </w:r>
          </w:p>
        </w:tc>
        <w:tc>
          <w:tcPr>
            <w:tcW w:w="0" w:type="auto"/>
            <w:tcBorders>
              <w:top w:val="single" w:sz="6" w:space="0" w:color="DDDDDD"/>
            </w:tcBorders>
            <w:shd w:val="clear" w:color="auto" w:fill="F7F7F7"/>
            <w:vAlign w:val="center"/>
            <w:hideMark/>
          </w:tcPr>
          <w:p w14:paraId="2F62DE4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.01</w:t>
            </w:r>
          </w:p>
        </w:tc>
        <w:tc>
          <w:tcPr>
            <w:tcW w:w="0" w:type="auto"/>
            <w:tcBorders>
              <w:top w:val="single" w:sz="6" w:space="0" w:color="DDDDDD"/>
            </w:tcBorders>
            <w:shd w:val="clear" w:color="auto" w:fill="F7F7F7"/>
            <w:vAlign w:val="center"/>
            <w:hideMark/>
          </w:tcPr>
          <w:p w14:paraId="7EF73B6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−.01</w:t>
            </w:r>
          </w:p>
        </w:tc>
        <w:tc>
          <w:tcPr>
            <w:tcW w:w="0" w:type="auto"/>
            <w:tcBorders>
              <w:top w:val="single" w:sz="6" w:space="0" w:color="DDDDDD"/>
            </w:tcBorders>
            <w:shd w:val="clear" w:color="auto" w:fill="F7F7F7"/>
            <w:vAlign w:val="center"/>
            <w:hideMark/>
          </w:tcPr>
          <w:p w14:paraId="6DAF2C9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−.05</w:t>
            </w:r>
          </w:p>
        </w:tc>
        <w:tc>
          <w:tcPr>
            <w:tcW w:w="0" w:type="auto"/>
            <w:tcBorders>
              <w:top w:val="single" w:sz="6" w:space="0" w:color="DDDDDD"/>
            </w:tcBorders>
            <w:shd w:val="clear" w:color="auto" w:fill="F7F7F7"/>
            <w:vAlign w:val="center"/>
            <w:hideMark/>
          </w:tcPr>
          <w:p w14:paraId="744FA4C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−.01</w:t>
            </w:r>
          </w:p>
        </w:tc>
        <w:tc>
          <w:tcPr>
            <w:tcW w:w="0" w:type="auto"/>
            <w:tcBorders>
              <w:top w:val="single" w:sz="6" w:space="0" w:color="DDDDDD"/>
            </w:tcBorders>
            <w:shd w:val="clear" w:color="auto" w:fill="F7F7F7"/>
            <w:vAlign w:val="center"/>
            <w:hideMark/>
          </w:tcPr>
          <w:p w14:paraId="2E7252F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.03</w:t>
            </w:r>
          </w:p>
        </w:tc>
        <w:tc>
          <w:tcPr>
            <w:tcW w:w="0" w:type="auto"/>
            <w:tcBorders>
              <w:top w:val="single" w:sz="6" w:space="0" w:color="DDDDDD"/>
            </w:tcBorders>
            <w:shd w:val="clear" w:color="auto" w:fill="F7F7F7"/>
            <w:vAlign w:val="center"/>
            <w:hideMark/>
          </w:tcPr>
          <w:p w14:paraId="72E5CFB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−.04</w:t>
            </w:r>
          </w:p>
        </w:tc>
      </w:tr>
      <w:tr w:rsidR="00106B83" w:rsidRPr="00106B83" w14:paraId="275DAD68" w14:textId="77777777" w:rsidTr="00106B83">
        <w:trPr>
          <w:tblCellSpacing w:w="15" w:type="dxa"/>
        </w:trPr>
        <w:tc>
          <w:tcPr>
            <w:tcW w:w="0" w:type="auto"/>
            <w:tcBorders>
              <w:top w:val="single" w:sz="6" w:space="0" w:color="DDDDDD"/>
            </w:tcBorders>
            <w:vAlign w:val="center"/>
            <w:hideMark/>
          </w:tcPr>
          <w:p w14:paraId="5C379E0D"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Southerner (%)</w:t>
            </w:r>
          </w:p>
        </w:tc>
        <w:tc>
          <w:tcPr>
            <w:tcW w:w="0" w:type="auto"/>
            <w:tcBorders>
              <w:top w:val="single" w:sz="6" w:space="0" w:color="DDDDDD"/>
            </w:tcBorders>
            <w:vAlign w:val="center"/>
            <w:hideMark/>
          </w:tcPr>
          <w:p w14:paraId="5CB73DF3"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36.00</w:t>
            </w:r>
          </w:p>
        </w:tc>
        <w:tc>
          <w:tcPr>
            <w:tcW w:w="0" w:type="auto"/>
            <w:tcBorders>
              <w:top w:val="single" w:sz="6" w:space="0" w:color="DDDDDD"/>
            </w:tcBorders>
            <w:vAlign w:val="center"/>
            <w:hideMark/>
          </w:tcPr>
          <w:p w14:paraId="7CD07C53"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vAlign w:val="center"/>
            <w:hideMark/>
          </w:tcPr>
          <w:p w14:paraId="653E6F5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−.01</w:t>
            </w:r>
          </w:p>
        </w:tc>
        <w:tc>
          <w:tcPr>
            <w:tcW w:w="0" w:type="auto"/>
            <w:tcBorders>
              <w:top w:val="single" w:sz="6" w:space="0" w:color="DDDDDD"/>
            </w:tcBorders>
            <w:vAlign w:val="center"/>
            <w:hideMark/>
          </w:tcPr>
          <w:p w14:paraId="2741574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−.02</w:t>
            </w:r>
          </w:p>
        </w:tc>
        <w:tc>
          <w:tcPr>
            <w:tcW w:w="0" w:type="auto"/>
            <w:tcBorders>
              <w:top w:val="single" w:sz="6" w:space="0" w:color="DDDDDD"/>
            </w:tcBorders>
            <w:vAlign w:val="center"/>
            <w:hideMark/>
          </w:tcPr>
          <w:p w14:paraId="10BF463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.03</w:t>
            </w:r>
          </w:p>
        </w:tc>
        <w:tc>
          <w:tcPr>
            <w:tcW w:w="0" w:type="auto"/>
            <w:tcBorders>
              <w:top w:val="single" w:sz="6" w:space="0" w:color="DDDDDD"/>
            </w:tcBorders>
            <w:vAlign w:val="center"/>
            <w:hideMark/>
          </w:tcPr>
          <w:p w14:paraId="14F5A7F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−.01</w:t>
            </w:r>
          </w:p>
        </w:tc>
        <w:tc>
          <w:tcPr>
            <w:tcW w:w="0" w:type="auto"/>
            <w:tcBorders>
              <w:top w:val="single" w:sz="6" w:space="0" w:color="DDDDDD"/>
            </w:tcBorders>
            <w:vAlign w:val="center"/>
            <w:hideMark/>
          </w:tcPr>
          <w:p w14:paraId="2F3A5FF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.05</w:t>
            </w:r>
          </w:p>
        </w:tc>
        <w:tc>
          <w:tcPr>
            <w:tcW w:w="0" w:type="auto"/>
            <w:tcBorders>
              <w:top w:val="single" w:sz="6" w:space="0" w:color="DDDDDD"/>
            </w:tcBorders>
            <w:vAlign w:val="center"/>
            <w:hideMark/>
          </w:tcPr>
          <w:p w14:paraId="6D8146E6"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.01</w:t>
            </w:r>
          </w:p>
        </w:tc>
        <w:tc>
          <w:tcPr>
            <w:tcW w:w="0" w:type="auto"/>
            <w:tcBorders>
              <w:top w:val="single" w:sz="6" w:space="0" w:color="DDDDDD"/>
            </w:tcBorders>
            <w:vAlign w:val="center"/>
            <w:hideMark/>
          </w:tcPr>
          <w:p w14:paraId="1389C52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−.03</w:t>
            </w:r>
          </w:p>
        </w:tc>
      </w:tr>
      <w:tr w:rsidR="00106B83" w:rsidRPr="00106B83" w14:paraId="4EC56E87" w14:textId="77777777" w:rsidTr="00106B83">
        <w:trPr>
          <w:tblCellSpacing w:w="15" w:type="dxa"/>
        </w:trPr>
        <w:tc>
          <w:tcPr>
            <w:tcW w:w="0" w:type="auto"/>
            <w:tcBorders>
              <w:top w:val="single" w:sz="6" w:space="0" w:color="DDDDDD"/>
            </w:tcBorders>
            <w:shd w:val="clear" w:color="auto" w:fill="F7F7F7"/>
            <w:vAlign w:val="center"/>
            <w:hideMark/>
          </w:tcPr>
          <w:p w14:paraId="4FD23DC1"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Education</w:t>
            </w:r>
          </w:p>
        </w:tc>
        <w:tc>
          <w:tcPr>
            <w:tcW w:w="0" w:type="auto"/>
            <w:tcBorders>
              <w:top w:val="single" w:sz="6" w:space="0" w:color="DDDDDD"/>
            </w:tcBorders>
            <w:shd w:val="clear" w:color="auto" w:fill="F7F7F7"/>
            <w:vAlign w:val="center"/>
            <w:hideMark/>
          </w:tcPr>
          <w:p w14:paraId="4F98002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3.17</w:t>
            </w:r>
          </w:p>
        </w:tc>
        <w:tc>
          <w:tcPr>
            <w:tcW w:w="0" w:type="auto"/>
            <w:tcBorders>
              <w:top w:val="single" w:sz="6" w:space="0" w:color="DDDDDD"/>
            </w:tcBorders>
            <w:shd w:val="clear" w:color="auto" w:fill="F7F7F7"/>
            <w:vAlign w:val="center"/>
            <w:hideMark/>
          </w:tcPr>
          <w:p w14:paraId="154BFA9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1.46</w:t>
            </w:r>
          </w:p>
        </w:tc>
        <w:tc>
          <w:tcPr>
            <w:tcW w:w="0" w:type="auto"/>
            <w:tcBorders>
              <w:top w:val="single" w:sz="6" w:space="0" w:color="DDDDDD"/>
            </w:tcBorders>
            <w:shd w:val="clear" w:color="auto" w:fill="F7F7F7"/>
            <w:vAlign w:val="center"/>
            <w:hideMark/>
          </w:tcPr>
          <w:p w14:paraId="1ED8714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−.06</w:t>
            </w:r>
          </w:p>
        </w:tc>
        <w:tc>
          <w:tcPr>
            <w:tcW w:w="0" w:type="auto"/>
            <w:tcBorders>
              <w:top w:val="single" w:sz="6" w:space="0" w:color="DDDDDD"/>
            </w:tcBorders>
            <w:shd w:val="clear" w:color="auto" w:fill="F7F7F7"/>
            <w:vAlign w:val="center"/>
            <w:hideMark/>
          </w:tcPr>
          <w:p w14:paraId="707F9500"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w:t>
            </w:r>
          </w:p>
        </w:tc>
        <w:tc>
          <w:tcPr>
            <w:tcW w:w="0" w:type="auto"/>
            <w:tcBorders>
              <w:top w:val="single" w:sz="6" w:space="0" w:color="DDDDDD"/>
            </w:tcBorders>
            <w:shd w:val="clear" w:color="auto" w:fill="F7F7F7"/>
            <w:vAlign w:val="center"/>
            <w:hideMark/>
          </w:tcPr>
          <w:p w14:paraId="69840EC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−.03</w:t>
            </w:r>
          </w:p>
        </w:tc>
        <w:tc>
          <w:tcPr>
            <w:tcW w:w="0" w:type="auto"/>
            <w:tcBorders>
              <w:top w:val="single" w:sz="6" w:space="0" w:color="DDDDDD"/>
            </w:tcBorders>
            <w:shd w:val="clear" w:color="auto" w:fill="F7F7F7"/>
            <w:vAlign w:val="center"/>
            <w:hideMark/>
          </w:tcPr>
          <w:p w14:paraId="0A37797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.18</w:t>
            </w:r>
            <w:hyperlink r:id="rId124" w:anchor="table-fn1-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shd w:val="clear" w:color="auto" w:fill="F7F7F7"/>
            <w:vAlign w:val="center"/>
            <w:hideMark/>
          </w:tcPr>
          <w:p w14:paraId="0D3B217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.05</w:t>
            </w:r>
          </w:p>
        </w:tc>
        <w:tc>
          <w:tcPr>
            <w:tcW w:w="0" w:type="auto"/>
            <w:tcBorders>
              <w:top w:val="single" w:sz="6" w:space="0" w:color="DDDDDD"/>
            </w:tcBorders>
            <w:shd w:val="clear" w:color="auto" w:fill="F7F7F7"/>
            <w:vAlign w:val="center"/>
            <w:hideMark/>
          </w:tcPr>
          <w:p w14:paraId="307FD9A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.02</w:t>
            </w:r>
          </w:p>
        </w:tc>
        <w:tc>
          <w:tcPr>
            <w:tcW w:w="0" w:type="auto"/>
            <w:tcBorders>
              <w:top w:val="single" w:sz="6" w:space="0" w:color="DDDDDD"/>
            </w:tcBorders>
            <w:shd w:val="clear" w:color="auto" w:fill="F7F7F7"/>
            <w:vAlign w:val="center"/>
            <w:hideMark/>
          </w:tcPr>
          <w:p w14:paraId="33CCB19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.06</w:t>
            </w:r>
          </w:p>
        </w:tc>
      </w:tr>
      <w:tr w:rsidR="00106B83" w:rsidRPr="00106B83" w14:paraId="464F06AF" w14:textId="77777777" w:rsidTr="00106B83">
        <w:trPr>
          <w:tblCellSpacing w:w="15" w:type="dxa"/>
        </w:trPr>
        <w:tc>
          <w:tcPr>
            <w:tcW w:w="0" w:type="auto"/>
            <w:tcBorders>
              <w:top w:val="single" w:sz="6" w:space="0" w:color="DDDDDD"/>
            </w:tcBorders>
            <w:vAlign w:val="center"/>
            <w:hideMark/>
          </w:tcPr>
          <w:p w14:paraId="072E233D"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Income</w:t>
            </w:r>
          </w:p>
        </w:tc>
        <w:tc>
          <w:tcPr>
            <w:tcW w:w="0" w:type="auto"/>
            <w:tcBorders>
              <w:top w:val="single" w:sz="6" w:space="0" w:color="DDDDDD"/>
            </w:tcBorders>
            <w:vAlign w:val="center"/>
            <w:hideMark/>
          </w:tcPr>
          <w:p w14:paraId="100A87B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5.28</w:t>
            </w:r>
          </w:p>
        </w:tc>
        <w:tc>
          <w:tcPr>
            <w:tcW w:w="0" w:type="auto"/>
            <w:tcBorders>
              <w:top w:val="single" w:sz="6" w:space="0" w:color="DDDDDD"/>
            </w:tcBorders>
            <w:vAlign w:val="center"/>
            <w:hideMark/>
          </w:tcPr>
          <w:p w14:paraId="7F0660C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3.38</w:t>
            </w:r>
          </w:p>
        </w:tc>
        <w:tc>
          <w:tcPr>
            <w:tcW w:w="0" w:type="auto"/>
            <w:tcBorders>
              <w:top w:val="single" w:sz="6" w:space="0" w:color="DDDDDD"/>
            </w:tcBorders>
            <w:vAlign w:val="center"/>
            <w:hideMark/>
          </w:tcPr>
          <w:p w14:paraId="32BBD3E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.01</w:t>
            </w:r>
          </w:p>
        </w:tc>
        <w:tc>
          <w:tcPr>
            <w:tcW w:w="0" w:type="auto"/>
            <w:tcBorders>
              <w:top w:val="single" w:sz="6" w:space="0" w:color="DDDDDD"/>
            </w:tcBorders>
            <w:vAlign w:val="center"/>
            <w:hideMark/>
          </w:tcPr>
          <w:p w14:paraId="6ABD8A3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−.04</w:t>
            </w:r>
          </w:p>
        </w:tc>
        <w:tc>
          <w:tcPr>
            <w:tcW w:w="0" w:type="auto"/>
            <w:tcBorders>
              <w:top w:val="single" w:sz="6" w:space="0" w:color="DDDDDD"/>
            </w:tcBorders>
            <w:vAlign w:val="center"/>
            <w:hideMark/>
          </w:tcPr>
          <w:p w14:paraId="046BD0B3"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.06</w:t>
            </w:r>
          </w:p>
        </w:tc>
        <w:tc>
          <w:tcPr>
            <w:tcW w:w="0" w:type="auto"/>
            <w:tcBorders>
              <w:top w:val="single" w:sz="6" w:space="0" w:color="DDDDDD"/>
            </w:tcBorders>
            <w:vAlign w:val="center"/>
            <w:hideMark/>
          </w:tcPr>
          <w:p w14:paraId="3732146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.05</w:t>
            </w:r>
          </w:p>
        </w:tc>
        <w:tc>
          <w:tcPr>
            <w:tcW w:w="0" w:type="auto"/>
            <w:tcBorders>
              <w:top w:val="single" w:sz="6" w:space="0" w:color="DDDDDD"/>
            </w:tcBorders>
            <w:vAlign w:val="center"/>
            <w:hideMark/>
          </w:tcPr>
          <w:p w14:paraId="1745A82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−.02</w:t>
            </w:r>
          </w:p>
        </w:tc>
        <w:tc>
          <w:tcPr>
            <w:tcW w:w="0" w:type="auto"/>
            <w:tcBorders>
              <w:top w:val="single" w:sz="6" w:space="0" w:color="DDDDDD"/>
            </w:tcBorders>
            <w:vAlign w:val="center"/>
            <w:hideMark/>
          </w:tcPr>
          <w:p w14:paraId="6650E03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w:t>
            </w:r>
          </w:p>
        </w:tc>
        <w:tc>
          <w:tcPr>
            <w:tcW w:w="0" w:type="auto"/>
            <w:tcBorders>
              <w:top w:val="single" w:sz="6" w:space="0" w:color="DDDDDD"/>
            </w:tcBorders>
            <w:vAlign w:val="center"/>
            <w:hideMark/>
          </w:tcPr>
          <w:p w14:paraId="47B6AE7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.02</w:t>
            </w:r>
          </w:p>
        </w:tc>
      </w:tr>
      <w:tr w:rsidR="00106B83" w:rsidRPr="00106B83" w14:paraId="50B6A90F" w14:textId="77777777" w:rsidTr="00106B83">
        <w:trPr>
          <w:tblCellSpacing w:w="15" w:type="dxa"/>
        </w:trPr>
        <w:tc>
          <w:tcPr>
            <w:tcW w:w="0" w:type="auto"/>
            <w:tcBorders>
              <w:top w:val="single" w:sz="6" w:space="0" w:color="DDDDDD"/>
            </w:tcBorders>
            <w:shd w:val="clear" w:color="auto" w:fill="F7F7F7"/>
            <w:vAlign w:val="center"/>
            <w:hideMark/>
          </w:tcPr>
          <w:p w14:paraId="60C0350C"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Age</w:t>
            </w:r>
          </w:p>
        </w:tc>
        <w:tc>
          <w:tcPr>
            <w:tcW w:w="0" w:type="auto"/>
            <w:tcBorders>
              <w:top w:val="single" w:sz="6" w:space="0" w:color="DDDDDD"/>
            </w:tcBorders>
            <w:shd w:val="clear" w:color="auto" w:fill="F7F7F7"/>
            <w:vAlign w:val="center"/>
            <w:hideMark/>
          </w:tcPr>
          <w:p w14:paraId="48C0068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48.08</w:t>
            </w:r>
          </w:p>
        </w:tc>
        <w:tc>
          <w:tcPr>
            <w:tcW w:w="0" w:type="auto"/>
            <w:tcBorders>
              <w:top w:val="single" w:sz="6" w:space="0" w:color="DDDDDD"/>
            </w:tcBorders>
            <w:shd w:val="clear" w:color="auto" w:fill="F7F7F7"/>
            <w:vAlign w:val="center"/>
            <w:hideMark/>
          </w:tcPr>
          <w:p w14:paraId="09C6EB2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16.92</w:t>
            </w:r>
          </w:p>
        </w:tc>
        <w:tc>
          <w:tcPr>
            <w:tcW w:w="0" w:type="auto"/>
            <w:tcBorders>
              <w:top w:val="single" w:sz="6" w:space="0" w:color="DDDDDD"/>
            </w:tcBorders>
            <w:shd w:val="clear" w:color="auto" w:fill="F7F7F7"/>
            <w:vAlign w:val="center"/>
            <w:hideMark/>
          </w:tcPr>
          <w:p w14:paraId="2F37A137"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w:t>
            </w:r>
          </w:p>
        </w:tc>
        <w:tc>
          <w:tcPr>
            <w:tcW w:w="0" w:type="auto"/>
            <w:tcBorders>
              <w:top w:val="single" w:sz="6" w:space="0" w:color="DDDDDD"/>
            </w:tcBorders>
            <w:shd w:val="clear" w:color="auto" w:fill="F7F7F7"/>
            <w:vAlign w:val="center"/>
            <w:hideMark/>
          </w:tcPr>
          <w:p w14:paraId="04308C5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.18</w:t>
            </w:r>
            <w:hyperlink r:id="rId125" w:anchor="table-fn1-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shd w:val="clear" w:color="auto" w:fill="F7F7F7"/>
            <w:vAlign w:val="center"/>
            <w:hideMark/>
          </w:tcPr>
          <w:p w14:paraId="55853C93"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.12</w:t>
            </w:r>
            <w:hyperlink r:id="rId126" w:anchor="table-fn1-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shd w:val="clear" w:color="auto" w:fill="F7F7F7"/>
            <w:vAlign w:val="center"/>
            <w:hideMark/>
          </w:tcPr>
          <w:p w14:paraId="7371B21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−.19</w:t>
            </w:r>
            <w:hyperlink r:id="rId127" w:anchor="table-fn1-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shd w:val="clear" w:color="auto" w:fill="F7F7F7"/>
            <w:vAlign w:val="center"/>
            <w:hideMark/>
          </w:tcPr>
          <w:p w14:paraId="6BCACCC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−.01</w:t>
            </w:r>
          </w:p>
        </w:tc>
        <w:tc>
          <w:tcPr>
            <w:tcW w:w="0" w:type="auto"/>
            <w:tcBorders>
              <w:top w:val="single" w:sz="6" w:space="0" w:color="DDDDDD"/>
            </w:tcBorders>
            <w:shd w:val="clear" w:color="auto" w:fill="F7F7F7"/>
            <w:vAlign w:val="center"/>
            <w:hideMark/>
          </w:tcPr>
          <w:p w14:paraId="5E1F3B8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−.17</w:t>
            </w:r>
            <w:hyperlink r:id="rId128" w:anchor="table-fn1-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shd w:val="clear" w:color="auto" w:fill="F7F7F7"/>
            <w:vAlign w:val="center"/>
            <w:hideMark/>
          </w:tcPr>
          <w:p w14:paraId="6F3B4AE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−.14</w:t>
            </w:r>
            <w:hyperlink r:id="rId129" w:anchor="table-fn1-0093854820913585" w:history="1">
              <w:r w:rsidRPr="00106B83">
                <w:rPr>
                  <w:rFonts w:ascii="Times New Roman" w:hAnsi="Times New Roman"/>
                  <w:color w:val="046FF8"/>
                  <w:kern w:val="0"/>
                  <w:sz w:val="24"/>
                  <w:u w:val="single"/>
                  <w14:ligatures w14:val="none"/>
                </w:rPr>
                <w:t>*</w:t>
              </w:r>
            </w:hyperlink>
          </w:p>
        </w:tc>
      </w:tr>
      <w:tr w:rsidR="00106B83" w:rsidRPr="00106B83" w14:paraId="3C066A99" w14:textId="77777777" w:rsidTr="00106B83">
        <w:trPr>
          <w:tblCellSpacing w:w="15" w:type="dxa"/>
        </w:trPr>
        <w:tc>
          <w:tcPr>
            <w:tcW w:w="0" w:type="auto"/>
            <w:tcBorders>
              <w:top w:val="single" w:sz="6" w:space="0" w:color="DDDDDD"/>
            </w:tcBorders>
            <w:vAlign w:val="center"/>
            <w:hideMark/>
          </w:tcPr>
          <w:p w14:paraId="0A809692"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Male (%)</w:t>
            </w:r>
          </w:p>
        </w:tc>
        <w:tc>
          <w:tcPr>
            <w:tcW w:w="0" w:type="auto"/>
            <w:tcBorders>
              <w:top w:val="single" w:sz="6" w:space="0" w:color="DDDDDD"/>
            </w:tcBorders>
            <w:vAlign w:val="center"/>
            <w:hideMark/>
          </w:tcPr>
          <w:p w14:paraId="021D04A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48.48</w:t>
            </w:r>
          </w:p>
        </w:tc>
        <w:tc>
          <w:tcPr>
            <w:tcW w:w="0" w:type="auto"/>
            <w:tcBorders>
              <w:top w:val="single" w:sz="6" w:space="0" w:color="DDDDDD"/>
            </w:tcBorders>
            <w:vAlign w:val="center"/>
            <w:hideMark/>
          </w:tcPr>
          <w:p w14:paraId="2E485B8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vAlign w:val="center"/>
            <w:hideMark/>
          </w:tcPr>
          <w:p w14:paraId="28ED04B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.03</w:t>
            </w:r>
          </w:p>
        </w:tc>
        <w:tc>
          <w:tcPr>
            <w:tcW w:w="0" w:type="auto"/>
            <w:tcBorders>
              <w:top w:val="single" w:sz="6" w:space="0" w:color="DDDDDD"/>
            </w:tcBorders>
            <w:vAlign w:val="center"/>
            <w:hideMark/>
          </w:tcPr>
          <w:p w14:paraId="27DBD9A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−.06</w:t>
            </w:r>
          </w:p>
        </w:tc>
        <w:tc>
          <w:tcPr>
            <w:tcW w:w="0" w:type="auto"/>
            <w:tcBorders>
              <w:top w:val="single" w:sz="6" w:space="0" w:color="DDDDDD"/>
            </w:tcBorders>
            <w:vAlign w:val="center"/>
            <w:hideMark/>
          </w:tcPr>
          <w:p w14:paraId="383A5D7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.04</w:t>
            </w:r>
          </w:p>
        </w:tc>
        <w:tc>
          <w:tcPr>
            <w:tcW w:w="0" w:type="auto"/>
            <w:tcBorders>
              <w:top w:val="single" w:sz="6" w:space="0" w:color="DDDDDD"/>
            </w:tcBorders>
            <w:vAlign w:val="center"/>
            <w:hideMark/>
          </w:tcPr>
          <w:p w14:paraId="3221ABF3"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.01</w:t>
            </w:r>
          </w:p>
        </w:tc>
        <w:tc>
          <w:tcPr>
            <w:tcW w:w="0" w:type="auto"/>
            <w:tcBorders>
              <w:top w:val="single" w:sz="6" w:space="0" w:color="DDDDDD"/>
            </w:tcBorders>
            <w:vAlign w:val="center"/>
            <w:hideMark/>
          </w:tcPr>
          <w:p w14:paraId="50CE68C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−.06</w:t>
            </w:r>
          </w:p>
        </w:tc>
        <w:tc>
          <w:tcPr>
            <w:tcW w:w="0" w:type="auto"/>
            <w:tcBorders>
              <w:top w:val="single" w:sz="6" w:space="0" w:color="DDDDDD"/>
            </w:tcBorders>
            <w:vAlign w:val="center"/>
            <w:hideMark/>
          </w:tcPr>
          <w:p w14:paraId="1997BDB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.04</w:t>
            </w:r>
          </w:p>
        </w:tc>
        <w:tc>
          <w:tcPr>
            <w:tcW w:w="0" w:type="auto"/>
            <w:tcBorders>
              <w:top w:val="single" w:sz="6" w:space="0" w:color="DDDDDD"/>
            </w:tcBorders>
            <w:vAlign w:val="center"/>
            <w:hideMark/>
          </w:tcPr>
          <w:p w14:paraId="6D56F51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.01</w:t>
            </w:r>
          </w:p>
        </w:tc>
      </w:tr>
      <w:tr w:rsidR="00106B83" w:rsidRPr="00106B83" w14:paraId="1199BB0E" w14:textId="77777777" w:rsidTr="00106B83">
        <w:trPr>
          <w:tblCellSpacing w:w="15" w:type="dxa"/>
        </w:trPr>
        <w:tc>
          <w:tcPr>
            <w:tcW w:w="0" w:type="auto"/>
            <w:tcBorders>
              <w:top w:val="single" w:sz="6" w:space="0" w:color="DDDDDD"/>
            </w:tcBorders>
            <w:shd w:val="clear" w:color="auto" w:fill="F7F7F7"/>
            <w:vAlign w:val="center"/>
            <w:hideMark/>
          </w:tcPr>
          <w:p w14:paraId="5D343C3B"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White (%)</w:t>
            </w:r>
          </w:p>
        </w:tc>
        <w:tc>
          <w:tcPr>
            <w:tcW w:w="0" w:type="auto"/>
            <w:tcBorders>
              <w:top w:val="single" w:sz="6" w:space="0" w:color="DDDDDD"/>
            </w:tcBorders>
            <w:shd w:val="clear" w:color="auto" w:fill="F7F7F7"/>
            <w:vAlign w:val="center"/>
            <w:hideMark/>
          </w:tcPr>
          <w:p w14:paraId="37F79CA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66.76</w:t>
            </w:r>
          </w:p>
        </w:tc>
        <w:tc>
          <w:tcPr>
            <w:tcW w:w="0" w:type="auto"/>
            <w:tcBorders>
              <w:top w:val="single" w:sz="6" w:space="0" w:color="DDDDDD"/>
            </w:tcBorders>
            <w:shd w:val="clear" w:color="auto" w:fill="F7F7F7"/>
            <w:vAlign w:val="center"/>
            <w:hideMark/>
          </w:tcPr>
          <w:p w14:paraId="314221E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511BE706"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.13</w:t>
            </w:r>
            <w:hyperlink r:id="rId130" w:anchor="table-fn1-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shd w:val="clear" w:color="auto" w:fill="F7F7F7"/>
            <w:vAlign w:val="center"/>
            <w:hideMark/>
          </w:tcPr>
          <w:p w14:paraId="367AA2E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.05</w:t>
            </w:r>
          </w:p>
        </w:tc>
        <w:tc>
          <w:tcPr>
            <w:tcW w:w="0" w:type="auto"/>
            <w:tcBorders>
              <w:top w:val="single" w:sz="6" w:space="0" w:color="DDDDDD"/>
            </w:tcBorders>
            <w:shd w:val="clear" w:color="auto" w:fill="F7F7F7"/>
            <w:vAlign w:val="center"/>
            <w:hideMark/>
          </w:tcPr>
          <w:p w14:paraId="19C93E7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w:t>
            </w:r>
          </w:p>
        </w:tc>
        <w:tc>
          <w:tcPr>
            <w:tcW w:w="0" w:type="auto"/>
            <w:tcBorders>
              <w:top w:val="single" w:sz="6" w:space="0" w:color="DDDDDD"/>
            </w:tcBorders>
            <w:shd w:val="clear" w:color="auto" w:fill="F7F7F7"/>
            <w:vAlign w:val="center"/>
            <w:hideMark/>
          </w:tcPr>
          <w:p w14:paraId="586DD89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−.01</w:t>
            </w:r>
          </w:p>
        </w:tc>
        <w:tc>
          <w:tcPr>
            <w:tcW w:w="0" w:type="auto"/>
            <w:tcBorders>
              <w:top w:val="single" w:sz="6" w:space="0" w:color="DDDDDD"/>
            </w:tcBorders>
            <w:shd w:val="clear" w:color="auto" w:fill="F7F7F7"/>
            <w:vAlign w:val="center"/>
            <w:hideMark/>
          </w:tcPr>
          <w:p w14:paraId="091BA4C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.02</w:t>
            </w:r>
          </w:p>
        </w:tc>
        <w:tc>
          <w:tcPr>
            <w:tcW w:w="0" w:type="auto"/>
            <w:tcBorders>
              <w:top w:val="single" w:sz="6" w:space="0" w:color="DDDDDD"/>
            </w:tcBorders>
            <w:shd w:val="clear" w:color="auto" w:fill="F7F7F7"/>
            <w:vAlign w:val="center"/>
            <w:hideMark/>
          </w:tcPr>
          <w:p w14:paraId="048E14E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−.07</w:t>
            </w:r>
          </w:p>
        </w:tc>
        <w:tc>
          <w:tcPr>
            <w:tcW w:w="0" w:type="auto"/>
            <w:tcBorders>
              <w:top w:val="single" w:sz="6" w:space="0" w:color="DDDDDD"/>
            </w:tcBorders>
            <w:shd w:val="clear" w:color="auto" w:fill="F7F7F7"/>
            <w:vAlign w:val="center"/>
            <w:hideMark/>
          </w:tcPr>
          <w:p w14:paraId="59C5BAB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−.06</w:t>
            </w:r>
          </w:p>
        </w:tc>
      </w:tr>
    </w:tbl>
    <w:p w14:paraId="51A9CC1F" w14:textId="77777777" w:rsidR="00106B83" w:rsidRPr="00106B83" w:rsidRDefault="00106B83" w:rsidP="00106B83">
      <w:pPr>
        <w:shd w:val="clear" w:color="auto" w:fill="FFFFFF"/>
        <w:rPr>
          <w:rFonts w:cs="Open Sans"/>
          <w:color w:val="888888"/>
          <w:kern w:val="0"/>
          <w:sz w:val="24"/>
          <w14:ligatures w14:val="none"/>
        </w:rPr>
      </w:pPr>
      <w:r w:rsidRPr="00106B83">
        <w:rPr>
          <w:rFonts w:cs="Open Sans"/>
          <w:i/>
          <w:iCs/>
          <w:color w:val="888888"/>
          <w:kern w:val="0"/>
          <w:sz w:val="24"/>
          <w14:ligatures w14:val="none"/>
        </w:rPr>
        <w:t>Note</w:t>
      </w:r>
      <w:r w:rsidRPr="00106B83">
        <w:rPr>
          <w:rFonts w:cs="Open Sans"/>
          <w:color w:val="888888"/>
          <w:kern w:val="0"/>
          <w:sz w:val="24"/>
          <w14:ligatures w14:val="none"/>
        </w:rPr>
        <w:t>. Bonferroni corrected </w:t>
      </w:r>
      <w:r w:rsidRPr="00106B83">
        <w:rPr>
          <w:rFonts w:cs="Open Sans"/>
          <w:i/>
          <w:iCs/>
          <w:color w:val="888888"/>
          <w:kern w:val="0"/>
          <w:sz w:val="24"/>
          <w14:ligatures w14:val="none"/>
        </w:rPr>
        <w:t>p</w:t>
      </w:r>
      <w:r w:rsidRPr="00106B83">
        <w:rPr>
          <w:rFonts w:cs="Open Sans"/>
          <w:color w:val="888888"/>
          <w:kern w:val="0"/>
          <w:sz w:val="24"/>
          <w14:ligatures w14:val="none"/>
        </w:rPr>
        <w:t> values reported. “*” denotes correlation is significant at </w:t>
      </w:r>
      <w:r w:rsidRPr="00106B83">
        <w:rPr>
          <w:rFonts w:cs="Open Sans"/>
          <w:i/>
          <w:iCs/>
          <w:color w:val="888888"/>
          <w:kern w:val="0"/>
          <w:sz w:val="24"/>
          <w14:ligatures w14:val="none"/>
        </w:rPr>
        <w:t>p</w:t>
      </w:r>
      <w:r w:rsidRPr="00106B83">
        <w:rPr>
          <w:rFonts w:cs="Open Sans"/>
          <w:color w:val="888888"/>
          <w:kern w:val="0"/>
          <w:sz w:val="24"/>
          <w14:ligatures w14:val="none"/>
        </w:rPr>
        <w:t> &lt; .001, which is the new adjusted α = .05 level.</w:t>
      </w:r>
    </w:p>
    <w:p w14:paraId="7A089866"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 xml:space="preserve">Although the control variables cover key demographics, political party and ideology, marital status, region, and religiosity, the data set did not include measures of other </w:t>
      </w:r>
      <w:r w:rsidRPr="00106B83">
        <w:rPr>
          <w:rFonts w:cs="Open Sans"/>
          <w:color w:val="333333"/>
          <w:kern w:val="0"/>
          <w:sz w:val="24"/>
          <w14:ligatures w14:val="none"/>
        </w:rPr>
        <w:lastRenderedPageBreak/>
        <w:t>factors that could affect policy attitudes, such as racial resentment, crime salience (e.g., fear or perceived risk of crime victimization), and causal attributions of crime. As will be seen, the findings suggest that the effects of redeemability are robust. In this context, future research should examine the stability of this finding with a range of other control variables included in the statistical model. Note that in the </w:t>
      </w:r>
      <w:hyperlink r:id="rId131" w:anchor="bibr48-0093854820913585" w:history="1">
        <w:r w:rsidRPr="00106B83">
          <w:rPr>
            <w:rFonts w:cs="Open Sans"/>
            <w:color w:val="046FF8"/>
            <w:kern w:val="0"/>
            <w:sz w:val="24"/>
            <w:u w:val="single"/>
            <w14:ligatures w14:val="none"/>
          </w:rPr>
          <w:t>Maruna and King (2009)</w:t>
        </w:r>
      </w:hyperlink>
      <w:r w:rsidRPr="00106B83">
        <w:rPr>
          <w:rFonts w:cs="Open Sans"/>
          <w:color w:val="333333"/>
          <w:kern w:val="0"/>
          <w:sz w:val="24"/>
          <w14:ligatures w14:val="none"/>
        </w:rPr>
        <w:t> study, redeemability retained statistical significance with crime salience (fear) and causal attribution in the analysis. Furthermore, as discussed later, we present a second analysis from an Amazon MTurk survey that adds confidence to the conclusion that redeemability is a robust predictor of policy preferences.</w:t>
      </w:r>
    </w:p>
    <w:p w14:paraId="36CB8AC6" w14:textId="77777777" w:rsidR="00106B83" w:rsidRPr="00106B83" w:rsidRDefault="00106B83" w:rsidP="00106B83">
      <w:pPr>
        <w:spacing w:before="100" w:beforeAutospacing="1" w:after="100" w:afterAutospacing="1"/>
        <w:outlineLvl w:val="2"/>
        <w:rPr>
          <w:rFonts w:ascii="Arial" w:hAnsi="Arial" w:cs="Arial"/>
          <w:color w:val="555555"/>
          <w:kern w:val="0"/>
          <w:sz w:val="27"/>
          <w:szCs w:val="27"/>
          <w14:ligatures w14:val="none"/>
        </w:rPr>
      </w:pPr>
      <w:r w:rsidRPr="00106B83">
        <w:rPr>
          <w:rFonts w:ascii="Arial" w:hAnsi="Arial" w:cs="Arial"/>
          <w:color w:val="555555"/>
          <w:kern w:val="0"/>
          <w:sz w:val="27"/>
          <w:szCs w:val="27"/>
          <w14:ligatures w14:val="none"/>
        </w:rPr>
        <w:t>Analytic Plan</w:t>
      </w:r>
    </w:p>
    <w:p w14:paraId="3997A260"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In </w:t>
      </w:r>
      <w:hyperlink r:id="rId132" w:anchor="table1-0093854820913585" w:history="1">
        <w:r w:rsidRPr="00106B83">
          <w:rPr>
            <w:rFonts w:cs="Open Sans"/>
            <w:color w:val="046FF8"/>
            <w:kern w:val="0"/>
            <w:sz w:val="24"/>
            <w:u w:val="single"/>
            <w14:ligatures w14:val="none"/>
          </w:rPr>
          <w:t>Tables 1</w:t>
        </w:r>
      </w:hyperlink>
      <w:r w:rsidRPr="00106B83">
        <w:rPr>
          <w:rFonts w:cs="Open Sans"/>
          <w:color w:val="333333"/>
          <w:kern w:val="0"/>
          <w:sz w:val="24"/>
          <w14:ligatures w14:val="none"/>
        </w:rPr>
        <w:t> and </w:t>
      </w:r>
      <w:hyperlink r:id="rId133" w:anchor="table4-0093854820913585" w:history="1">
        <w:r w:rsidRPr="00106B83">
          <w:rPr>
            <w:rFonts w:cs="Open Sans"/>
            <w:color w:val="046FF8"/>
            <w:kern w:val="0"/>
            <w:sz w:val="24"/>
            <w:u w:val="single"/>
            <w14:ligatures w14:val="none"/>
          </w:rPr>
          <w:t>4</w:t>
        </w:r>
      </w:hyperlink>
      <w:r w:rsidRPr="00106B83">
        <w:rPr>
          <w:rFonts w:cs="Open Sans"/>
          <w:color w:val="333333"/>
          <w:kern w:val="0"/>
          <w:sz w:val="24"/>
          <w14:ligatures w14:val="none"/>
        </w:rPr>
        <w:t>, we present both descriptive statistics and bivariate correlations between each independent variable and outcome variable in the study. Because of the number of tests run on these data in </w:t>
      </w:r>
      <w:hyperlink r:id="rId134" w:anchor="table1-0093854820913585" w:history="1">
        <w:r w:rsidRPr="00106B83">
          <w:rPr>
            <w:rFonts w:cs="Open Sans"/>
            <w:color w:val="046FF8"/>
            <w:kern w:val="0"/>
            <w:sz w:val="24"/>
            <w:u w:val="single"/>
            <w14:ligatures w14:val="none"/>
          </w:rPr>
          <w:t>Tables 1</w:t>
        </w:r>
      </w:hyperlink>
      <w:r w:rsidRPr="00106B83">
        <w:rPr>
          <w:rFonts w:cs="Open Sans"/>
          <w:color w:val="333333"/>
          <w:kern w:val="0"/>
          <w:sz w:val="24"/>
          <w14:ligatures w14:val="none"/>
        </w:rPr>
        <w:t> and </w:t>
      </w:r>
      <w:hyperlink r:id="rId135" w:anchor="table4-0093854820913585" w:history="1">
        <w:r w:rsidRPr="00106B83">
          <w:rPr>
            <w:rFonts w:cs="Open Sans"/>
            <w:color w:val="046FF8"/>
            <w:kern w:val="0"/>
            <w:sz w:val="24"/>
            <w:u w:val="single"/>
            <w14:ligatures w14:val="none"/>
          </w:rPr>
          <w:t>4</w:t>
        </w:r>
      </w:hyperlink>
      <w:r w:rsidRPr="00106B83">
        <w:rPr>
          <w:rFonts w:cs="Open Sans"/>
          <w:color w:val="333333"/>
          <w:kern w:val="0"/>
          <w:sz w:val="24"/>
          <w14:ligatures w14:val="none"/>
        </w:rPr>
        <w:t> (84 correlations computed in </w:t>
      </w:r>
      <w:hyperlink r:id="rId136" w:anchor="table1-0093854820913585" w:history="1">
        <w:r w:rsidRPr="00106B83">
          <w:rPr>
            <w:rFonts w:cs="Open Sans"/>
            <w:color w:val="046FF8"/>
            <w:kern w:val="0"/>
            <w:sz w:val="24"/>
            <w:u w:val="single"/>
            <w14:ligatures w14:val="none"/>
          </w:rPr>
          <w:t>Table 1</w:t>
        </w:r>
      </w:hyperlink>
      <w:r w:rsidRPr="00106B83">
        <w:rPr>
          <w:rFonts w:cs="Open Sans"/>
          <w:color w:val="333333"/>
          <w:kern w:val="0"/>
          <w:sz w:val="24"/>
          <w14:ligatures w14:val="none"/>
        </w:rPr>
        <w:t> and 48 in </w:t>
      </w:r>
      <w:hyperlink r:id="rId137" w:anchor="table4-0093854820913585" w:history="1">
        <w:r w:rsidRPr="00106B83">
          <w:rPr>
            <w:rFonts w:cs="Open Sans"/>
            <w:color w:val="046FF8"/>
            <w:kern w:val="0"/>
            <w:sz w:val="24"/>
            <w:u w:val="single"/>
            <w14:ligatures w14:val="none"/>
          </w:rPr>
          <w:t>Table 4</w:t>
        </w:r>
      </w:hyperlink>
      <w:r w:rsidRPr="00106B83">
        <w:rPr>
          <w:rFonts w:cs="Open Sans"/>
          <w:color w:val="333333"/>
          <w:kern w:val="0"/>
          <w:sz w:val="24"/>
          <w14:ligatures w14:val="none"/>
        </w:rPr>
        <w:t>), we present our results using Bonferroni adjusted </w:t>
      </w:r>
      <w:r w:rsidRPr="00106B83">
        <w:rPr>
          <w:rFonts w:cs="Open Sans"/>
          <w:i/>
          <w:iCs/>
          <w:color w:val="333333"/>
          <w:kern w:val="0"/>
          <w:sz w:val="24"/>
          <w14:ligatures w14:val="none"/>
        </w:rPr>
        <w:t>p</w:t>
      </w:r>
      <w:r w:rsidRPr="00106B83">
        <w:rPr>
          <w:rFonts w:cs="Open Sans"/>
          <w:color w:val="333333"/>
          <w:kern w:val="0"/>
          <w:sz w:val="24"/>
          <w14:ligatures w14:val="none"/>
        </w:rPr>
        <w:t> values to account for the possibility of inflated Type 1 error. After adjusting the significance threshold using the Bonferroni correction, we found that correlations with </w:t>
      </w:r>
      <w:r w:rsidRPr="00106B83">
        <w:rPr>
          <w:rFonts w:cs="Open Sans"/>
          <w:i/>
          <w:iCs/>
          <w:color w:val="333333"/>
          <w:kern w:val="0"/>
          <w:sz w:val="24"/>
          <w14:ligatures w14:val="none"/>
        </w:rPr>
        <w:t>p</w:t>
      </w:r>
      <w:r w:rsidRPr="00106B83">
        <w:rPr>
          <w:rFonts w:cs="Open Sans"/>
          <w:color w:val="333333"/>
          <w:kern w:val="0"/>
          <w:sz w:val="24"/>
          <w14:ligatures w14:val="none"/>
        </w:rPr>
        <w:t> values less than .0005 (rounded to &lt; .001) would attain significance at the new α = .05 level. We then proceed with regression analyses to explore the relationship between redeemability and the outcome variables, independent of the effects of the control variables. To do this, we estimate seven regression analyses in </w:t>
      </w:r>
      <w:hyperlink r:id="rId138" w:anchor="table3-0093854820913585" w:history="1">
        <w:r w:rsidRPr="00106B83">
          <w:rPr>
            <w:rFonts w:cs="Open Sans"/>
            <w:color w:val="046FF8"/>
            <w:kern w:val="0"/>
            <w:sz w:val="24"/>
            <w:u w:val="single"/>
            <w14:ligatures w14:val="none"/>
          </w:rPr>
          <w:t>Table 3</w:t>
        </w:r>
      </w:hyperlink>
      <w:r w:rsidRPr="00106B83">
        <w:rPr>
          <w:rFonts w:cs="Open Sans"/>
          <w:color w:val="333333"/>
          <w:kern w:val="0"/>
          <w:sz w:val="24"/>
          <w14:ligatures w14:val="none"/>
        </w:rPr>
        <w:t> (six binary logistic and one ordinary least squares [OLS]) and four regression analyses in </w:t>
      </w:r>
      <w:hyperlink r:id="rId139" w:anchor="table5-0093854820913585" w:history="1">
        <w:r w:rsidRPr="00106B83">
          <w:rPr>
            <w:rFonts w:cs="Open Sans"/>
            <w:color w:val="046FF8"/>
            <w:kern w:val="0"/>
            <w:sz w:val="24"/>
            <w:u w:val="single"/>
            <w14:ligatures w14:val="none"/>
          </w:rPr>
          <w:t>Table 5</w:t>
        </w:r>
      </w:hyperlink>
      <w:r w:rsidRPr="00106B83">
        <w:rPr>
          <w:rFonts w:cs="Open Sans"/>
          <w:color w:val="333333"/>
          <w:kern w:val="0"/>
          <w:sz w:val="24"/>
          <w14:ligatures w14:val="none"/>
        </w:rPr>
        <w:t> (four binary logistic and one OLS). We report odds ratios for models with binary outcomes and beta values for models with continuous outcomes.</w:t>
      </w:r>
    </w:p>
    <w:p w14:paraId="093D0B8E" w14:textId="77777777" w:rsidR="00106B83" w:rsidRPr="00106B83" w:rsidRDefault="00106B83" w:rsidP="00106B83">
      <w:pPr>
        <w:spacing w:before="100" w:beforeAutospacing="1" w:after="100" w:afterAutospacing="1"/>
        <w:outlineLvl w:val="1"/>
        <w:rPr>
          <w:rFonts w:ascii="Arial" w:hAnsi="Arial" w:cs="Arial"/>
          <w:color w:val="555555"/>
          <w:kern w:val="0"/>
          <w:sz w:val="36"/>
          <w:szCs w:val="36"/>
          <w14:ligatures w14:val="none"/>
        </w:rPr>
      </w:pPr>
      <w:r w:rsidRPr="00106B83">
        <w:rPr>
          <w:rFonts w:ascii="Arial" w:hAnsi="Arial" w:cs="Arial"/>
          <w:color w:val="555555"/>
          <w:kern w:val="0"/>
          <w:sz w:val="36"/>
          <w:szCs w:val="36"/>
          <w14:ligatures w14:val="none"/>
        </w:rPr>
        <w:t>Results</w:t>
      </w:r>
    </w:p>
    <w:p w14:paraId="05F0EF6D" w14:textId="77777777" w:rsidR="00106B83" w:rsidRPr="00106B83" w:rsidRDefault="00106B83" w:rsidP="00106B83">
      <w:pPr>
        <w:spacing w:before="100" w:beforeAutospacing="1" w:after="100" w:afterAutospacing="1"/>
        <w:outlineLvl w:val="2"/>
        <w:rPr>
          <w:rFonts w:ascii="Arial" w:hAnsi="Arial" w:cs="Arial"/>
          <w:color w:val="555555"/>
          <w:kern w:val="0"/>
          <w:sz w:val="27"/>
          <w:szCs w:val="27"/>
          <w14:ligatures w14:val="none"/>
        </w:rPr>
      </w:pPr>
      <w:r w:rsidRPr="00106B83">
        <w:rPr>
          <w:rFonts w:ascii="Arial" w:hAnsi="Arial" w:cs="Arial"/>
          <w:color w:val="555555"/>
          <w:kern w:val="0"/>
          <w:sz w:val="27"/>
          <w:szCs w:val="27"/>
          <w14:ligatures w14:val="none"/>
        </w:rPr>
        <w:t>Analysis Based on the YouGov Survey</w:t>
      </w:r>
    </w:p>
    <w:p w14:paraId="071DDBDA"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This project’s central focus is on the effect of belief in the redeemability of people who committed offenses on a range of punitive and inclusionary correctional policies. </w:t>
      </w:r>
      <w:hyperlink r:id="rId140" w:anchor="table2-0093854820913585" w:history="1">
        <w:r w:rsidRPr="00106B83">
          <w:rPr>
            <w:rFonts w:cs="Open Sans"/>
            <w:color w:val="046FF8"/>
            <w:kern w:val="0"/>
            <w:sz w:val="24"/>
            <w:u w:val="single"/>
            <w14:ligatures w14:val="none"/>
          </w:rPr>
          <w:t>Table 2</w:t>
        </w:r>
      </w:hyperlink>
      <w:r w:rsidRPr="00106B83">
        <w:rPr>
          <w:rFonts w:cs="Open Sans"/>
          <w:color w:val="333333"/>
          <w:kern w:val="0"/>
          <w:sz w:val="24"/>
          <w14:ligatures w14:val="none"/>
        </w:rPr>
        <w:t xml:space="preserve"> reports the percentage agreeing and disagreeing with the four items measuring belief in redeemability. Notably (see Items 1 and 2), about 8 in 10 respondents stated that “most” or “many” of these individuals can “lead productive lives” and “become law-abiding citizens.” Achieving this outcome will require “help and hard work” and “the right conditions.” Redemption thus is seen as achievable. On the other hand (see Items 3 and 4), more than half (57.3%) of the sample agreed </w:t>
      </w:r>
      <w:r w:rsidRPr="00106B83">
        <w:rPr>
          <w:rFonts w:cs="Open Sans"/>
          <w:color w:val="333333"/>
          <w:kern w:val="0"/>
          <w:sz w:val="24"/>
          <w14:ligatures w14:val="none"/>
        </w:rPr>
        <w:lastRenderedPageBreak/>
        <w:t>that “most criminals are unlikely to change,” and about 8 in 10 (82.5%) expressed the view that “some” are so “damaged that they can never lead productive lives.” In a way, the American public might be seen as having a nuanced view of those in the correctional system—viewing redemption as a possibility for many people who committed offenses, but not as a realistic goal for all them.</w:t>
      </w:r>
    </w:p>
    <w:p w14:paraId="1F87F6F7" w14:textId="77777777" w:rsidR="00106B83" w:rsidRPr="00106B83" w:rsidRDefault="00106B83" w:rsidP="00106B83">
      <w:pPr>
        <w:shd w:val="clear" w:color="auto" w:fill="FFFFFF"/>
        <w:spacing w:line="480" w:lineRule="auto"/>
        <w:rPr>
          <w:rFonts w:cs="Open Sans"/>
          <w:color w:val="333333"/>
          <w:kern w:val="0"/>
          <w:sz w:val="24"/>
          <w14:ligatures w14:val="none"/>
        </w:rPr>
      </w:pPr>
      <w:r w:rsidRPr="00106B83">
        <w:rPr>
          <w:rFonts w:cs="Open Sans"/>
          <w:b/>
          <w:bCs/>
          <w:color w:val="333333"/>
          <w:kern w:val="0"/>
          <w:sz w:val="24"/>
          <w14:ligatures w14:val="none"/>
        </w:rPr>
        <w:t>Table 2</w:t>
      </w:r>
      <w:r w:rsidRPr="00106B83">
        <w:rPr>
          <w:rFonts w:cs="Open Sans"/>
          <w:color w:val="333333"/>
          <w:kern w:val="0"/>
          <w:sz w:val="24"/>
          <w14:ligatures w14:val="none"/>
        </w:rPr>
        <w:t>: Public Belief in Redeemability</w:t>
      </w:r>
    </w:p>
    <w:tbl>
      <w:tblPr>
        <w:tblW w:w="14415" w:type="dxa"/>
        <w:tblCellSpacing w:w="15" w:type="dxa"/>
        <w:tblCellMar>
          <w:top w:w="15" w:type="dxa"/>
          <w:left w:w="15" w:type="dxa"/>
          <w:bottom w:w="15" w:type="dxa"/>
          <w:right w:w="15" w:type="dxa"/>
        </w:tblCellMar>
        <w:tblLook w:val="04A0" w:firstRow="1" w:lastRow="0" w:firstColumn="1" w:lastColumn="0" w:noHBand="0" w:noVBand="1"/>
      </w:tblPr>
      <w:tblGrid>
        <w:gridCol w:w="4876"/>
        <w:gridCol w:w="934"/>
        <w:gridCol w:w="1227"/>
        <w:gridCol w:w="1249"/>
        <w:gridCol w:w="734"/>
        <w:gridCol w:w="1436"/>
        <w:gridCol w:w="1547"/>
        <w:gridCol w:w="1028"/>
        <w:gridCol w:w="1384"/>
      </w:tblGrid>
      <w:tr w:rsidR="00106B83" w:rsidRPr="00106B83" w14:paraId="6E3ED5E1" w14:textId="77777777" w:rsidTr="00106B83">
        <w:trPr>
          <w:tblHeader/>
          <w:tblCellSpacing w:w="15" w:type="dxa"/>
        </w:trPr>
        <w:tc>
          <w:tcPr>
            <w:tcW w:w="0" w:type="auto"/>
            <w:tcBorders>
              <w:top w:val="nil"/>
            </w:tcBorders>
            <w:shd w:val="clear" w:color="auto" w:fill="4E60AC"/>
            <w:vAlign w:val="center"/>
            <w:hideMark/>
          </w:tcPr>
          <w:p w14:paraId="3E1A211F"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Items</w:t>
            </w:r>
          </w:p>
        </w:tc>
        <w:tc>
          <w:tcPr>
            <w:tcW w:w="0" w:type="auto"/>
            <w:tcBorders>
              <w:top w:val="nil"/>
            </w:tcBorders>
            <w:shd w:val="clear" w:color="auto" w:fill="4E60AC"/>
            <w:vAlign w:val="center"/>
            <w:hideMark/>
          </w:tcPr>
          <w:p w14:paraId="0B756F5E"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 total agree</w:t>
            </w:r>
          </w:p>
        </w:tc>
        <w:tc>
          <w:tcPr>
            <w:tcW w:w="0" w:type="auto"/>
            <w:tcBorders>
              <w:top w:val="nil"/>
            </w:tcBorders>
            <w:shd w:val="clear" w:color="auto" w:fill="4E60AC"/>
            <w:vAlign w:val="center"/>
            <w:hideMark/>
          </w:tcPr>
          <w:p w14:paraId="333E191B"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 total disagree</w:t>
            </w:r>
          </w:p>
        </w:tc>
        <w:tc>
          <w:tcPr>
            <w:tcW w:w="0" w:type="auto"/>
            <w:tcBorders>
              <w:top w:val="nil"/>
            </w:tcBorders>
            <w:shd w:val="clear" w:color="auto" w:fill="4E60AC"/>
            <w:vAlign w:val="center"/>
            <w:hideMark/>
          </w:tcPr>
          <w:p w14:paraId="7055DDDF"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 strongly agree</w:t>
            </w:r>
          </w:p>
        </w:tc>
        <w:tc>
          <w:tcPr>
            <w:tcW w:w="0" w:type="auto"/>
            <w:tcBorders>
              <w:top w:val="nil"/>
            </w:tcBorders>
            <w:shd w:val="clear" w:color="auto" w:fill="4E60AC"/>
            <w:vAlign w:val="center"/>
            <w:hideMark/>
          </w:tcPr>
          <w:p w14:paraId="292DB5A4"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 agree</w:t>
            </w:r>
          </w:p>
        </w:tc>
        <w:tc>
          <w:tcPr>
            <w:tcW w:w="0" w:type="auto"/>
            <w:tcBorders>
              <w:top w:val="nil"/>
            </w:tcBorders>
            <w:shd w:val="clear" w:color="auto" w:fill="4E60AC"/>
            <w:vAlign w:val="center"/>
            <w:hideMark/>
          </w:tcPr>
          <w:p w14:paraId="599E1158"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 somewhat agree</w:t>
            </w:r>
          </w:p>
        </w:tc>
        <w:tc>
          <w:tcPr>
            <w:tcW w:w="0" w:type="auto"/>
            <w:tcBorders>
              <w:top w:val="nil"/>
            </w:tcBorders>
            <w:shd w:val="clear" w:color="auto" w:fill="4E60AC"/>
            <w:vAlign w:val="center"/>
            <w:hideMark/>
          </w:tcPr>
          <w:p w14:paraId="200C42B9"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 somewhat disagree</w:t>
            </w:r>
          </w:p>
        </w:tc>
        <w:tc>
          <w:tcPr>
            <w:tcW w:w="0" w:type="auto"/>
            <w:tcBorders>
              <w:top w:val="nil"/>
            </w:tcBorders>
            <w:shd w:val="clear" w:color="auto" w:fill="4E60AC"/>
            <w:vAlign w:val="center"/>
            <w:hideMark/>
          </w:tcPr>
          <w:p w14:paraId="11688050"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 disagree</w:t>
            </w:r>
          </w:p>
        </w:tc>
        <w:tc>
          <w:tcPr>
            <w:tcW w:w="0" w:type="auto"/>
            <w:tcBorders>
              <w:top w:val="nil"/>
            </w:tcBorders>
            <w:shd w:val="clear" w:color="auto" w:fill="4E60AC"/>
            <w:vAlign w:val="center"/>
            <w:hideMark/>
          </w:tcPr>
          <w:p w14:paraId="710F2D04"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 strongly disagree</w:t>
            </w:r>
          </w:p>
        </w:tc>
      </w:tr>
      <w:tr w:rsidR="00106B83" w:rsidRPr="00106B83" w14:paraId="3ACD2695" w14:textId="77777777" w:rsidTr="00106B83">
        <w:trPr>
          <w:tblCellSpacing w:w="15" w:type="dxa"/>
        </w:trPr>
        <w:tc>
          <w:tcPr>
            <w:tcW w:w="0" w:type="auto"/>
            <w:tcBorders>
              <w:top w:val="nil"/>
            </w:tcBorders>
            <w:vAlign w:val="center"/>
            <w:hideMark/>
          </w:tcPr>
          <w:p w14:paraId="7BA01A70"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1. Most offenders can go on to lead productive lives with help and hard work. (</w:t>
            </w:r>
            <w:r w:rsidRPr="00106B83">
              <w:rPr>
                <w:rFonts w:ascii="Times New Roman" w:hAnsi="Times New Roman"/>
                <w:i/>
                <w:iCs/>
                <w:kern w:val="0"/>
                <w:sz w:val="24"/>
                <w14:ligatures w14:val="none"/>
              </w:rPr>
              <w:t>n</w:t>
            </w:r>
            <w:r w:rsidRPr="00106B83">
              <w:rPr>
                <w:rFonts w:ascii="Times New Roman" w:hAnsi="Times New Roman"/>
                <w:kern w:val="0"/>
                <w:sz w:val="24"/>
                <w14:ligatures w14:val="none"/>
              </w:rPr>
              <w:t> = 989)</w:t>
            </w:r>
          </w:p>
        </w:tc>
        <w:tc>
          <w:tcPr>
            <w:tcW w:w="0" w:type="auto"/>
            <w:tcBorders>
              <w:top w:val="nil"/>
            </w:tcBorders>
            <w:vAlign w:val="center"/>
            <w:hideMark/>
          </w:tcPr>
          <w:p w14:paraId="482324B6"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78.7</w:t>
            </w:r>
          </w:p>
        </w:tc>
        <w:tc>
          <w:tcPr>
            <w:tcW w:w="0" w:type="auto"/>
            <w:tcBorders>
              <w:top w:val="nil"/>
            </w:tcBorders>
            <w:vAlign w:val="center"/>
            <w:hideMark/>
          </w:tcPr>
          <w:p w14:paraId="074434D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21.3</w:t>
            </w:r>
          </w:p>
        </w:tc>
        <w:tc>
          <w:tcPr>
            <w:tcW w:w="0" w:type="auto"/>
            <w:tcBorders>
              <w:top w:val="nil"/>
            </w:tcBorders>
            <w:vAlign w:val="center"/>
            <w:hideMark/>
          </w:tcPr>
          <w:p w14:paraId="5EAC8E1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11.8</w:t>
            </w:r>
          </w:p>
        </w:tc>
        <w:tc>
          <w:tcPr>
            <w:tcW w:w="0" w:type="auto"/>
            <w:tcBorders>
              <w:top w:val="nil"/>
            </w:tcBorders>
            <w:vAlign w:val="center"/>
            <w:hideMark/>
          </w:tcPr>
          <w:p w14:paraId="1CD52FE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25.3</w:t>
            </w:r>
          </w:p>
        </w:tc>
        <w:tc>
          <w:tcPr>
            <w:tcW w:w="0" w:type="auto"/>
            <w:tcBorders>
              <w:top w:val="nil"/>
            </w:tcBorders>
            <w:vAlign w:val="center"/>
            <w:hideMark/>
          </w:tcPr>
          <w:p w14:paraId="399C69D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41.6</w:t>
            </w:r>
          </w:p>
        </w:tc>
        <w:tc>
          <w:tcPr>
            <w:tcW w:w="0" w:type="auto"/>
            <w:tcBorders>
              <w:top w:val="nil"/>
            </w:tcBorders>
            <w:vAlign w:val="center"/>
            <w:hideMark/>
          </w:tcPr>
          <w:p w14:paraId="4094652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14.1</w:t>
            </w:r>
          </w:p>
        </w:tc>
        <w:tc>
          <w:tcPr>
            <w:tcW w:w="0" w:type="auto"/>
            <w:tcBorders>
              <w:top w:val="nil"/>
            </w:tcBorders>
            <w:vAlign w:val="center"/>
            <w:hideMark/>
          </w:tcPr>
          <w:p w14:paraId="17F91DB3"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5.6</w:t>
            </w:r>
          </w:p>
        </w:tc>
        <w:tc>
          <w:tcPr>
            <w:tcW w:w="0" w:type="auto"/>
            <w:tcBorders>
              <w:top w:val="nil"/>
            </w:tcBorders>
            <w:vAlign w:val="center"/>
            <w:hideMark/>
          </w:tcPr>
          <w:p w14:paraId="4AF52D06"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1.6</w:t>
            </w:r>
          </w:p>
        </w:tc>
      </w:tr>
      <w:tr w:rsidR="00106B83" w:rsidRPr="00106B83" w14:paraId="6B886C5D" w14:textId="77777777" w:rsidTr="00106B83">
        <w:trPr>
          <w:tblCellSpacing w:w="15" w:type="dxa"/>
        </w:trPr>
        <w:tc>
          <w:tcPr>
            <w:tcW w:w="0" w:type="auto"/>
            <w:tcBorders>
              <w:top w:val="single" w:sz="6" w:space="0" w:color="DDDDDD"/>
            </w:tcBorders>
            <w:shd w:val="clear" w:color="auto" w:fill="F7F7F7"/>
            <w:vAlign w:val="center"/>
            <w:hideMark/>
          </w:tcPr>
          <w:p w14:paraId="6B4DEF14"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2. Given the right conditions, a great many offenders can turn their lives around and become law-abiding citizens.</w:t>
            </w:r>
            <w:r w:rsidRPr="00106B83">
              <w:rPr>
                <w:rFonts w:ascii="Times New Roman" w:hAnsi="Times New Roman"/>
                <w:kern w:val="0"/>
                <w:sz w:val="24"/>
                <w14:ligatures w14:val="none"/>
              </w:rPr>
              <w:br/>
              <w:t>(</w:t>
            </w:r>
            <w:r w:rsidRPr="00106B83">
              <w:rPr>
                <w:rFonts w:ascii="Times New Roman" w:hAnsi="Times New Roman"/>
                <w:i/>
                <w:iCs/>
                <w:kern w:val="0"/>
                <w:sz w:val="24"/>
                <w14:ligatures w14:val="none"/>
              </w:rPr>
              <w:t>n</w:t>
            </w:r>
            <w:r w:rsidRPr="00106B83">
              <w:rPr>
                <w:rFonts w:ascii="Times New Roman" w:hAnsi="Times New Roman"/>
                <w:kern w:val="0"/>
                <w:sz w:val="24"/>
                <w14:ligatures w14:val="none"/>
              </w:rPr>
              <w:t> = 993)</w:t>
            </w:r>
          </w:p>
        </w:tc>
        <w:tc>
          <w:tcPr>
            <w:tcW w:w="0" w:type="auto"/>
            <w:tcBorders>
              <w:top w:val="single" w:sz="6" w:space="0" w:color="DDDDDD"/>
            </w:tcBorders>
            <w:shd w:val="clear" w:color="auto" w:fill="F7F7F7"/>
            <w:vAlign w:val="center"/>
            <w:hideMark/>
          </w:tcPr>
          <w:p w14:paraId="27D9C103"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80.8</w:t>
            </w:r>
          </w:p>
        </w:tc>
        <w:tc>
          <w:tcPr>
            <w:tcW w:w="0" w:type="auto"/>
            <w:tcBorders>
              <w:top w:val="single" w:sz="6" w:space="0" w:color="DDDDDD"/>
            </w:tcBorders>
            <w:shd w:val="clear" w:color="auto" w:fill="F7F7F7"/>
            <w:vAlign w:val="center"/>
            <w:hideMark/>
          </w:tcPr>
          <w:p w14:paraId="67CE558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19.2</w:t>
            </w:r>
          </w:p>
        </w:tc>
        <w:tc>
          <w:tcPr>
            <w:tcW w:w="0" w:type="auto"/>
            <w:tcBorders>
              <w:top w:val="single" w:sz="6" w:space="0" w:color="DDDDDD"/>
            </w:tcBorders>
            <w:shd w:val="clear" w:color="auto" w:fill="F7F7F7"/>
            <w:vAlign w:val="center"/>
            <w:hideMark/>
          </w:tcPr>
          <w:p w14:paraId="71B4C44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13.3</w:t>
            </w:r>
          </w:p>
        </w:tc>
        <w:tc>
          <w:tcPr>
            <w:tcW w:w="0" w:type="auto"/>
            <w:tcBorders>
              <w:top w:val="single" w:sz="6" w:space="0" w:color="DDDDDD"/>
            </w:tcBorders>
            <w:shd w:val="clear" w:color="auto" w:fill="F7F7F7"/>
            <w:vAlign w:val="center"/>
            <w:hideMark/>
          </w:tcPr>
          <w:p w14:paraId="3EDBEC7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27.8</w:t>
            </w:r>
          </w:p>
        </w:tc>
        <w:tc>
          <w:tcPr>
            <w:tcW w:w="0" w:type="auto"/>
            <w:tcBorders>
              <w:top w:val="single" w:sz="6" w:space="0" w:color="DDDDDD"/>
            </w:tcBorders>
            <w:shd w:val="clear" w:color="auto" w:fill="F7F7F7"/>
            <w:vAlign w:val="center"/>
            <w:hideMark/>
          </w:tcPr>
          <w:p w14:paraId="160C062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39.6</w:t>
            </w:r>
          </w:p>
        </w:tc>
        <w:tc>
          <w:tcPr>
            <w:tcW w:w="0" w:type="auto"/>
            <w:tcBorders>
              <w:top w:val="single" w:sz="6" w:space="0" w:color="DDDDDD"/>
            </w:tcBorders>
            <w:shd w:val="clear" w:color="auto" w:fill="F7F7F7"/>
            <w:vAlign w:val="center"/>
            <w:hideMark/>
          </w:tcPr>
          <w:p w14:paraId="6655978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12.9</w:t>
            </w:r>
          </w:p>
        </w:tc>
        <w:tc>
          <w:tcPr>
            <w:tcW w:w="0" w:type="auto"/>
            <w:tcBorders>
              <w:top w:val="single" w:sz="6" w:space="0" w:color="DDDDDD"/>
            </w:tcBorders>
            <w:shd w:val="clear" w:color="auto" w:fill="F7F7F7"/>
            <w:vAlign w:val="center"/>
            <w:hideMark/>
          </w:tcPr>
          <w:p w14:paraId="7CA221A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4.3</w:t>
            </w:r>
          </w:p>
        </w:tc>
        <w:tc>
          <w:tcPr>
            <w:tcW w:w="0" w:type="auto"/>
            <w:tcBorders>
              <w:top w:val="single" w:sz="6" w:space="0" w:color="DDDDDD"/>
            </w:tcBorders>
            <w:shd w:val="clear" w:color="auto" w:fill="F7F7F7"/>
            <w:vAlign w:val="center"/>
            <w:hideMark/>
          </w:tcPr>
          <w:p w14:paraId="72F2E6A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2.1</w:t>
            </w:r>
          </w:p>
        </w:tc>
      </w:tr>
      <w:tr w:rsidR="00106B83" w:rsidRPr="00106B83" w14:paraId="622E43DD" w14:textId="77777777" w:rsidTr="00106B83">
        <w:trPr>
          <w:tblCellSpacing w:w="15" w:type="dxa"/>
        </w:trPr>
        <w:tc>
          <w:tcPr>
            <w:tcW w:w="0" w:type="auto"/>
            <w:tcBorders>
              <w:top w:val="single" w:sz="6" w:space="0" w:color="DDDDDD"/>
            </w:tcBorders>
            <w:vAlign w:val="center"/>
            <w:hideMark/>
          </w:tcPr>
          <w:p w14:paraId="6BB20CD1"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3. Most criminals are unlikely to change for the better. (</w:t>
            </w:r>
            <w:r w:rsidRPr="00106B83">
              <w:rPr>
                <w:rFonts w:ascii="Times New Roman" w:hAnsi="Times New Roman"/>
                <w:i/>
                <w:iCs/>
                <w:kern w:val="0"/>
                <w:sz w:val="24"/>
                <w14:ligatures w14:val="none"/>
              </w:rPr>
              <w:t>n</w:t>
            </w:r>
            <w:r w:rsidRPr="00106B83">
              <w:rPr>
                <w:rFonts w:ascii="Times New Roman" w:hAnsi="Times New Roman"/>
                <w:kern w:val="0"/>
                <w:sz w:val="24"/>
                <w14:ligatures w14:val="none"/>
              </w:rPr>
              <w:t> = 990)</w:t>
            </w:r>
          </w:p>
        </w:tc>
        <w:tc>
          <w:tcPr>
            <w:tcW w:w="0" w:type="auto"/>
            <w:tcBorders>
              <w:top w:val="single" w:sz="6" w:space="0" w:color="DDDDDD"/>
            </w:tcBorders>
            <w:vAlign w:val="center"/>
            <w:hideMark/>
          </w:tcPr>
          <w:p w14:paraId="28A2907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57.3</w:t>
            </w:r>
          </w:p>
        </w:tc>
        <w:tc>
          <w:tcPr>
            <w:tcW w:w="0" w:type="auto"/>
            <w:tcBorders>
              <w:top w:val="single" w:sz="6" w:space="0" w:color="DDDDDD"/>
            </w:tcBorders>
            <w:vAlign w:val="center"/>
            <w:hideMark/>
          </w:tcPr>
          <w:p w14:paraId="7F8CACF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42.7</w:t>
            </w:r>
          </w:p>
        </w:tc>
        <w:tc>
          <w:tcPr>
            <w:tcW w:w="0" w:type="auto"/>
            <w:tcBorders>
              <w:top w:val="single" w:sz="6" w:space="0" w:color="DDDDDD"/>
            </w:tcBorders>
            <w:vAlign w:val="center"/>
            <w:hideMark/>
          </w:tcPr>
          <w:p w14:paraId="52D3B4F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9.1</w:t>
            </w:r>
          </w:p>
        </w:tc>
        <w:tc>
          <w:tcPr>
            <w:tcW w:w="0" w:type="auto"/>
            <w:tcBorders>
              <w:top w:val="single" w:sz="6" w:space="0" w:color="DDDDDD"/>
            </w:tcBorders>
            <w:vAlign w:val="center"/>
            <w:hideMark/>
          </w:tcPr>
          <w:p w14:paraId="1ED1C3F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16.3</w:t>
            </w:r>
          </w:p>
        </w:tc>
        <w:tc>
          <w:tcPr>
            <w:tcW w:w="0" w:type="auto"/>
            <w:tcBorders>
              <w:top w:val="single" w:sz="6" w:space="0" w:color="DDDDDD"/>
            </w:tcBorders>
            <w:vAlign w:val="center"/>
            <w:hideMark/>
          </w:tcPr>
          <w:p w14:paraId="7058A87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31.9</w:t>
            </w:r>
          </w:p>
        </w:tc>
        <w:tc>
          <w:tcPr>
            <w:tcW w:w="0" w:type="auto"/>
            <w:tcBorders>
              <w:top w:val="single" w:sz="6" w:space="0" w:color="DDDDDD"/>
            </w:tcBorders>
            <w:vAlign w:val="center"/>
            <w:hideMark/>
          </w:tcPr>
          <w:p w14:paraId="144391C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30.1</w:t>
            </w:r>
          </w:p>
        </w:tc>
        <w:tc>
          <w:tcPr>
            <w:tcW w:w="0" w:type="auto"/>
            <w:tcBorders>
              <w:top w:val="single" w:sz="6" w:space="0" w:color="DDDDDD"/>
            </w:tcBorders>
            <w:vAlign w:val="center"/>
            <w:hideMark/>
          </w:tcPr>
          <w:p w14:paraId="7F3B7FB0"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9.5</w:t>
            </w:r>
          </w:p>
        </w:tc>
        <w:tc>
          <w:tcPr>
            <w:tcW w:w="0" w:type="auto"/>
            <w:tcBorders>
              <w:top w:val="single" w:sz="6" w:space="0" w:color="DDDDDD"/>
            </w:tcBorders>
            <w:vAlign w:val="center"/>
            <w:hideMark/>
          </w:tcPr>
          <w:p w14:paraId="289E765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3.1</w:t>
            </w:r>
          </w:p>
        </w:tc>
      </w:tr>
      <w:tr w:rsidR="00106B83" w:rsidRPr="00106B83" w14:paraId="015B6536" w14:textId="77777777" w:rsidTr="00106B83">
        <w:trPr>
          <w:tblCellSpacing w:w="15" w:type="dxa"/>
        </w:trPr>
        <w:tc>
          <w:tcPr>
            <w:tcW w:w="0" w:type="auto"/>
            <w:tcBorders>
              <w:top w:val="single" w:sz="6" w:space="0" w:color="DDDDDD"/>
            </w:tcBorders>
            <w:shd w:val="clear" w:color="auto" w:fill="F7F7F7"/>
            <w:vAlign w:val="center"/>
            <w:hideMark/>
          </w:tcPr>
          <w:p w14:paraId="23EE5CD7"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4. Some offenders are so damaged that they can never lead productive lives. (</w:t>
            </w:r>
            <w:r w:rsidRPr="00106B83">
              <w:rPr>
                <w:rFonts w:ascii="Times New Roman" w:hAnsi="Times New Roman"/>
                <w:i/>
                <w:iCs/>
                <w:kern w:val="0"/>
                <w:sz w:val="24"/>
                <w14:ligatures w14:val="none"/>
              </w:rPr>
              <w:t>n</w:t>
            </w:r>
            <w:r w:rsidRPr="00106B83">
              <w:rPr>
                <w:rFonts w:ascii="Times New Roman" w:hAnsi="Times New Roman"/>
                <w:kern w:val="0"/>
                <w:sz w:val="24"/>
                <w14:ligatures w14:val="none"/>
              </w:rPr>
              <w:t> = 989)</w:t>
            </w:r>
          </w:p>
        </w:tc>
        <w:tc>
          <w:tcPr>
            <w:tcW w:w="0" w:type="auto"/>
            <w:tcBorders>
              <w:top w:val="single" w:sz="6" w:space="0" w:color="DDDDDD"/>
            </w:tcBorders>
            <w:shd w:val="clear" w:color="auto" w:fill="F7F7F7"/>
            <w:vAlign w:val="center"/>
            <w:hideMark/>
          </w:tcPr>
          <w:p w14:paraId="0A6C58A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82.6</w:t>
            </w:r>
          </w:p>
        </w:tc>
        <w:tc>
          <w:tcPr>
            <w:tcW w:w="0" w:type="auto"/>
            <w:tcBorders>
              <w:top w:val="single" w:sz="6" w:space="0" w:color="DDDDDD"/>
            </w:tcBorders>
            <w:shd w:val="clear" w:color="auto" w:fill="F7F7F7"/>
            <w:vAlign w:val="center"/>
            <w:hideMark/>
          </w:tcPr>
          <w:p w14:paraId="7990FEF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17.4</w:t>
            </w:r>
          </w:p>
        </w:tc>
        <w:tc>
          <w:tcPr>
            <w:tcW w:w="0" w:type="auto"/>
            <w:tcBorders>
              <w:top w:val="single" w:sz="6" w:space="0" w:color="DDDDDD"/>
            </w:tcBorders>
            <w:shd w:val="clear" w:color="auto" w:fill="F7F7F7"/>
            <w:vAlign w:val="center"/>
            <w:hideMark/>
          </w:tcPr>
          <w:p w14:paraId="4A931C5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21.8</w:t>
            </w:r>
          </w:p>
        </w:tc>
        <w:tc>
          <w:tcPr>
            <w:tcW w:w="0" w:type="auto"/>
            <w:tcBorders>
              <w:top w:val="single" w:sz="6" w:space="0" w:color="DDDDDD"/>
            </w:tcBorders>
            <w:shd w:val="clear" w:color="auto" w:fill="F7F7F7"/>
            <w:vAlign w:val="center"/>
            <w:hideMark/>
          </w:tcPr>
          <w:p w14:paraId="08B2BC6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30.5</w:t>
            </w:r>
          </w:p>
        </w:tc>
        <w:tc>
          <w:tcPr>
            <w:tcW w:w="0" w:type="auto"/>
            <w:tcBorders>
              <w:top w:val="single" w:sz="6" w:space="0" w:color="DDDDDD"/>
            </w:tcBorders>
            <w:shd w:val="clear" w:color="auto" w:fill="F7F7F7"/>
            <w:vAlign w:val="center"/>
            <w:hideMark/>
          </w:tcPr>
          <w:p w14:paraId="4BF3696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30.3</w:t>
            </w:r>
          </w:p>
        </w:tc>
        <w:tc>
          <w:tcPr>
            <w:tcW w:w="0" w:type="auto"/>
            <w:tcBorders>
              <w:top w:val="single" w:sz="6" w:space="0" w:color="DDDDDD"/>
            </w:tcBorders>
            <w:shd w:val="clear" w:color="auto" w:fill="F7F7F7"/>
            <w:vAlign w:val="center"/>
            <w:hideMark/>
          </w:tcPr>
          <w:p w14:paraId="541E8887"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9.8</w:t>
            </w:r>
          </w:p>
        </w:tc>
        <w:tc>
          <w:tcPr>
            <w:tcW w:w="0" w:type="auto"/>
            <w:tcBorders>
              <w:top w:val="single" w:sz="6" w:space="0" w:color="DDDDDD"/>
            </w:tcBorders>
            <w:shd w:val="clear" w:color="auto" w:fill="F7F7F7"/>
            <w:vAlign w:val="center"/>
            <w:hideMark/>
          </w:tcPr>
          <w:p w14:paraId="3268782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5.0</w:t>
            </w:r>
          </w:p>
        </w:tc>
        <w:tc>
          <w:tcPr>
            <w:tcW w:w="0" w:type="auto"/>
            <w:tcBorders>
              <w:top w:val="single" w:sz="6" w:space="0" w:color="DDDDDD"/>
            </w:tcBorders>
            <w:shd w:val="clear" w:color="auto" w:fill="F7F7F7"/>
            <w:vAlign w:val="center"/>
            <w:hideMark/>
          </w:tcPr>
          <w:p w14:paraId="6CD6A3E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2.6</w:t>
            </w:r>
          </w:p>
        </w:tc>
      </w:tr>
    </w:tbl>
    <w:p w14:paraId="2A467F64" w14:textId="77777777" w:rsidR="00106B83" w:rsidRPr="00106B83" w:rsidRDefault="00106B83" w:rsidP="00106B83">
      <w:pPr>
        <w:shd w:val="clear" w:color="auto" w:fill="FFFFFF"/>
        <w:rPr>
          <w:rFonts w:cs="Open Sans"/>
          <w:color w:val="888888"/>
          <w:kern w:val="0"/>
          <w:sz w:val="24"/>
          <w14:ligatures w14:val="none"/>
        </w:rPr>
      </w:pPr>
      <w:r w:rsidRPr="00106B83">
        <w:rPr>
          <w:rFonts w:cs="Open Sans"/>
          <w:i/>
          <w:iCs/>
          <w:color w:val="888888"/>
          <w:kern w:val="0"/>
          <w:sz w:val="24"/>
          <w14:ligatures w14:val="none"/>
        </w:rPr>
        <w:t>Note</w:t>
      </w:r>
      <w:r w:rsidRPr="00106B83">
        <w:rPr>
          <w:rFonts w:cs="Open Sans"/>
          <w:color w:val="888888"/>
          <w:kern w:val="0"/>
          <w:sz w:val="24"/>
          <w14:ligatures w14:val="none"/>
        </w:rPr>
        <w:t>. Statistics are weighted using the person weights from the public use file for the full 2010 ACS sample. The number of respondents answering each question differs and is listed. ACS = American Community Survey.</w:t>
      </w:r>
    </w:p>
    <w:p w14:paraId="6D91F0B3" w14:textId="77777777" w:rsidR="00106B83" w:rsidRPr="00106B83" w:rsidRDefault="00106B83" w:rsidP="00106B83">
      <w:pPr>
        <w:rPr>
          <w:rFonts w:cs="Open Sans"/>
          <w:color w:val="333333"/>
          <w:kern w:val="0"/>
          <w:sz w:val="24"/>
          <w14:ligatures w14:val="none"/>
        </w:rPr>
      </w:pPr>
      <w:hyperlink r:id="rId141" w:anchor="table3-0093854820913585" w:history="1">
        <w:r w:rsidRPr="00106B83">
          <w:rPr>
            <w:rFonts w:cs="Open Sans"/>
            <w:color w:val="046FF8"/>
            <w:kern w:val="0"/>
            <w:sz w:val="24"/>
            <w:u w:val="single"/>
            <w14:ligatures w14:val="none"/>
          </w:rPr>
          <w:t>Table 3</w:t>
        </w:r>
      </w:hyperlink>
      <w:r w:rsidRPr="00106B83">
        <w:rPr>
          <w:rFonts w:cs="Open Sans"/>
          <w:color w:val="333333"/>
          <w:kern w:val="0"/>
          <w:sz w:val="24"/>
          <w14:ligatures w14:val="none"/>
        </w:rPr>
        <w:t> reports the multivariate analyses for the effect of redeemability on three punitive policies, support for rehabilitation, and three policy proposals that have gained increasing notoriety—ban-the-box on employment applications, the expungement of criminal records, and the extension of voting rights to persons with a felony conviction. We estimated logistic regression models for the three punitive measures as well as the models predicting support for felon voting rights, ban-the-box, and expungement. We used OLS regression for estimating the model predicting support for rehabilitation. Beyond specific significant findings (e.g., Whites less supportive of the death penalty), two variables have consistent relationships in the expected direction across the dependent variables. First, conservative political ideology is significantly associated with increases in support for the death penalty and for a punitive prison goal (i.e., punishment or protect society as the main goal of prisons) and with significant decreases in support for rehabilitation, ban-the-box, expungement, and voting rights. Conservatism is not significantly related to harsher courts, though the relationship is in the expected direction.</w:t>
      </w:r>
    </w:p>
    <w:p w14:paraId="12CBF269" w14:textId="77777777" w:rsidR="00106B83" w:rsidRPr="00106B83" w:rsidRDefault="00106B83" w:rsidP="00106B83">
      <w:pPr>
        <w:shd w:val="clear" w:color="auto" w:fill="FFFFFF"/>
        <w:spacing w:line="480" w:lineRule="auto"/>
        <w:rPr>
          <w:rFonts w:cs="Open Sans"/>
          <w:color w:val="333333"/>
          <w:kern w:val="0"/>
          <w:sz w:val="24"/>
          <w14:ligatures w14:val="none"/>
        </w:rPr>
      </w:pPr>
      <w:r w:rsidRPr="00106B83">
        <w:rPr>
          <w:rFonts w:cs="Open Sans"/>
          <w:b/>
          <w:bCs/>
          <w:color w:val="333333"/>
          <w:kern w:val="0"/>
          <w:sz w:val="24"/>
          <w14:ligatures w14:val="none"/>
        </w:rPr>
        <w:t>Table 3</w:t>
      </w:r>
      <w:r w:rsidRPr="00106B83">
        <w:rPr>
          <w:rFonts w:cs="Open Sans"/>
          <w:color w:val="333333"/>
          <w:kern w:val="0"/>
          <w:sz w:val="24"/>
          <w14:ligatures w14:val="none"/>
        </w:rPr>
        <w:t>: Impact of Redeemability on Support for Correctional Policies</w:t>
      </w:r>
    </w:p>
    <w:tbl>
      <w:tblPr>
        <w:tblW w:w="14415" w:type="dxa"/>
        <w:tblCellSpacing w:w="15" w:type="dxa"/>
        <w:tblCellMar>
          <w:top w:w="15" w:type="dxa"/>
          <w:left w:w="15" w:type="dxa"/>
          <w:bottom w:w="15" w:type="dxa"/>
          <w:right w:w="15" w:type="dxa"/>
        </w:tblCellMar>
        <w:tblLook w:val="04A0" w:firstRow="1" w:lastRow="0" w:firstColumn="1" w:lastColumn="0" w:noHBand="0" w:noVBand="1"/>
      </w:tblPr>
      <w:tblGrid>
        <w:gridCol w:w="1875"/>
        <w:gridCol w:w="1539"/>
        <w:gridCol w:w="1662"/>
        <w:gridCol w:w="2178"/>
        <w:gridCol w:w="2054"/>
        <w:gridCol w:w="1463"/>
        <w:gridCol w:w="634"/>
        <w:gridCol w:w="1463"/>
        <w:gridCol w:w="1547"/>
      </w:tblGrid>
      <w:tr w:rsidR="00106B83" w:rsidRPr="00106B83" w14:paraId="0FF548D5" w14:textId="77777777" w:rsidTr="00106B83">
        <w:trPr>
          <w:tblHeader/>
          <w:tblCellSpacing w:w="15" w:type="dxa"/>
        </w:trPr>
        <w:tc>
          <w:tcPr>
            <w:tcW w:w="0" w:type="auto"/>
            <w:vMerge w:val="restart"/>
            <w:tcBorders>
              <w:top w:val="nil"/>
            </w:tcBorders>
            <w:shd w:val="clear" w:color="auto" w:fill="4E60AC"/>
            <w:vAlign w:val="center"/>
            <w:hideMark/>
          </w:tcPr>
          <w:p w14:paraId="351F6D41" w14:textId="77777777" w:rsidR="00106B83" w:rsidRPr="00106B83" w:rsidRDefault="00106B83" w:rsidP="00106B83">
            <w:pP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lastRenderedPageBreak/>
              <w:t>Variables</w:t>
            </w:r>
          </w:p>
        </w:tc>
        <w:tc>
          <w:tcPr>
            <w:tcW w:w="0" w:type="auto"/>
            <w:gridSpan w:val="3"/>
            <w:tcBorders>
              <w:top w:val="nil"/>
            </w:tcBorders>
            <w:shd w:val="clear" w:color="auto" w:fill="4E60AC"/>
            <w:vAlign w:val="center"/>
            <w:hideMark/>
          </w:tcPr>
          <w:p w14:paraId="11AF188E"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Punitive policies</w:t>
            </w:r>
          </w:p>
        </w:tc>
        <w:tc>
          <w:tcPr>
            <w:tcW w:w="0" w:type="auto"/>
            <w:gridSpan w:val="5"/>
            <w:tcBorders>
              <w:top w:val="nil"/>
            </w:tcBorders>
            <w:shd w:val="clear" w:color="auto" w:fill="4E60AC"/>
            <w:vAlign w:val="center"/>
            <w:hideMark/>
          </w:tcPr>
          <w:p w14:paraId="054DAD12"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Inclusionary policies</w:t>
            </w:r>
          </w:p>
        </w:tc>
      </w:tr>
      <w:tr w:rsidR="00106B83" w:rsidRPr="00106B83" w14:paraId="1AECFF39" w14:textId="77777777" w:rsidTr="00106B83">
        <w:trPr>
          <w:tblHeader/>
          <w:tblCellSpacing w:w="15" w:type="dxa"/>
        </w:trPr>
        <w:tc>
          <w:tcPr>
            <w:tcW w:w="0" w:type="auto"/>
            <w:vMerge/>
            <w:tcBorders>
              <w:top w:val="nil"/>
            </w:tcBorders>
            <w:vAlign w:val="center"/>
            <w:hideMark/>
          </w:tcPr>
          <w:p w14:paraId="4FF7DD2F" w14:textId="77777777" w:rsidR="00106B83" w:rsidRPr="00106B83" w:rsidRDefault="00106B83" w:rsidP="00106B83">
            <w:pPr>
              <w:jc w:val="center"/>
              <w:rPr>
                <w:rFonts w:ascii="Times New Roman" w:hAnsi="Times New Roman"/>
                <w:b/>
                <w:bCs/>
                <w:color w:val="FFFFFF"/>
                <w:kern w:val="0"/>
                <w:sz w:val="24"/>
                <w14:ligatures w14:val="none"/>
              </w:rPr>
            </w:pPr>
          </w:p>
        </w:tc>
        <w:tc>
          <w:tcPr>
            <w:tcW w:w="0" w:type="auto"/>
            <w:tcBorders>
              <w:top w:val="nil"/>
            </w:tcBorders>
            <w:shd w:val="clear" w:color="auto" w:fill="4E60AC"/>
            <w:vAlign w:val="center"/>
            <w:hideMark/>
          </w:tcPr>
          <w:p w14:paraId="72ED2AB0"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Death penalty</w:t>
            </w:r>
          </w:p>
        </w:tc>
        <w:tc>
          <w:tcPr>
            <w:tcW w:w="0" w:type="auto"/>
            <w:tcBorders>
              <w:top w:val="nil"/>
            </w:tcBorders>
            <w:shd w:val="clear" w:color="auto" w:fill="4E60AC"/>
            <w:vAlign w:val="center"/>
            <w:hideMark/>
          </w:tcPr>
          <w:p w14:paraId="0F8BA13E"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Harsher courts</w:t>
            </w:r>
          </w:p>
        </w:tc>
        <w:tc>
          <w:tcPr>
            <w:tcW w:w="0" w:type="auto"/>
            <w:tcBorders>
              <w:top w:val="nil"/>
            </w:tcBorders>
            <w:shd w:val="clear" w:color="auto" w:fill="4E60AC"/>
            <w:vAlign w:val="center"/>
            <w:hideMark/>
          </w:tcPr>
          <w:p w14:paraId="7AB59260"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Punitive prison goal</w:t>
            </w:r>
          </w:p>
        </w:tc>
        <w:tc>
          <w:tcPr>
            <w:tcW w:w="0" w:type="auto"/>
            <w:tcBorders>
              <w:top w:val="nil"/>
            </w:tcBorders>
            <w:shd w:val="clear" w:color="auto" w:fill="4E60AC"/>
            <w:vAlign w:val="center"/>
            <w:hideMark/>
          </w:tcPr>
          <w:p w14:paraId="22BD5853"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Felon voting rights</w:t>
            </w:r>
          </w:p>
        </w:tc>
        <w:tc>
          <w:tcPr>
            <w:tcW w:w="0" w:type="auto"/>
            <w:gridSpan w:val="2"/>
            <w:tcBorders>
              <w:top w:val="nil"/>
            </w:tcBorders>
            <w:shd w:val="clear" w:color="auto" w:fill="4E60AC"/>
            <w:vAlign w:val="center"/>
            <w:hideMark/>
          </w:tcPr>
          <w:p w14:paraId="54F22DE9"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Rehabilitation</w:t>
            </w:r>
          </w:p>
        </w:tc>
        <w:tc>
          <w:tcPr>
            <w:tcW w:w="0" w:type="auto"/>
            <w:tcBorders>
              <w:top w:val="nil"/>
            </w:tcBorders>
            <w:shd w:val="clear" w:color="auto" w:fill="4E60AC"/>
            <w:vAlign w:val="center"/>
            <w:hideMark/>
          </w:tcPr>
          <w:p w14:paraId="69D8219A"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Ban-the-box</w:t>
            </w:r>
          </w:p>
        </w:tc>
        <w:tc>
          <w:tcPr>
            <w:tcW w:w="0" w:type="auto"/>
            <w:tcBorders>
              <w:top w:val="nil"/>
            </w:tcBorders>
            <w:shd w:val="clear" w:color="auto" w:fill="4E60AC"/>
            <w:vAlign w:val="center"/>
            <w:hideMark/>
          </w:tcPr>
          <w:p w14:paraId="238E089C"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Expungement</w:t>
            </w:r>
          </w:p>
        </w:tc>
      </w:tr>
      <w:tr w:rsidR="00106B83" w:rsidRPr="00106B83" w14:paraId="01591A0A" w14:textId="77777777" w:rsidTr="00106B83">
        <w:trPr>
          <w:tblHeader/>
          <w:tblCellSpacing w:w="15" w:type="dxa"/>
        </w:trPr>
        <w:tc>
          <w:tcPr>
            <w:tcW w:w="0" w:type="auto"/>
            <w:vMerge/>
            <w:tcBorders>
              <w:top w:val="nil"/>
            </w:tcBorders>
            <w:vAlign w:val="center"/>
            <w:hideMark/>
          </w:tcPr>
          <w:p w14:paraId="1107EA2D" w14:textId="77777777" w:rsidR="00106B83" w:rsidRPr="00106B83" w:rsidRDefault="00106B83" w:rsidP="00106B83">
            <w:pPr>
              <w:jc w:val="center"/>
              <w:rPr>
                <w:rFonts w:ascii="Times New Roman" w:hAnsi="Times New Roman"/>
                <w:b/>
                <w:bCs/>
                <w:color w:val="FFFFFF"/>
                <w:kern w:val="0"/>
                <w:sz w:val="24"/>
                <w14:ligatures w14:val="none"/>
              </w:rPr>
            </w:pPr>
          </w:p>
        </w:tc>
        <w:tc>
          <w:tcPr>
            <w:tcW w:w="0" w:type="auto"/>
            <w:tcBorders>
              <w:top w:val="nil"/>
            </w:tcBorders>
            <w:shd w:val="clear" w:color="auto" w:fill="4E60AC"/>
            <w:vAlign w:val="center"/>
            <w:hideMark/>
          </w:tcPr>
          <w:p w14:paraId="77AF8A39"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OR (</w:t>
            </w:r>
            <w:r w:rsidRPr="00106B83">
              <w:rPr>
                <w:rFonts w:ascii="Times New Roman" w:hAnsi="Times New Roman"/>
                <w:b/>
                <w:bCs/>
                <w:i/>
                <w:iCs/>
                <w:color w:val="FFFFFF"/>
                <w:kern w:val="0"/>
                <w:sz w:val="24"/>
                <w14:ligatures w14:val="none"/>
              </w:rPr>
              <w:t>SE</w:t>
            </w:r>
            <w:r w:rsidRPr="00106B83">
              <w:rPr>
                <w:rFonts w:ascii="Times New Roman" w:hAnsi="Times New Roman"/>
                <w:b/>
                <w:bCs/>
                <w:color w:val="FFFFFF"/>
                <w:kern w:val="0"/>
                <w:sz w:val="24"/>
                <w14:ligatures w14:val="none"/>
              </w:rPr>
              <w:t>)</w:t>
            </w:r>
          </w:p>
        </w:tc>
        <w:tc>
          <w:tcPr>
            <w:tcW w:w="0" w:type="auto"/>
            <w:tcBorders>
              <w:top w:val="nil"/>
            </w:tcBorders>
            <w:shd w:val="clear" w:color="auto" w:fill="4E60AC"/>
            <w:vAlign w:val="center"/>
            <w:hideMark/>
          </w:tcPr>
          <w:p w14:paraId="2456B0A8"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OR (</w:t>
            </w:r>
            <w:r w:rsidRPr="00106B83">
              <w:rPr>
                <w:rFonts w:ascii="Times New Roman" w:hAnsi="Times New Roman"/>
                <w:b/>
                <w:bCs/>
                <w:i/>
                <w:iCs/>
                <w:color w:val="FFFFFF"/>
                <w:kern w:val="0"/>
                <w:sz w:val="24"/>
                <w14:ligatures w14:val="none"/>
              </w:rPr>
              <w:t>SE</w:t>
            </w:r>
            <w:r w:rsidRPr="00106B83">
              <w:rPr>
                <w:rFonts w:ascii="Times New Roman" w:hAnsi="Times New Roman"/>
                <w:b/>
                <w:bCs/>
                <w:color w:val="FFFFFF"/>
                <w:kern w:val="0"/>
                <w:sz w:val="24"/>
                <w14:ligatures w14:val="none"/>
              </w:rPr>
              <w:t>)</w:t>
            </w:r>
          </w:p>
        </w:tc>
        <w:tc>
          <w:tcPr>
            <w:tcW w:w="0" w:type="auto"/>
            <w:tcBorders>
              <w:top w:val="nil"/>
            </w:tcBorders>
            <w:shd w:val="clear" w:color="auto" w:fill="4E60AC"/>
            <w:vAlign w:val="center"/>
            <w:hideMark/>
          </w:tcPr>
          <w:p w14:paraId="2CC3F1ED"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OR (</w:t>
            </w:r>
            <w:r w:rsidRPr="00106B83">
              <w:rPr>
                <w:rFonts w:ascii="Times New Roman" w:hAnsi="Times New Roman"/>
                <w:b/>
                <w:bCs/>
                <w:i/>
                <w:iCs/>
                <w:color w:val="FFFFFF"/>
                <w:kern w:val="0"/>
                <w:sz w:val="24"/>
                <w14:ligatures w14:val="none"/>
              </w:rPr>
              <w:t>SE</w:t>
            </w:r>
            <w:r w:rsidRPr="00106B83">
              <w:rPr>
                <w:rFonts w:ascii="Times New Roman" w:hAnsi="Times New Roman"/>
                <w:b/>
                <w:bCs/>
                <w:color w:val="FFFFFF"/>
                <w:kern w:val="0"/>
                <w:sz w:val="24"/>
                <w14:ligatures w14:val="none"/>
              </w:rPr>
              <w:t>)</w:t>
            </w:r>
          </w:p>
        </w:tc>
        <w:tc>
          <w:tcPr>
            <w:tcW w:w="0" w:type="auto"/>
            <w:tcBorders>
              <w:top w:val="nil"/>
            </w:tcBorders>
            <w:shd w:val="clear" w:color="auto" w:fill="4E60AC"/>
            <w:vAlign w:val="center"/>
            <w:hideMark/>
          </w:tcPr>
          <w:p w14:paraId="7424E337"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OR (</w:t>
            </w:r>
            <w:r w:rsidRPr="00106B83">
              <w:rPr>
                <w:rFonts w:ascii="Times New Roman" w:hAnsi="Times New Roman"/>
                <w:b/>
                <w:bCs/>
                <w:i/>
                <w:iCs/>
                <w:color w:val="FFFFFF"/>
                <w:kern w:val="0"/>
                <w:sz w:val="24"/>
                <w14:ligatures w14:val="none"/>
              </w:rPr>
              <w:t>SE</w:t>
            </w:r>
            <w:r w:rsidRPr="00106B83">
              <w:rPr>
                <w:rFonts w:ascii="Times New Roman" w:hAnsi="Times New Roman"/>
                <w:b/>
                <w:bCs/>
                <w:color w:val="FFFFFF"/>
                <w:kern w:val="0"/>
                <w:sz w:val="24"/>
                <w14:ligatures w14:val="none"/>
              </w:rPr>
              <w:t>)</w:t>
            </w:r>
          </w:p>
        </w:tc>
        <w:tc>
          <w:tcPr>
            <w:tcW w:w="0" w:type="auto"/>
            <w:tcBorders>
              <w:top w:val="nil"/>
            </w:tcBorders>
            <w:shd w:val="clear" w:color="auto" w:fill="4E60AC"/>
            <w:vAlign w:val="center"/>
            <w:hideMark/>
          </w:tcPr>
          <w:p w14:paraId="462DB82E"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i/>
                <w:iCs/>
                <w:color w:val="FFFFFF"/>
                <w:kern w:val="0"/>
                <w:sz w:val="24"/>
                <w14:ligatures w14:val="none"/>
              </w:rPr>
              <w:t>b</w:t>
            </w:r>
            <w:r w:rsidRPr="00106B83">
              <w:rPr>
                <w:rFonts w:ascii="Times New Roman" w:hAnsi="Times New Roman"/>
                <w:b/>
                <w:bCs/>
                <w:color w:val="FFFFFF"/>
                <w:kern w:val="0"/>
                <w:sz w:val="24"/>
                <w14:ligatures w14:val="none"/>
              </w:rPr>
              <w:t> (</w:t>
            </w:r>
            <w:r w:rsidRPr="00106B83">
              <w:rPr>
                <w:rFonts w:ascii="Times New Roman" w:hAnsi="Times New Roman"/>
                <w:b/>
                <w:bCs/>
                <w:i/>
                <w:iCs/>
                <w:color w:val="FFFFFF"/>
                <w:kern w:val="0"/>
                <w:sz w:val="24"/>
                <w14:ligatures w14:val="none"/>
              </w:rPr>
              <w:t>SE</w:t>
            </w:r>
            <w:r w:rsidRPr="00106B83">
              <w:rPr>
                <w:rFonts w:ascii="Times New Roman" w:hAnsi="Times New Roman"/>
                <w:b/>
                <w:bCs/>
                <w:color w:val="FFFFFF"/>
                <w:kern w:val="0"/>
                <w:sz w:val="24"/>
                <w14:ligatures w14:val="none"/>
              </w:rPr>
              <w:t>)</w:t>
            </w:r>
          </w:p>
        </w:tc>
        <w:tc>
          <w:tcPr>
            <w:tcW w:w="0" w:type="auto"/>
            <w:tcBorders>
              <w:top w:val="nil"/>
            </w:tcBorders>
            <w:shd w:val="clear" w:color="auto" w:fill="4E60AC"/>
            <w:vAlign w:val="center"/>
            <w:hideMark/>
          </w:tcPr>
          <w:p w14:paraId="62FF98A5"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β</w:t>
            </w:r>
          </w:p>
        </w:tc>
        <w:tc>
          <w:tcPr>
            <w:tcW w:w="0" w:type="auto"/>
            <w:tcBorders>
              <w:top w:val="nil"/>
            </w:tcBorders>
            <w:shd w:val="clear" w:color="auto" w:fill="4E60AC"/>
            <w:vAlign w:val="center"/>
            <w:hideMark/>
          </w:tcPr>
          <w:p w14:paraId="028FED47"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OR (</w:t>
            </w:r>
            <w:r w:rsidRPr="00106B83">
              <w:rPr>
                <w:rFonts w:ascii="Times New Roman" w:hAnsi="Times New Roman"/>
                <w:b/>
                <w:bCs/>
                <w:i/>
                <w:iCs/>
                <w:color w:val="FFFFFF"/>
                <w:kern w:val="0"/>
                <w:sz w:val="24"/>
                <w14:ligatures w14:val="none"/>
              </w:rPr>
              <w:t>SE</w:t>
            </w:r>
            <w:r w:rsidRPr="00106B83">
              <w:rPr>
                <w:rFonts w:ascii="Times New Roman" w:hAnsi="Times New Roman"/>
                <w:b/>
                <w:bCs/>
                <w:color w:val="FFFFFF"/>
                <w:kern w:val="0"/>
                <w:sz w:val="24"/>
                <w14:ligatures w14:val="none"/>
              </w:rPr>
              <w:t>)</w:t>
            </w:r>
          </w:p>
        </w:tc>
        <w:tc>
          <w:tcPr>
            <w:tcW w:w="0" w:type="auto"/>
            <w:tcBorders>
              <w:top w:val="nil"/>
            </w:tcBorders>
            <w:shd w:val="clear" w:color="auto" w:fill="4E60AC"/>
            <w:vAlign w:val="center"/>
            <w:hideMark/>
          </w:tcPr>
          <w:p w14:paraId="668E6F84"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OR (</w:t>
            </w:r>
            <w:r w:rsidRPr="00106B83">
              <w:rPr>
                <w:rFonts w:ascii="Times New Roman" w:hAnsi="Times New Roman"/>
                <w:b/>
                <w:bCs/>
                <w:i/>
                <w:iCs/>
                <w:color w:val="FFFFFF"/>
                <w:kern w:val="0"/>
                <w:sz w:val="24"/>
                <w14:ligatures w14:val="none"/>
              </w:rPr>
              <w:t>SE</w:t>
            </w:r>
            <w:r w:rsidRPr="00106B83">
              <w:rPr>
                <w:rFonts w:ascii="Times New Roman" w:hAnsi="Times New Roman"/>
                <w:b/>
                <w:bCs/>
                <w:color w:val="FFFFFF"/>
                <w:kern w:val="0"/>
                <w:sz w:val="24"/>
                <w14:ligatures w14:val="none"/>
              </w:rPr>
              <w:t>)</w:t>
            </w:r>
          </w:p>
        </w:tc>
      </w:tr>
      <w:tr w:rsidR="00106B83" w:rsidRPr="00106B83" w14:paraId="47A8BE56" w14:textId="77777777" w:rsidTr="00106B83">
        <w:trPr>
          <w:tblCellSpacing w:w="15" w:type="dxa"/>
        </w:trPr>
        <w:tc>
          <w:tcPr>
            <w:tcW w:w="0" w:type="auto"/>
            <w:tcBorders>
              <w:top w:val="nil"/>
            </w:tcBorders>
            <w:vAlign w:val="center"/>
            <w:hideMark/>
          </w:tcPr>
          <w:p w14:paraId="52489825"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Redeemability</w:t>
            </w:r>
          </w:p>
        </w:tc>
        <w:tc>
          <w:tcPr>
            <w:tcW w:w="0" w:type="auto"/>
            <w:tcBorders>
              <w:top w:val="nil"/>
            </w:tcBorders>
            <w:vAlign w:val="center"/>
            <w:hideMark/>
          </w:tcPr>
          <w:p w14:paraId="4601AB3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0.388</w:t>
            </w:r>
            <w:hyperlink r:id="rId142" w:anchor="table-fn3-0093854820913585" w:history="1">
              <w:r w:rsidRPr="00106B83">
                <w:rPr>
                  <w:rFonts w:ascii="Times New Roman" w:hAnsi="Times New Roman"/>
                  <w:color w:val="046FF8"/>
                  <w:kern w:val="0"/>
                  <w:sz w:val="24"/>
                  <w:u w:val="single"/>
                  <w14:ligatures w14:val="none"/>
                </w:rPr>
                <w:t>***</w:t>
              </w:r>
            </w:hyperlink>
            <w:r w:rsidRPr="00106B83">
              <w:rPr>
                <w:rFonts w:ascii="Times New Roman" w:hAnsi="Times New Roman"/>
                <w:kern w:val="0"/>
                <w:sz w:val="24"/>
                <w14:ligatures w14:val="none"/>
              </w:rPr>
              <w:t>(.05)</w:t>
            </w:r>
          </w:p>
        </w:tc>
        <w:tc>
          <w:tcPr>
            <w:tcW w:w="0" w:type="auto"/>
            <w:tcBorders>
              <w:top w:val="nil"/>
            </w:tcBorders>
            <w:vAlign w:val="center"/>
            <w:hideMark/>
          </w:tcPr>
          <w:p w14:paraId="4912583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0.312</w:t>
            </w:r>
            <w:hyperlink r:id="rId143" w:anchor="table-fn3-0093854820913585" w:history="1">
              <w:r w:rsidRPr="00106B83">
                <w:rPr>
                  <w:rFonts w:ascii="Times New Roman" w:hAnsi="Times New Roman"/>
                  <w:color w:val="046FF8"/>
                  <w:kern w:val="0"/>
                  <w:sz w:val="24"/>
                  <w:u w:val="single"/>
                  <w14:ligatures w14:val="none"/>
                </w:rPr>
                <w:t>***</w:t>
              </w:r>
            </w:hyperlink>
            <w:r w:rsidRPr="00106B83">
              <w:rPr>
                <w:rFonts w:ascii="Times New Roman" w:hAnsi="Times New Roman"/>
                <w:kern w:val="0"/>
                <w:sz w:val="24"/>
                <w14:ligatures w14:val="none"/>
              </w:rPr>
              <w:t>(.05)</w:t>
            </w:r>
          </w:p>
        </w:tc>
        <w:tc>
          <w:tcPr>
            <w:tcW w:w="0" w:type="auto"/>
            <w:tcBorders>
              <w:top w:val="nil"/>
            </w:tcBorders>
            <w:vAlign w:val="center"/>
            <w:hideMark/>
          </w:tcPr>
          <w:p w14:paraId="5FCFEE4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0.248</w:t>
            </w:r>
            <w:hyperlink r:id="rId144" w:anchor="table-fn3-0093854820913585" w:history="1">
              <w:r w:rsidRPr="00106B83">
                <w:rPr>
                  <w:rFonts w:ascii="Times New Roman" w:hAnsi="Times New Roman"/>
                  <w:color w:val="046FF8"/>
                  <w:kern w:val="0"/>
                  <w:sz w:val="24"/>
                  <w:u w:val="single"/>
                  <w14:ligatures w14:val="none"/>
                </w:rPr>
                <w:t>***</w:t>
              </w:r>
            </w:hyperlink>
            <w:r w:rsidRPr="00106B83">
              <w:rPr>
                <w:rFonts w:ascii="Times New Roman" w:hAnsi="Times New Roman"/>
                <w:kern w:val="0"/>
                <w:sz w:val="24"/>
                <w14:ligatures w14:val="none"/>
              </w:rPr>
              <w:t> (.04)</w:t>
            </w:r>
          </w:p>
        </w:tc>
        <w:tc>
          <w:tcPr>
            <w:tcW w:w="0" w:type="auto"/>
            <w:tcBorders>
              <w:top w:val="nil"/>
            </w:tcBorders>
            <w:vAlign w:val="center"/>
            <w:hideMark/>
          </w:tcPr>
          <w:p w14:paraId="46F51CF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3.399</w:t>
            </w:r>
            <w:hyperlink r:id="rId145" w:anchor="table-fn3-0093854820913585" w:history="1">
              <w:r w:rsidRPr="00106B83">
                <w:rPr>
                  <w:rFonts w:ascii="Times New Roman" w:hAnsi="Times New Roman"/>
                  <w:color w:val="046FF8"/>
                  <w:kern w:val="0"/>
                  <w:sz w:val="24"/>
                  <w:u w:val="single"/>
                  <w14:ligatures w14:val="none"/>
                </w:rPr>
                <w:t>***</w:t>
              </w:r>
            </w:hyperlink>
            <w:r w:rsidRPr="00106B83">
              <w:rPr>
                <w:rFonts w:ascii="Times New Roman" w:hAnsi="Times New Roman"/>
                <w:kern w:val="0"/>
                <w:sz w:val="24"/>
                <w14:ligatures w14:val="none"/>
              </w:rPr>
              <w:t> (.61)</w:t>
            </w:r>
          </w:p>
        </w:tc>
        <w:tc>
          <w:tcPr>
            <w:tcW w:w="0" w:type="auto"/>
            <w:tcBorders>
              <w:top w:val="nil"/>
            </w:tcBorders>
            <w:vAlign w:val="center"/>
            <w:hideMark/>
          </w:tcPr>
          <w:p w14:paraId="44661823"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0.765</w:t>
            </w:r>
            <w:hyperlink r:id="rId146" w:anchor="table-fn3-0093854820913585" w:history="1">
              <w:r w:rsidRPr="00106B83">
                <w:rPr>
                  <w:rFonts w:ascii="Times New Roman" w:hAnsi="Times New Roman"/>
                  <w:color w:val="046FF8"/>
                  <w:kern w:val="0"/>
                  <w:sz w:val="24"/>
                  <w:u w:val="single"/>
                  <w14:ligatures w14:val="none"/>
                </w:rPr>
                <w:t>***</w:t>
              </w:r>
            </w:hyperlink>
            <w:r w:rsidRPr="00106B83">
              <w:rPr>
                <w:rFonts w:ascii="Times New Roman" w:hAnsi="Times New Roman"/>
                <w:kern w:val="0"/>
                <w:sz w:val="24"/>
                <w14:ligatures w14:val="none"/>
              </w:rPr>
              <w:t>(.04)</w:t>
            </w:r>
          </w:p>
        </w:tc>
        <w:tc>
          <w:tcPr>
            <w:tcW w:w="0" w:type="auto"/>
            <w:tcBorders>
              <w:top w:val="nil"/>
            </w:tcBorders>
            <w:vAlign w:val="center"/>
            <w:hideMark/>
          </w:tcPr>
          <w:p w14:paraId="1BB8C4B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.657</w:t>
            </w:r>
          </w:p>
        </w:tc>
        <w:tc>
          <w:tcPr>
            <w:tcW w:w="0" w:type="auto"/>
            <w:tcBorders>
              <w:top w:val="nil"/>
            </w:tcBorders>
            <w:vAlign w:val="center"/>
            <w:hideMark/>
          </w:tcPr>
          <w:p w14:paraId="1A5F7DB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2.523</w:t>
            </w:r>
            <w:hyperlink r:id="rId147" w:anchor="table-fn3-0093854820913585" w:history="1">
              <w:r w:rsidRPr="00106B83">
                <w:rPr>
                  <w:rFonts w:ascii="Times New Roman" w:hAnsi="Times New Roman"/>
                  <w:color w:val="046FF8"/>
                  <w:kern w:val="0"/>
                  <w:sz w:val="24"/>
                  <w:u w:val="single"/>
                  <w14:ligatures w14:val="none"/>
                </w:rPr>
                <w:t>***</w:t>
              </w:r>
            </w:hyperlink>
            <w:r w:rsidRPr="00106B83">
              <w:rPr>
                <w:rFonts w:ascii="Times New Roman" w:hAnsi="Times New Roman"/>
                <w:kern w:val="0"/>
                <w:sz w:val="24"/>
                <w14:ligatures w14:val="none"/>
              </w:rPr>
              <w:t>(.33)</w:t>
            </w:r>
          </w:p>
        </w:tc>
        <w:tc>
          <w:tcPr>
            <w:tcW w:w="0" w:type="auto"/>
            <w:tcBorders>
              <w:top w:val="nil"/>
            </w:tcBorders>
            <w:vAlign w:val="center"/>
            <w:hideMark/>
          </w:tcPr>
          <w:p w14:paraId="5C65C7A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2.514</w:t>
            </w:r>
            <w:hyperlink r:id="rId148" w:anchor="table-fn3-0093854820913585" w:history="1">
              <w:r w:rsidRPr="00106B83">
                <w:rPr>
                  <w:rFonts w:ascii="Times New Roman" w:hAnsi="Times New Roman"/>
                  <w:color w:val="046FF8"/>
                  <w:kern w:val="0"/>
                  <w:sz w:val="24"/>
                  <w:u w:val="single"/>
                  <w14:ligatures w14:val="none"/>
                </w:rPr>
                <w:t>***</w:t>
              </w:r>
            </w:hyperlink>
            <w:r w:rsidRPr="00106B83">
              <w:rPr>
                <w:rFonts w:ascii="Times New Roman" w:hAnsi="Times New Roman"/>
                <w:kern w:val="0"/>
                <w:sz w:val="24"/>
                <w14:ligatures w14:val="none"/>
              </w:rPr>
              <w:t> (.30)</w:t>
            </w:r>
          </w:p>
        </w:tc>
      </w:tr>
      <w:tr w:rsidR="00106B83" w:rsidRPr="00106B83" w14:paraId="7D44F748" w14:textId="77777777" w:rsidTr="00106B83">
        <w:trPr>
          <w:tblCellSpacing w:w="15" w:type="dxa"/>
        </w:trPr>
        <w:tc>
          <w:tcPr>
            <w:tcW w:w="0" w:type="auto"/>
            <w:tcBorders>
              <w:top w:val="single" w:sz="6" w:space="0" w:color="DDDDDD"/>
            </w:tcBorders>
            <w:shd w:val="clear" w:color="auto" w:fill="F7F7F7"/>
            <w:vAlign w:val="center"/>
            <w:hideMark/>
          </w:tcPr>
          <w:p w14:paraId="2F9AC854"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Republican</w:t>
            </w:r>
          </w:p>
        </w:tc>
        <w:tc>
          <w:tcPr>
            <w:tcW w:w="0" w:type="auto"/>
            <w:tcBorders>
              <w:top w:val="single" w:sz="6" w:space="0" w:color="DDDDDD"/>
            </w:tcBorders>
            <w:shd w:val="clear" w:color="auto" w:fill="F7F7F7"/>
            <w:vAlign w:val="center"/>
            <w:hideMark/>
          </w:tcPr>
          <w:p w14:paraId="6004053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1.035 (.28)</w:t>
            </w:r>
          </w:p>
        </w:tc>
        <w:tc>
          <w:tcPr>
            <w:tcW w:w="0" w:type="auto"/>
            <w:tcBorders>
              <w:top w:val="single" w:sz="6" w:space="0" w:color="DDDDDD"/>
            </w:tcBorders>
            <w:shd w:val="clear" w:color="auto" w:fill="F7F7F7"/>
            <w:vAlign w:val="center"/>
            <w:hideMark/>
          </w:tcPr>
          <w:p w14:paraId="154A2DB6"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1.153 (.30)</w:t>
            </w:r>
          </w:p>
        </w:tc>
        <w:tc>
          <w:tcPr>
            <w:tcW w:w="0" w:type="auto"/>
            <w:tcBorders>
              <w:top w:val="single" w:sz="6" w:space="0" w:color="DDDDDD"/>
            </w:tcBorders>
            <w:shd w:val="clear" w:color="auto" w:fill="F7F7F7"/>
            <w:vAlign w:val="center"/>
            <w:hideMark/>
          </w:tcPr>
          <w:p w14:paraId="59C8613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0.820 (.21)</w:t>
            </w:r>
          </w:p>
        </w:tc>
        <w:tc>
          <w:tcPr>
            <w:tcW w:w="0" w:type="auto"/>
            <w:tcBorders>
              <w:top w:val="single" w:sz="6" w:space="0" w:color="DDDDDD"/>
            </w:tcBorders>
            <w:shd w:val="clear" w:color="auto" w:fill="F7F7F7"/>
            <w:vAlign w:val="center"/>
            <w:hideMark/>
          </w:tcPr>
          <w:p w14:paraId="7745E9A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0.586</w:t>
            </w:r>
            <w:hyperlink r:id="rId149" w:anchor="table-fn3-0093854820913585" w:history="1">
              <w:r w:rsidRPr="00106B83">
                <w:rPr>
                  <w:rFonts w:ascii="Times New Roman" w:hAnsi="Times New Roman"/>
                  <w:color w:val="046FF8"/>
                  <w:kern w:val="0"/>
                  <w:sz w:val="24"/>
                  <w:u w:val="single"/>
                  <w14:ligatures w14:val="none"/>
                </w:rPr>
                <w:t>*</w:t>
              </w:r>
            </w:hyperlink>
            <w:r w:rsidRPr="00106B83">
              <w:rPr>
                <w:rFonts w:ascii="Times New Roman" w:hAnsi="Times New Roman"/>
                <w:kern w:val="0"/>
                <w:sz w:val="24"/>
                <w14:ligatures w14:val="none"/>
              </w:rPr>
              <w:t> (.15)</w:t>
            </w:r>
          </w:p>
        </w:tc>
        <w:tc>
          <w:tcPr>
            <w:tcW w:w="0" w:type="auto"/>
            <w:tcBorders>
              <w:top w:val="single" w:sz="6" w:space="0" w:color="DDDDDD"/>
            </w:tcBorders>
            <w:shd w:val="clear" w:color="auto" w:fill="F7F7F7"/>
            <w:vAlign w:val="center"/>
            <w:hideMark/>
          </w:tcPr>
          <w:p w14:paraId="502246E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−0.055 (.08)</w:t>
            </w:r>
          </w:p>
        </w:tc>
        <w:tc>
          <w:tcPr>
            <w:tcW w:w="0" w:type="auto"/>
            <w:tcBorders>
              <w:top w:val="single" w:sz="6" w:space="0" w:color="DDDDDD"/>
            </w:tcBorders>
            <w:shd w:val="clear" w:color="auto" w:fill="F7F7F7"/>
            <w:vAlign w:val="center"/>
            <w:hideMark/>
          </w:tcPr>
          <w:p w14:paraId="4E06B01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−.024</w:t>
            </w:r>
          </w:p>
        </w:tc>
        <w:tc>
          <w:tcPr>
            <w:tcW w:w="0" w:type="auto"/>
            <w:tcBorders>
              <w:top w:val="single" w:sz="6" w:space="0" w:color="DDDDDD"/>
            </w:tcBorders>
            <w:shd w:val="clear" w:color="auto" w:fill="F7F7F7"/>
            <w:vAlign w:val="center"/>
            <w:hideMark/>
          </w:tcPr>
          <w:p w14:paraId="719EF1B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1.212 (.29)</w:t>
            </w:r>
          </w:p>
        </w:tc>
        <w:tc>
          <w:tcPr>
            <w:tcW w:w="0" w:type="auto"/>
            <w:tcBorders>
              <w:top w:val="single" w:sz="6" w:space="0" w:color="DDDDDD"/>
            </w:tcBorders>
            <w:shd w:val="clear" w:color="auto" w:fill="F7F7F7"/>
            <w:vAlign w:val="center"/>
            <w:hideMark/>
          </w:tcPr>
          <w:p w14:paraId="79AD027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1.033 (.27)</w:t>
            </w:r>
          </w:p>
        </w:tc>
      </w:tr>
      <w:tr w:rsidR="00106B83" w:rsidRPr="00106B83" w14:paraId="4D0BF105" w14:textId="77777777" w:rsidTr="00106B83">
        <w:trPr>
          <w:tblCellSpacing w:w="15" w:type="dxa"/>
        </w:trPr>
        <w:tc>
          <w:tcPr>
            <w:tcW w:w="0" w:type="auto"/>
            <w:tcBorders>
              <w:top w:val="single" w:sz="6" w:space="0" w:color="DDDDDD"/>
            </w:tcBorders>
            <w:vAlign w:val="center"/>
            <w:hideMark/>
          </w:tcPr>
          <w:p w14:paraId="59CF73D3"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Conservatism</w:t>
            </w:r>
          </w:p>
        </w:tc>
        <w:tc>
          <w:tcPr>
            <w:tcW w:w="0" w:type="auto"/>
            <w:tcBorders>
              <w:top w:val="single" w:sz="6" w:space="0" w:color="DDDDDD"/>
            </w:tcBorders>
            <w:vAlign w:val="center"/>
            <w:hideMark/>
          </w:tcPr>
          <w:p w14:paraId="069B4A6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2.383</w:t>
            </w:r>
            <w:hyperlink r:id="rId150" w:anchor="table-fn3-0093854820913585" w:history="1">
              <w:r w:rsidRPr="00106B83">
                <w:rPr>
                  <w:rFonts w:ascii="Times New Roman" w:hAnsi="Times New Roman"/>
                  <w:color w:val="046FF8"/>
                  <w:kern w:val="0"/>
                  <w:sz w:val="24"/>
                  <w:u w:val="single"/>
                  <w14:ligatures w14:val="none"/>
                </w:rPr>
                <w:t>**</w:t>
              </w:r>
            </w:hyperlink>
            <w:r w:rsidRPr="00106B83">
              <w:rPr>
                <w:rFonts w:ascii="Times New Roman" w:hAnsi="Times New Roman"/>
                <w:kern w:val="0"/>
                <w:sz w:val="24"/>
                <w14:ligatures w14:val="none"/>
              </w:rPr>
              <w:t>(.64)</w:t>
            </w:r>
          </w:p>
        </w:tc>
        <w:tc>
          <w:tcPr>
            <w:tcW w:w="0" w:type="auto"/>
            <w:tcBorders>
              <w:top w:val="single" w:sz="6" w:space="0" w:color="DDDDDD"/>
            </w:tcBorders>
            <w:vAlign w:val="center"/>
            <w:hideMark/>
          </w:tcPr>
          <w:p w14:paraId="0E83439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1.414 (.35)</w:t>
            </w:r>
          </w:p>
        </w:tc>
        <w:tc>
          <w:tcPr>
            <w:tcW w:w="0" w:type="auto"/>
            <w:tcBorders>
              <w:top w:val="single" w:sz="6" w:space="0" w:color="DDDDDD"/>
            </w:tcBorders>
            <w:vAlign w:val="center"/>
            <w:hideMark/>
          </w:tcPr>
          <w:p w14:paraId="5CC3D0D7"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1.920</w:t>
            </w:r>
            <w:hyperlink r:id="rId151" w:anchor="table-fn3-0093854820913585" w:history="1">
              <w:r w:rsidRPr="00106B83">
                <w:rPr>
                  <w:rFonts w:ascii="Times New Roman" w:hAnsi="Times New Roman"/>
                  <w:color w:val="046FF8"/>
                  <w:kern w:val="0"/>
                  <w:sz w:val="24"/>
                  <w:u w:val="single"/>
                  <w14:ligatures w14:val="none"/>
                </w:rPr>
                <w:t>**</w:t>
              </w:r>
            </w:hyperlink>
            <w:r w:rsidRPr="00106B83">
              <w:rPr>
                <w:rFonts w:ascii="Times New Roman" w:hAnsi="Times New Roman"/>
                <w:kern w:val="0"/>
                <w:sz w:val="24"/>
                <w14:ligatures w14:val="none"/>
              </w:rPr>
              <w:t> (.47)</w:t>
            </w:r>
          </w:p>
        </w:tc>
        <w:tc>
          <w:tcPr>
            <w:tcW w:w="0" w:type="auto"/>
            <w:tcBorders>
              <w:top w:val="single" w:sz="6" w:space="0" w:color="DDDDDD"/>
            </w:tcBorders>
            <w:vAlign w:val="center"/>
            <w:hideMark/>
          </w:tcPr>
          <w:p w14:paraId="5F2FA6A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0.605</w:t>
            </w:r>
            <w:hyperlink r:id="rId152" w:anchor="table-fn3-0093854820913585" w:history="1">
              <w:r w:rsidRPr="00106B83">
                <w:rPr>
                  <w:rFonts w:ascii="Times New Roman" w:hAnsi="Times New Roman"/>
                  <w:color w:val="046FF8"/>
                  <w:kern w:val="0"/>
                  <w:sz w:val="24"/>
                  <w:u w:val="single"/>
                  <w14:ligatures w14:val="none"/>
                </w:rPr>
                <w:t>*</w:t>
              </w:r>
            </w:hyperlink>
            <w:r w:rsidRPr="00106B83">
              <w:rPr>
                <w:rFonts w:ascii="Times New Roman" w:hAnsi="Times New Roman"/>
                <w:kern w:val="0"/>
                <w:sz w:val="24"/>
                <w14:ligatures w14:val="none"/>
              </w:rPr>
              <w:t> (.15)</w:t>
            </w:r>
          </w:p>
        </w:tc>
        <w:tc>
          <w:tcPr>
            <w:tcW w:w="0" w:type="auto"/>
            <w:tcBorders>
              <w:top w:val="single" w:sz="6" w:space="0" w:color="DDDDDD"/>
            </w:tcBorders>
            <w:vAlign w:val="center"/>
            <w:hideMark/>
          </w:tcPr>
          <w:p w14:paraId="4219AA70"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−0.190</w:t>
            </w:r>
            <w:hyperlink r:id="rId153" w:anchor="table-fn3-0093854820913585" w:history="1">
              <w:r w:rsidRPr="00106B83">
                <w:rPr>
                  <w:rFonts w:ascii="Times New Roman" w:hAnsi="Times New Roman"/>
                  <w:color w:val="046FF8"/>
                  <w:kern w:val="0"/>
                  <w:sz w:val="24"/>
                  <w:u w:val="single"/>
                  <w14:ligatures w14:val="none"/>
                </w:rPr>
                <w:t>*</w:t>
              </w:r>
            </w:hyperlink>
            <w:r w:rsidRPr="00106B83">
              <w:rPr>
                <w:rFonts w:ascii="Times New Roman" w:hAnsi="Times New Roman"/>
                <w:kern w:val="0"/>
                <w:sz w:val="24"/>
                <w14:ligatures w14:val="none"/>
              </w:rPr>
              <w:t>(.09)</w:t>
            </w:r>
          </w:p>
        </w:tc>
        <w:tc>
          <w:tcPr>
            <w:tcW w:w="0" w:type="auto"/>
            <w:tcBorders>
              <w:top w:val="single" w:sz="6" w:space="0" w:color="DDDDDD"/>
            </w:tcBorders>
            <w:vAlign w:val="center"/>
            <w:hideMark/>
          </w:tcPr>
          <w:p w14:paraId="6DAC6CF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−.093</w:t>
            </w:r>
          </w:p>
        </w:tc>
        <w:tc>
          <w:tcPr>
            <w:tcW w:w="0" w:type="auto"/>
            <w:tcBorders>
              <w:top w:val="single" w:sz="6" w:space="0" w:color="DDDDDD"/>
            </w:tcBorders>
            <w:vAlign w:val="center"/>
            <w:hideMark/>
          </w:tcPr>
          <w:p w14:paraId="0ADE321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0.590</w:t>
            </w:r>
            <w:hyperlink r:id="rId154" w:anchor="table-fn3-0093854820913585" w:history="1">
              <w:r w:rsidRPr="00106B83">
                <w:rPr>
                  <w:rFonts w:ascii="Times New Roman" w:hAnsi="Times New Roman"/>
                  <w:color w:val="046FF8"/>
                  <w:kern w:val="0"/>
                  <w:sz w:val="24"/>
                  <w:u w:val="single"/>
                  <w14:ligatures w14:val="none"/>
                </w:rPr>
                <w:t>*</w:t>
              </w:r>
            </w:hyperlink>
            <w:r w:rsidRPr="00106B83">
              <w:rPr>
                <w:rFonts w:ascii="Times New Roman" w:hAnsi="Times New Roman"/>
                <w:kern w:val="0"/>
                <w:sz w:val="24"/>
                <w14:ligatures w14:val="none"/>
              </w:rPr>
              <w:t>(.15)</w:t>
            </w:r>
          </w:p>
        </w:tc>
        <w:tc>
          <w:tcPr>
            <w:tcW w:w="0" w:type="auto"/>
            <w:tcBorders>
              <w:top w:val="single" w:sz="6" w:space="0" w:color="DDDDDD"/>
            </w:tcBorders>
            <w:vAlign w:val="center"/>
            <w:hideMark/>
          </w:tcPr>
          <w:p w14:paraId="0934E39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0.565</w:t>
            </w:r>
            <w:hyperlink r:id="rId155" w:anchor="table-fn3-0093854820913585" w:history="1">
              <w:r w:rsidRPr="00106B83">
                <w:rPr>
                  <w:rFonts w:ascii="Times New Roman" w:hAnsi="Times New Roman"/>
                  <w:color w:val="046FF8"/>
                  <w:kern w:val="0"/>
                  <w:sz w:val="24"/>
                  <w:u w:val="single"/>
                  <w14:ligatures w14:val="none"/>
                </w:rPr>
                <w:t>*</w:t>
              </w:r>
            </w:hyperlink>
            <w:r w:rsidRPr="00106B83">
              <w:rPr>
                <w:rFonts w:ascii="Times New Roman" w:hAnsi="Times New Roman"/>
                <w:kern w:val="0"/>
                <w:sz w:val="24"/>
                <w14:ligatures w14:val="none"/>
              </w:rPr>
              <w:t> (.14)</w:t>
            </w:r>
          </w:p>
        </w:tc>
      </w:tr>
      <w:tr w:rsidR="00106B83" w:rsidRPr="00106B83" w14:paraId="1A1DABAF" w14:textId="77777777" w:rsidTr="00106B83">
        <w:trPr>
          <w:tblCellSpacing w:w="15" w:type="dxa"/>
        </w:trPr>
        <w:tc>
          <w:tcPr>
            <w:tcW w:w="0" w:type="auto"/>
            <w:tcBorders>
              <w:top w:val="single" w:sz="6" w:space="0" w:color="DDDDDD"/>
            </w:tcBorders>
            <w:shd w:val="clear" w:color="auto" w:fill="F7F7F7"/>
            <w:vAlign w:val="center"/>
            <w:hideMark/>
          </w:tcPr>
          <w:p w14:paraId="5E2A2C80"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Religiosity</w:t>
            </w:r>
          </w:p>
        </w:tc>
        <w:tc>
          <w:tcPr>
            <w:tcW w:w="0" w:type="auto"/>
            <w:tcBorders>
              <w:top w:val="single" w:sz="6" w:space="0" w:color="DDDDDD"/>
            </w:tcBorders>
            <w:shd w:val="clear" w:color="auto" w:fill="F7F7F7"/>
            <w:vAlign w:val="center"/>
            <w:hideMark/>
          </w:tcPr>
          <w:p w14:paraId="12FA029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1.070 (.14)</w:t>
            </w:r>
          </w:p>
        </w:tc>
        <w:tc>
          <w:tcPr>
            <w:tcW w:w="0" w:type="auto"/>
            <w:tcBorders>
              <w:top w:val="single" w:sz="6" w:space="0" w:color="DDDDDD"/>
            </w:tcBorders>
            <w:shd w:val="clear" w:color="auto" w:fill="F7F7F7"/>
            <w:vAlign w:val="center"/>
            <w:hideMark/>
          </w:tcPr>
          <w:p w14:paraId="1C43324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1.206 (.17)</w:t>
            </w:r>
          </w:p>
        </w:tc>
        <w:tc>
          <w:tcPr>
            <w:tcW w:w="0" w:type="auto"/>
            <w:tcBorders>
              <w:top w:val="single" w:sz="6" w:space="0" w:color="DDDDDD"/>
            </w:tcBorders>
            <w:shd w:val="clear" w:color="auto" w:fill="F7F7F7"/>
            <w:vAlign w:val="center"/>
            <w:hideMark/>
          </w:tcPr>
          <w:p w14:paraId="58EBACB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1.134 (.15)</w:t>
            </w:r>
          </w:p>
        </w:tc>
        <w:tc>
          <w:tcPr>
            <w:tcW w:w="0" w:type="auto"/>
            <w:tcBorders>
              <w:top w:val="single" w:sz="6" w:space="0" w:color="DDDDDD"/>
            </w:tcBorders>
            <w:shd w:val="clear" w:color="auto" w:fill="F7F7F7"/>
            <w:vAlign w:val="center"/>
            <w:hideMark/>
          </w:tcPr>
          <w:p w14:paraId="644D14A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0.873 (.13)</w:t>
            </w:r>
          </w:p>
        </w:tc>
        <w:tc>
          <w:tcPr>
            <w:tcW w:w="0" w:type="auto"/>
            <w:tcBorders>
              <w:top w:val="single" w:sz="6" w:space="0" w:color="DDDDDD"/>
            </w:tcBorders>
            <w:shd w:val="clear" w:color="auto" w:fill="F7F7F7"/>
            <w:vAlign w:val="center"/>
            <w:hideMark/>
          </w:tcPr>
          <w:p w14:paraId="7C1D813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−0.063 (.04)</w:t>
            </w:r>
          </w:p>
        </w:tc>
        <w:tc>
          <w:tcPr>
            <w:tcW w:w="0" w:type="auto"/>
            <w:tcBorders>
              <w:top w:val="single" w:sz="6" w:space="0" w:color="DDDDDD"/>
            </w:tcBorders>
            <w:shd w:val="clear" w:color="auto" w:fill="F7F7F7"/>
            <w:vAlign w:val="center"/>
            <w:hideMark/>
          </w:tcPr>
          <w:p w14:paraId="12F3DAB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−.051</w:t>
            </w:r>
          </w:p>
        </w:tc>
        <w:tc>
          <w:tcPr>
            <w:tcW w:w="0" w:type="auto"/>
            <w:tcBorders>
              <w:top w:val="single" w:sz="6" w:space="0" w:color="DDDDDD"/>
            </w:tcBorders>
            <w:shd w:val="clear" w:color="auto" w:fill="F7F7F7"/>
            <w:vAlign w:val="center"/>
            <w:hideMark/>
          </w:tcPr>
          <w:p w14:paraId="3019E14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0.937 (.12)</w:t>
            </w:r>
          </w:p>
        </w:tc>
        <w:tc>
          <w:tcPr>
            <w:tcW w:w="0" w:type="auto"/>
            <w:tcBorders>
              <w:top w:val="single" w:sz="6" w:space="0" w:color="DDDDDD"/>
            </w:tcBorders>
            <w:shd w:val="clear" w:color="auto" w:fill="F7F7F7"/>
            <w:vAlign w:val="center"/>
            <w:hideMark/>
          </w:tcPr>
          <w:p w14:paraId="6BE3B82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1.090 (.14)</w:t>
            </w:r>
          </w:p>
        </w:tc>
      </w:tr>
      <w:tr w:rsidR="00106B83" w:rsidRPr="00106B83" w14:paraId="3072913F" w14:textId="77777777" w:rsidTr="00106B83">
        <w:trPr>
          <w:tblCellSpacing w:w="15" w:type="dxa"/>
        </w:trPr>
        <w:tc>
          <w:tcPr>
            <w:tcW w:w="0" w:type="auto"/>
            <w:tcBorders>
              <w:top w:val="single" w:sz="6" w:space="0" w:color="DDDDDD"/>
            </w:tcBorders>
            <w:vAlign w:val="center"/>
            <w:hideMark/>
          </w:tcPr>
          <w:p w14:paraId="7F500C7F"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Married</w:t>
            </w:r>
          </w:p>
        </w:tc>
        <w:tc>
          <w:tcPr>
            <w:tcW w:w="0" w:type="auto"/>
            <w:tcBorders>
              <w:top w:val="single" w:sz="6" w:space="0" w:color="DDDDDD"/>
            </w:tcBorders>
            <w:vAlign w:val="center"/>
            <w:hideMark/>
          </w:tcPr>
          <w:p w14:paraId="3CFC5F9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1.484 (.32)</w:t>
            </w:r>
          </w:p>
        </w:tc>
        <w:tc>
          <w:tcPr>
            <w:tcW w:w="0" w:type="auto"/>
            <w:tcBorders>
              <w:top w:val="single" w:sz="6" w:space="0" w:color="DDDDDD"/>
            </w:tcBorders>
            <w:vAlign w:val="center"/>
            <w:hideMark/>
          </w:tcPr>
          <w:p w14:paraId="38ED176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1.469 (.31)</w:t>
            </w:r>
          </w:p>
        </w:tc>
        <w:tc>
          <w:tcPr>
            <w:tcW w:w="0" w:type="auto"/>
            <w:tcBorders>
              <w:top w:val="single" w:sz="6" w:space="0" w:color="DDDDDD"/>
            </w:tcBorders>
            <w:vAlign w:val="center"/>
            <w:hideMark/>
          </w:tcPr>
          <w:p w14:paraId="7AA8811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0.950 (.20)</w:t>
            </w:r>
          </w:p>
        </w:tc>
        <w:tc>
          <w:tcPr>
            <w:tcW w:w="0" w:type="auto"/>
            <w:tcBorders>
              <w:top w:val="single" w:sz="6" w:space="0" w:color="DDDDDD"/>
            </w:tcBorders>
            <w:vAlign w:val="center"/>
            <w:hideMark/>
          </w:tcPr>
          <w:p w14:paraId="2D6C6C87"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1.065 (.25)</w:t>
            </w:r>
          </w:p>
        </w:tc>
        <w:tc>
          <w:tcPr>
            <w:tcW w:w="0" w:type="auto"/>
            <w:tcBorders>
              <w:top w:val="single" w:sz="6" w:space="0" w:color="DDDDDD"/>
            </w:tcBorders>
            <w:vAlign w:val="center"/>
            <w:hideMark/>
          </w:tcPr>
          <w:p w14:paraId="338C3A8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−0.153</w:t>
            </w:r>
            <w:hyperlink r:id="rId156" w:anchor="table-fn3-0093854820913585" w:history="1">
              <w:r w:rsidRPr="00106B83">
                <w:rPr>
                  <w:rFonts w:ascii="Times New Roman" w:hAnsi="Times New Roman"/>
                  <w:color w:val="046FF8"/>
                  <w:kern w:val="0"/>
                  <w:sz w:val="24"/>
                  <w:u w:val="single"/>
                  <w14:ligatures w14:val="none"/>
                </w:rPr>
                <w:t>*</w:t>
              </w:r>
            </w:hyperlink>
            <w:r w:rsidRPr="00106B83">
              <w:rPr>
                <w:rFonts w:ascii="Times New Roman" w:hAnsi="Times New Roman"/>
                <w:kern w:val="0"/>
                <w:sz w:val="24"/>
                <w14:ligatures w14:val="none"/>
              </w:rPr>
              <w:t>(.06)</w:t>
            </w:r>
          </w:p>
        </w:tc>
        <w:tc>
          <w:tcPr>
            <w:tcW w:w="0" w:type="auto"/>
            <w:tcBorders>
              <w:top w:val="single" w:sz="6" w:space="0" w:color="DDDDDD"/>
            </w:tcBorders>
            <w:vAlign w:val="center"/>
            <w:hideMark/>
          </w:tcPr>
          <w:p w14:paraId="25AF2650"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−.078</w:t>
            </w:r>
          </w:p>
        </w:tc>
        <w:tc>
          <w:tcPr>
            <w:tcW w:w="0" w:type="auto"/>
            <w:tcBorders>
              <w:top w:val="single" w:sz="6" w:space="0" w:color="DDDDDD"/>
            </w:tcBorders>
            <w:vAlign w:val="center"/>
            <w:hideMark/>
          </w:tcPr>
          <w:p w14:paraId="4B5DA4E7"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0.955 (.19)</w:t>
            </w:r>
          </w:p>
        </w:tc>
        <w:tc>
          <w:tcPr>
            <w:tcW w:w="0" w:type="auto"/>
            <w:tcBorders>
              <w:top w:val="single" w:sz="6" w:space="0" w:color="DDDDDD"/>
            </w:tcBorders>
            <w:vAlign w:val="center"/>
            <w:hideMark/>
          </w:tcPr>
          <w:p w14:paraId="628C0397"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0.965 (.20)</w:t>
            </w:r>
          </w:p>
        </w:tc>
      </w:tr>
      <w:tr w:rsidR="00106B83" w:rsidRPr="00106B83" w14:paraId="5068ECCF" w14:textId="77777777" w:rsidTr="00106B83">
        <w:trPr>
          <w:tblCellSpacing w:w="15" w:type="dxa"/>
        </w:trPr>
        <w:tc>
          <w:tcPr>
            <w:tcW w:w="0" w:type="auto"/>
            <w:tcBorders>
              <w:top w:val="single" w:sz="6" w:space="0" w:color="DDDDDD"/>
            </w:tcBorders>
            <w:shd w:val="clear" w:color="auto" w:fill="F7F7F7"/>
            <w:vAlign w:val="center"/>
            <w:hideMark/>
          </w:tcPr>
          <w:p w14:paraId="363AEC1D"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Child in residence</w:t>
            </w:r>
          </w:p>
        </w:tc>
        <w:tc>
          <w:tcPr>
            <w:tcW w:w="0" w:type="auto"/>
            <w:tcBorders>
              <w:top w:val="single" w:sz="6" w:space="0" w:color="DDDDDD"/>
            </w:tcBorders>
            <w:shd w:val="clear" w:color="auto" w:fill="F7F7F7"/>
            <w:vAlign w:val="center"/>
            <w:hideMark/>
          </w:tcPr>
          <w:p w14:paraId="0D80E04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1.173 (.21)</w:t>
            </w:r>
          </w:p>
        </w:tc>
        <w:tc>
          <w:tcPr>
            <w:tcW w:w="0" w:type="auto"/>
            <w:tcBorders>
              <w:top w:val="single" w:sz="6" w:space="0" w:color="DDDDDD"/>
            </w:tcBorders>
            <w:shd w:val="clear" w:color="auto" w:fill="F7F7F7"/>
            <w:vAlign w:val="center"/>
            <w:hideMark/>
          </w:tcPr>
          <w:p w14:paraId="242942D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0.831 (.14)</w:t>
            </w:r>
          </w:p>
        </w:tc>
        <w:tc>
          <w:tcPr>
            <w:tcW w:w="0" w:type="auto"/>
            <w:tcBorders>
              <w:top w:val="single" w:sz="6" w:space="0" w:color="DDDDDD"/>
            </w:tcBorders>
            <w:shd w:val="clear" w:color="auto" w:fill="F7F7F7"/>
            <w:vAlign w:val="center"/>
            <w:hideMark/>
          </w:tcPr>
          <w:p w14:paraId="5DF6D2C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0.653</w:t>
            </w:r>
            <w:hyperlink r:id="rId157" w:anchor="table-fn3-0093854820913585" w:history="1">
              <w:r w:rsidRPr="00106B83">
                <w:rPr>
                  <w:rFonts w:ascii="Times New Roman" w:hAnsi="Times New Roman"/>
                  <w:color w:val="046FF8"/>
                  <w:kern w:val="0"/>
                  <w:sz w:val="24"/>
                  <w:u w:val="single"/>
                  <w14:ligatures w14:val="none"/>
                </w:rPr>
                <w:t>**</w:t>
              </w:r>
            </w:hyperlink>
            <w:r w:rsidRPr="00106B83">
              <w:rPr>
                <w:rFonts w:ascii="Times New Roman" w:hAnsi="Times New Roman"/>
                <w:kern w:val="0"/>
                <w:sz w:val="24"/>
                <w14:ligatures w14:val="none"/>
              </w:rPr>
              <w:t> (.12)</w:t>
            </w:r>
          </w:p>
        </w:tc>
        <w:tc>
          <w:tcPr>
            <w:tcW w:w="0" w:type="auto"/>
            <w:tcBorders>
              <w:top w:val="single" w:sz="6" w:space="0" w:color="DDDDDD"/>
            </w:tcBorders>
            <w:shd w:val="clear" w:color="auto" w:fill="F7F7F7"/>
            <w:vAlign w:val="center"/>
            <w:hideMark/>
          </w:tcPr>
          <w:p w14:paraId="6101FD5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0.745 (.12)</w:t>
            </w:r>
          </w:p>
        </w:tc>
        <w:tc>
          <w:tcPr>
            <w:tcW w:w="0" w:type="auto"/>
            <w:tcBorders>
              <w:top w:val="single" w:sz="6" w:space="0" w:color="DDDDDD"/>
            </w:tcBorders>
            <w:shd w:val="clear" w:color="auto" w:fill="F7F7F7"/>
            <w:vAlign w:val="center"/>
            <w:hideMark/>
          </w:tcPr>
          <w:p w14:paraId="246161B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0.010 (.07)</w:t>
            </w:r>
          </w:p>
        </w:tc>
        <w:tc>
          <w:tcPr>
            <w:tcW w:w="0" w:type="auto"/>
            <w:tcBorders>
              <w:top w:val="single" w:sz="6" w:space="0" w:color="DDDDDD"/>
            </w:tcBorders>
            <w:shd w:val="clear" w:color="auto" w:fill="F7F7F7"/>
            <w:vAlign w:val="center"/>
            <w:hideMark/>
          </w:tcPr>
          <w:p w14:paraId="46EE017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.006</w:t>
            </w:r>
          </w:p>
        </w:tc>
        <w:tc>
          <w:tcPr>
            <w:tcW w:w="0" w:type="auto"/>
            <w:tcBorders>
              <w:top w:val="single" w:sz="6" w:space="0" w:color="DDDDDD"/>
            </w:tcBorders>
            <w:shd w:val="clear" w:color="auto" w:fill="F7F7F7"/>
            <w:vAlign w:val="center"/>
            <w:hideMark/>
          </w:tcPr>
          <w:p w14:paraId="33BB329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1.398 (.26)</w:t>
            </w:r>
          </w:p>
        </w:tc>
        <w:tc>
          <w:tcPr>
            <w:tcW w:w="0" w:type="auto"/>
            <w:tcBorders>
              <w:top w:val="single" w:sz="6" w:space="0" w:color="DDDDDD"/>
            </w:tcBorders>
            <w:shd w:val="clear" w:color="auto" w:fill="F7F7F7"/>
            <w:vAlign w:val="center"/>
            <w:hideMark/>
          </w:tcPr>
          <w:p w14:paraId="2F905DB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1.256 (.19)</w:t>
            </w:r>
          </w:p>
        </w:tc>
      </w:tr>
      <w:tr w:rsidR="00106B83" w:rsidRPr="00106B83" w14:paraId="0A022692" w14:textId="77777777" w:rsidTr="00106B83">
        <w:trPr>
          <w:tblCellSpacing w:w="15" w:type="dxa"/>
        </w:trPr>
        <w:tc>
          <w:tcPr>
            <w:tcW w:w="0" w:type="auto"/>
            <w:tcBorders>
              <w:top w:val="single" w:sz="6" w:space="0" w:color="DDDDDD"/>
            </w:tcBorders>
            <w:vAlign w:val="center"/>
            <w:hideMark/>
          </w:tcPr>
          <w:p w14:paraId="6451902C"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Southerner</w:t>
            </w:r>
          </w:p>
        </w:tc>
        <w:tc>
          <w:tcPr>
            <w:tcW w:w="0" w:type="auto"/>
            <w:tcBorders>
              <w:top w:val="single" w:sz="6" w:space="0" w:color="DDDDDD"/>
            </w:tcBorders>
            <w:vAlign w:val="center"/>
            <w:hideMark/>
          </w:tcPr>
          <w:p w14:paraId="2814D30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0.905 (.07)</w:t>
            </w:r>
          </w:p>
        </w:tc>
        <w:tc>
          <w:tcPr>
            <w:tcW w:w="0" w:type="auto"/>
            <w:tcBorders>
              <w:top w:val="single" w:sz="6" w:space="0" w:color="DDDDDD"/>
            </w:tcBorders>
            <w:vAlign w:val="center"/>
            <w:hideMark/>
          </w:tcPr>
          <w:p w14:paraId="41F1AF9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0.892 (.06)</w:t>
            </w:r>
          </w:p>
        </w:tc>
        <w:tc>
          <w:tcPr>
            <w:tcW w:w="0" w:type="auto"/>
            <w:tcBorders>
              <w:top w:val="single" w:sz="6" w:space="0" w:color="DDDDDD"/>
            </w:tcBorders>
            <w:vAlign w:val="center"/>
            <w:hideMark/>
          </w:tcPr>
          <w:p w14:paraId="6FE9A56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1.112 (.08)</w:t>
            </w:r>
          </w:p>
        </w:tc>
        <w:tc>
          <w:tcPr>
            <w:tcW w:w="0" w:type="auto"/>
            <w:tcBorders>
              <w:top w:val="single" w:sz="6" w:space="0" w:color="DDDDDD"/>
            </w:tcBorders>
            <w:vAlign w:val="center"/>
            <w:hideMark/>
          </w:tcPr>
          <w:p w14:paraId="717AEB5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1.049 (.08)</w:t>
            </w:r>
          </w:p>
        </w:tc>
        <w:tc>
          <w:tcPr>
            <w:tcW w:w="0" w:type="auto"/>
            <w:tcBorders>
              <w:top w:val="single" w:sz="6" w:space="0" w:color="DDDDDD"/>
            </w:tcBorders>
            <w:vAlign w:val="center"/>
            <w:hideMark/>
          </w:tcPr>
          <w:p w14:paraId="13A3EFF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0.030 (.02)</w:t>
            </w:r>
          </w:p>
        </w:tc>
        <w:tc>
          <w:tcPr>
            <w:tcW w:w="0" w:type="auto"/>
            <w:tcBorders>
              <w:top w:val="single" w:sz="6" w:space="0" w:color="DDDDDD"/>
            </w:tcBorders>
            <w:vAlign w:val="center"/>
            <w:hideMark/>
          </w:tcPr>
          <w:p w14:paraId="133A35A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.044</w:t>
            </w:r>
          </w:p>
        </w:tc>
        <w:tc>
          <w:tcPr>
            <w:tcW w:w="0" w:type="auto"/>
            <w:tcBorders>
              <w:top w:val="single" w:sz="6" w:space="0" w:color="DDDDDD"/>
            </w:tcBorders>
            <w:vAlign w:val="center"/>
            <w:hideMark/>
          </w:tcPr>
          <w:p w14:paraId="3B28BD07"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1.145</w:t>
            </w:r>
            <w:hyperlink r:id="rId158" w:anchor="table-fn3-0093854820913585" w:history="1">
              <w:r w:rsidRPr="00106B83">
                <w:rPr>
                  <w:rFonts w:ascii="Times New Roman" w:hAnsi="Times New Roman"/>
                  <w:color w:val="046FF8"/>
                  <w:kern w:val="0"/>
                  <w:sz w:val="24"/>
                  <w:u w:val="single"/>
                  <w14:ligatures w14:val="none"/>
                </w:rPr>
                <w:t>*</w:t>
              </w:r>
            </w:hyperlink>
            <w:r w:rsidRPr="00106B83">
              <w:rPr>
                <w:rFonts w:ascii="Times New Roman" w:hAnsi="Times New Roman"/>
                <w:kern w:val="0"/>
                <w:sz w:val="24"/>
                <w14:ligatures w14:val="none"/>
              </w:rPr>
              <w:t>(.08)</w:t>
            </w:r>
          </w:p>
        </w:tc>
        <w:tc>
          <w:tcPr>
            <w:tcW w:w="0" w:type="auto"/>
            <w:tcBorders>
              <w:top w:val="single" w:sz="6" w:space="0" w:color="DDDDDD"/>
            </w:tcBorders>
            <w:vAlign w:val="center"/>
            <w:hideMark/>
          </w:tcPr>
          <w:p w14:paraId="24E8975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1.018 (.07)</w:t>
            </w:r>
          </w:p>
        </w:tc>
      </w:tr>
      <w:tr w:rsidR="00106B83" w:rsidRPr="00106B83" w14:paraId="40A7DE25" w14:textId="77777777" w:rsidTr="00106B83">
        <w:trPr>
          <w:tblCellSpacing w:w="15" w:type="dxa"/>
        </w:trPr>
        <w:tc>
          <w:tcPr>
            <w:tcW w:w="0" w:type="auto"/>
            <w:tcBorders>
              <w:top w:val="single" w:sz="6" w:space="0" w:color="DDDDDD"/>
            </w:tcBorders>
            <w:shd w:val="clear" w:color="auto" w:fill="F7F7F7"/>
            <w:vAlign w:val="center"/>
            <w:hideMark/>
          </w:tcPr>
          <w:p w14:paraId="0F8E533C"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Education</w:t>
            </w:r>
          </w:p>
        </w:tc>
        <w:tc>
          <w:tcPr>
            <w:tcW w:w="0" w:type="auto"/>
            <w:tcBorders>
              <w:top w:val="single" w:sz="6" w:space="0" w:color="DDDDDD"/>
            </w:tcBorders>
            <w:shd w:val="clear" w:color="auto" w:fill="F7F7F7"/>
            <w:vAlign w:val="center"/>
            <w:hideMark/>
          </w:tcPr>
          <w:p w14:paraId="621BCE0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1.034 (.07)</w:t>
            </w:r>
          </w:p>
        </w:tc>
        <w:tc>
          <w:tcPr>
            <w:tcW w:w="0" w:type="auto"/>
            <w:tcBorders>
              <w:top w:val="single" w:sz="6" w:space="0" w:color="DDDDDD"/>
            </w:tcBorders>
            <w:shd w:val="clear" w:color="auto" w:fill="F7F7F7"/>
            <w:vAlign w:val="center"/>
            <w:hideMark/>
          </w:tcPr>
          <w:p w14:paraId="5FBAF8D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1.005 (.07)</w:t>
            </w:r>
          </w:p>
        </w:tc>
        <w:tc>
          <w:tcPr>
            <w:tcW w:w="0" w:type="auto"/>
            <w:tcBorders>
              <w:top w:val="single" w:sz="6" w:space="0" w:color="DDDDDD"/>
            </w:tcBorders>
            <w:shd w:val="clear" w:color="auto" w:fill="F7F7F7"/>
            <w:vAlign w:val="center"/>
            <w:hideMark/>
          </w:tcPr>
          <w:p w14:paraId="22E85ED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1.080 (.07)</w:t>
            </w:r>
          </w:p>
        </w:tc>
        <w:tc>
          <w:tcPr>
            <w:tcW w:w="0" w:type="auto"/>
            <w:tcBorders>
              <w:top w:val="single" w:sz="6" w:space="0" w:color="DDDDDD"/>
            </w:tcBorders>
            <w:shd w:val="clear" w:color="auto" w:fill="F7F7F7"/>
            <w:vAlign w:val="center"/>
            <w:hideMark/>
          </w:tcPr>
          <w:p w14:paraId="478A3930"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0.944 (.07)</w:t>
            </w:r>
          </w:p>
        </w:tc>
        <w:tc>
          <w:tcPr>
            <w:tcW w:w="0" w:type="auto"/>
            <w:tcBorders>
              <w:top w:val="single" w:sz="6" w:space="0" w:color="DDDDDD"/>
            </w:tcBorders>
            <w:shd w:val="clear" w:color="auto" w:fill="F7F7F7"/>
            <w:vAlign w:val="center"/>
            <w:hideMark/>
          </w:tcPr>
          <w:p w14:paraId="1CC0C84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0.047</w:t>
            </w:r>
            <w:hyperlink r:id="rId159" w:anchor="table-fn3-0093854820913585" w:history="1">
              <w:r w:rsidRPr="00106B83">
                <w:rPr>
                  <w:rFonts w:ascii="Times New Roman" w:hAnsi="Times New Roman"/>
                  <w:color w:val="046FF8"/>
                  <w:kern w:val="0"/>
                  <w:sz w:val="24"/>
                  <w:u w:val="single"/>
                  <w14:ligatures w14:val="none"/>
                </w:rPr>
                <w:t>*</w:t>
              </w:r>
            </w:hyperlink>
            <w:r w:rsidRPr="00106B83">
              <w:rPr>
                <w:rFonts w:ascii="Times New Roman" w:hAnsi="Times New Roman"/>
                <w:kern w:val="0"/>
                <w:sz w:val="24"/>
                <w14:ligatures w14:val="none"/>
              </w:rPr>
              <w:t>(.02)</w:t>
            </w:r>
          </w:p>
        </w:tc>
        <w:tc>
          <w:tcPr>
            <w:tcW w:w="0" w:type="auto"/>
            <w:tcBorders>
              <w:top w:val="single" w:sz="6" w:space="0" w:color="DDDDDD"/>
            </w:tcBorders>
            <w:shd w:val="clear" w:color="auto" w:fill="F7F7F7"/>
            <w:vAlign w:val="center"/>
            <w:hideMark/>
          </w:tcPr>
          <w:p w14:paraId="2AD0C7A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.073</w:t>
            </w:r>
          </w:p>
        </w:tc>
        <w:tc>
          <w:tcPr>
            <w:tcW w:w="0" w:type="auto"/>
            <w:tcBorders>
              <w:top w:val="single" w:sz="6" w:space="0" w:color="DDDDDD"/>
            </w:tcBorders>
            <w:shd w:val="clear" w:color="auto" w:fill="F7F7F7"/>
            <w:vAlign w:val="center"/>
            <w:hideMark/>
          </w:tcPr>
          <w:p w14:paraId="268731E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1.007 (.07)</w:t>
            </w:r>
          </w:p>
        </w:tc>
        <w:tc>
          <w:tcPr>
            <w:tcW w:w="0" w:type="auto"/>
            <w:tcBorders>
              <w:top w:val="single" w:sz="6" w:space="0" w:color="DDDDDD"/>
            </w:tcBorders>
            <w:shd w:val="clear" w:color="auto" w:fill="F7F7F7"/>
            <w:vAlign w:val="center"/>
            <w:hideMark/>
          </w:tcPr>
          <w:p w14:paraId="2B92FAA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0.933 (.07)</w:t>
            </w:r>
          </w:p>
        </w:tc>
      </w:tr>
      <w:tr w:rsidR="00106B83" w:rsidRPr="00106B83" w14:paraId="051A3738" w14:textId="77777777" w:rsidTr="00106B83">
        <w:trPr>
          <w:tblCellSpacing w:w="15" w:type="dxa"/>
        </w:trPr>
        <w:tc>
          <w:tcPr>
            <w:tcW w:w="0" w:type="auto"/>
            <w:tcBorders>
              <w:top w:val="single" w:sz="6" w:space="0" w:color="DDDDDD"/>
            </w:tcBorders>
            <w:vAlign w:val="center"/>
            <w:hideMark/>
          </w:tcPr>
          <w:p w14:paraId="030211BA"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Income</w:t>
            </w:r>
          </w:p>
        </w:tc>
        <w:tc>
          <w:tcPr>
            <w:tcW w:w="0" w:type="auto"/>
            <w:tcBorders>
              <w:top w:val="single" w:sz="6" w:space="0" w:color="DDDDDD"/>
            </w:tcBorders>
            <w:vAlign w:val="center"/>
            <w:hideMark/>
          </w:tcPr>
          <w:p w14:paraId="016ECFB6"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0.947</w:t>
            </w:r>
            <w:hyperlink r:id="rId160" w:anchor="table-fn3-0093854820913585" w:history="1">
              <w:r w:rsidRPr="00106B83">
                <w:rPr>
                  <w:rFonts w:ascii="Times New Roman" w:hAnsi="Times New Roman"/>
                  <w:color w:val="046FF8"/>
                  <w:kern w:val="0"/>
                  <w:sz w:val="24"/>
                  <w:u w:val="single"/>
                  <w14:ligatures w14:val="none"/>
                </w:rPr>
                <w:t>*</w:t>
              </w:r>
            </w:hyperlink>
            <w:r w:rsidRPr="00106B83">
              <w:rPr>
                <w:rFonts w:ascii="Times New Roman" w:hAnsi="Times New Roman"/>
                <w:kern w:val="0"/>
                <w:sz w:val="24"/>
                <w14:ligatures w14:val="none"/>
              </w:rPr>
              <w:t> (.02)</w:t>
            </w:r>
          </w:p>
        </w:tc>
        <w:tc>
          <w:tcPr>
            <w:tcW w:w="0" w:type="auto"/>
            <w:tcBorders>
              <w:top w:val="single" w:sz="6" w:space="0" w:color="DDDDDD"/>
            </w:tcBorders>
            <w:vAlign w:val="center"/>
            <w:hideMark/>
          </w:tcPr>
          <w:p w14:paraId="1323230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0.954 (.03)</w:t>
            </w:r>
          </w:p>
        </w:tc>
        <w:tc>
          <w:tcPr>
            <w:tcW w:w="0" w:type="auto"/>
            <w:tcBorders>
              <w:top w:val="single" w:sz="6" w:space="0" w:color="DDDDDD"/>
            </w:tcBorders>
            <w:vAlign w:val="center"/>
            <w:hideMark/>
          </w:tcPr>
          <w:p w14:paraId="4602BC7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0.981 (.03)</w:t>
            </w:r>
          </w:p>
        </w:tc>
        <w:tc>
          <w:tcPr>
            <w:tcW w:w="0" w:type="auto"/>
            <w:tcBorders>
              <w:top w:val="single" w:sz="6" w:space="0" w:color="DDDDDD"/>
            </w:tcBorders>
            <w:vAlign w:val="center"/>
            <w:hideMark/>
          </w:tcPr>
          <w:p w14:paraId="7204150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1.053 (.04)</w:t>
            </w:r>
          </w:p>
        </w:tc>
        <w:tc>
          <w:tcPr>
            <w:tcW w:w="0" w:type="auto"/>
            <w:tcBorders>
              <w:top w:val="single" w:sz="6" w:space="0" w:color="DDDDDD"/>
            </w:tcBorders>
            <w:vAlign w:val="center"/>
            <w:hideMark/>
          </w:tcPr>
          <w:p w14:paraId="21A7484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0.025</w:t>
            </w:r>
            <w:hyperlink r:id="rId161" w:anchor="table-fn3-0093854820913585" w:history="1">
              <w:r w:rsidRPr="00106B83">
                <w:rPr>
                  <w:rFonts w:ascii="Times New Roman" w:hAnsi="Times New Roman"/>
                  <w:color w:val="046FF8"/>
                  <w:kern w:val="0"/>
                  <w:sz w:val="24"/>
                  <w:u w:val="single"/>
                  <w14:ligatures w14:val="none"/>
                </w:rPr>
                <w:t>***</w:t>
              </w:r>
            </w:hyperlink>
            <w:r w:rsidRPr="00106B83">
              <w:rPr>
                <w:rFonts w:ascii="Times New Roman" w:hAnsi="Times New Roman"/>
                <w:kern w:val="0"/>
                <w:sz w:val="24"/>
                <w14:ligatures w14:val="none"/>
              </w:rPr>
              <w:t>(.01)</w:t>
            </w:r>
          </w:p>
        </w:tc>
        <w:tc>
          <w:tcPr>
            <w:tcW w:w="0" w:type="auto"/>
            <w:tcBorders>
              <w:top w:val="single" w:sz="6" w:space="0" w:color="DDDDDD"/>
            </w:tcBorders>
            <w:vAlign w:val="center"/>
            <w:hideMark/>
          </w:tcPr>
          <w:p w14:paraId="298D393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.093</w:t>
            </w:r>
          </w:p>
        </w:tc>
        <w:tc>
          <w:tcPr>
            <w:tcW w:w="0" w:type="auto"/>
            <w:tcBorders>
              <w:top w:val="single" w:sz="6" w:space="0" w:color="DDDDDD"/>
            </w:tcBorders>
            <w:vAlign w:val="center"/>
            <w:hideMark/>
          </w:tcPr>
          <w:p w14:paraId="29D9CAC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0.961 (.03)</w:t>
            </w:r>
          </w:p>
        </w:tc>
        <w:tc>
          <w:tcPr>
            <w:tcW w:w="0" w:type="auto"/>
            <w:tcBorders>
              <w:top w:val="single" w:sz="6" w:space="0" w:color="DDDDDD"/>
            </w:tcBorders>
            <w:vAlign w:val="center"/>
            <w:hideMark/>
          </w:tcPr>
          <w:p w14:paraId="23440FA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0.984 (.03)</w:t>
            </w:r>
          </w:p>
        </w:tc>
      </w:tr>
      <w:tr w:rsidR="00106B83" w:rsidRPr="00106B83" w14:paraId="571D4AFA" w14:textId="77777777" w:rsidTr="00106B83">
        <w:trPr>
          <w:tblCellSpacing w:w="15" w:type="dxa"/>
        </w:trPr>
        <w:tc>
          <w:tcPr>
            <w:tcW w:w="0" w:type="auto"/>
            <w:tcBorders>
              <w:top w:val="single" w:sz="6" w:space="0" w:color="DDDDDD"/>
            </w:tcBorders>
            <w:shd w:val="clear" w:color="auto" w:fill="F7F7F7"/>
            <w:vAlign w:val="center"/>
            <w:hideMark/>
          </w:tcPr>
          <w:p w14:paraId="59C50AE0"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Age</w:t>
            </w:r>
          </w:p>
        </w:tc>
        <w:tc>
          <w:tcPr>
            <w:tcW w:w="0" w:type="auto"/>
            <w:tcBorders>
              <w:top w:val="single" w:sz="6" w:space="0" w:color="DDDDDD"/>
            </w:tcBorders>
            <w:shd w:val="clear" w:color="auto" w:fill="F7F7F7"/>
            <w:vAlign w:val="center"/>
            <w:hideMark/>
          </w:tcPr>
          <w:p w14:paraId="773F21A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0.996 (.01)</w:t>
            </w:r>
          </w:p>
        </w:tc>
        <w:tc>
          <w:tcPr>
            <w:tcW w:w="0" w:type="auto"/>
            <w:tcBorders>
              <w:top w:val="single" w:sz="6" w:space="0" w:color="DDDDDD"/>
            </w:tcBorders>
            <w:shd w:val="clear" w:color="auto" w:fill="F7F7F7"/>
            <w:vAlign w:val="center"/>
            <w:hideMark/>
          </w:tcPr>
          <w:p w14:paraId="4BFB855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1.010 (.01)</w:t>
            </w:r>
          </w:p>
        </w:tc>
        <w:tc>
          <w:tcPr>
            <w:tcW w:w="0" w:type="auto"/>
            <w:tcBorders>
              <w:top w:val="single" w:sz="6" w:space="0" w:color="DDDDDD"/>
            </w:tcBorders>
            <w:shd w:val="clear" w:color="auto" w:fill="F7F7F7"/>
            <w:vAlign w:val="center"/>
            <w:hideMark/>
          </w:tcPr>
          <w:p w14:paraId="0B37744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0.991 (.01)</w:t>
            </w:r>
          </w:p>
        </w:tc>
        <w:tc>
          <w:tcPr>
            <w:tcW w:w="0" w:type="auto"/>
            <w:tcBorders>
              <w:top w:val="single" w:sz="6" w:space="0" w:color="DDDDDD"/>
            </w:tcBorders>
            <w:shd w:val="clear" w:color="auto" w:fill="F7F7F7"/>
            <w:vAlign w:val="center"/>
            <w:hideMark/>
          </w:tcPr>
          <w:p w14:paraId="6974DCE6"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0.985 (.01)</w:t>
            </w:r>
          </w:p>
        </w:tc>
        <w:tc>
          <w:tcPr>
            <w:tcW w:w="0" w:type="auto"/>
            <w:tcBorders>
              <w:top w:val="single" w:sz="6" w:space="0" w:color="DDDDDD"/>
            </w:tcBorders>
            <w:shd w:val="clear" w:color="auto" w:fill="F7F7F7"/>
            <w:vAlign w:val="center"/>
            <w:hideMark/>
          </w:tcPr>
          <w:p w14:paraId="434B4F3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0.001 (.01)</w:t>
            </w:r>
          </w:p>
        </w:tc>
        <w:tc>
          <w:tcPr>
            <w:tcW w:w="0" w:type="auto"/>
            <w:tcBorders>
              <w:top w:val="single" w:sz="6" w:space="0" w:color="DDDDDD"/>
            </w:tcBorders>
            <w:shd w:val="clear" w:color="auto" w:fill="F7F7F7"/>
            <w:vAlign w:val="center"/>
            <w:hideMark/>
          </w:tcPr>
          <w:p w14:paraId="3B2B3E96"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.019</w:t>
            </w:r>
          </w:p>
        </w:tc>
        <w:tc>
          <w:tcPr>
            <w:tcW w:w="0" w:type="auto"/>
            <w:tcBorders>
              <w:top w:val="single" w:sz="6" w:space="0" w:color="DDDDDD"/>
            </w:tcBorders>
            <w:shd w:val="clear" w:color="auto" w:fill="F7F7F7"/>
            <w:vAlign w:val="center"/>
            <w:hideMark/>
          </w:tcPr>
          <w:p w14:paraId="050CC42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1.015</w:t>
            </w:r>
            <w:hyperlink r:id="rId162" w:anchor="table-fn3-0093854820913585" w:history="1">
              <w:r w:rsidRPr="00106B83">
                <w:rPr>
                  <w:rFonts w:ascii="Times New Roman" w:hAnsi="Times New Roman"/>
                  <w:color w:val="046FF8"/>
                  <w:kern w:val="0"/>
                  <w:sz w:val="24"/>
                  <w:u w:val="single"/>
                  <w14:ligatures w14:val="none"/>
                </w:rPr>
                <w:t>*</w:t>
              </w:r>
            </w:hyperlink>
            <w:r w:rsidRPr="00106B83">
              <w:rPr>
                <w:rFonts w:ascii="Times New Roman" w:hAnsi="Times New Roman"/>
                <w:kern w:val="0"/>
                <w:sz w:val="24"/>
                <w14:ligatures w14:val="none"/>
              </w:rPr>
              <w:t>(.01)</w:t>
            </w:r>
          </w:p>
        </w:tc>
        <w:tc>
          <w:tcPr>
            <w:tcW w:w="0" w:type="auto"/>
            <w:tcBorders>
              <w:top w:val="single" w:sz="6" w:space="0" w:color="DDDDDD"/>
            </w:tcBorders>
            <w:shd w:val="clear" w:color="auto" w:fill="F7F7F7"/>
            <w:vAlign w:val="center"/>
            <w:hideMark/>
          </w:tcPr>
          <w:p w14:paraId="55CDE6D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0.992 (.01)</w:t>
            </w:r>
          </w:p>
        </w:tc>
      </w:tr>
      <w:tr w:rsidR="00106B83" w:rsidRPr="00106B83" w14:paraId="636529E9" w14:textId="77777777" w:rsidTr="00106B83">
        <w:trPr>
          <w:tblCellSpacing w:w="15" w:type="dxa"/>
        </w:trPr>
        <w:tc>
          <w:tcPr>
            <w:tcW w:w="0" w:type="auto"/>
            <w:tcBorders>
              <w:top w:val="single" w:sz="6" w:space="0" w:color="DDDDDD"/>
            </w:tcBorders>
            <w:vAlign w:val="center"/>
            <w:hideMark/>
          </w:tcPr>
          <w:p w14:paraId="19D22B3E"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Male</w:t>
            </w:r>
          </w:p>
        </w:tc>
        <w:tc>
          <w:tcPr>
            <w:tcW w:w="0" w:type="auto"/>
            <w:tcBorders>
              <w:top w:val="single" w:sz="6" w:space="0" w:color="DDDDDD"/>
            </w:tcBorders>
            <w:vAlign w:val="center"/>
            <w:hideMark/>
          </w:tcPr>
          <w:p w14:paraId="2ED1BBD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1.188 (.24)</w:t>
            </w:r>
          </w:p>
        </w:tc>
        <w:tc>
          <w:tcPr>
            <w:tcW w:w="0" w:type="auto"/>
            <w:tcBorders>
              <w:top w:val="single" w:sz="6" w:space="0" w:color="DDDDDD"/>
            </w:tcBorders>
            <w:vAlign w:val="center"/>
            <w:hideMark/>
          </w:tcPr>
          <w:p w14:paraId="3F21256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0.635</w:t>
            </w:r>
            <w:hyperlink r:id="rId163" w:anchor="table-fn3-0093854820913585" w:history="1">
              <w:r w:rsidRPr="00106B83">
                <w:rPr>
                  <w:rFonts w:ascii="Times New Roman" w:hAnsi="Times New Roman"/>
                  <w:color w:val="046FF8"/>
                  <w:kern w:val="0"/>
                  <w:sz w:val="24"/>
                  <w:u w:val="single"/>
                  <w14:ligatures w14:val="none"/>
                </w:rPr>
                <w:t>*</w:t>
              </w:r>
            </w:hyperlink>
            <w:r w:rsidRPr="00106B83">
              <w:rPr>
                <w:rFonts w:ascii="Times New Roman" w:hAnsi="Times New Roman"/>
                <w:kern w:val="0"/>
                <w:sz w:val="24"/>
                <w14:ligatures w14:val="none"/>
              </w:rPr>
              <w:t> (.13)</w:t>
            </w:r>
          </w:p>
        </w:tc>
        <w:tc>
          <w:tcPr>
            <w:tcW w:w="0" w:type="auto"/>
            <w:tcBorders>
              <w:top w:val="single" w:sz="6" w:space="0" w:color="DDDDDD"/>
            </w:tcBorders>
            <w:vAlign w:val="center"/>
            <w:hideMark/>
          </w:tcPr>
          <w:p w14:paraId="75A43CD3"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0.937 (.19)</w:t>
            </w:r>
          </w:p>
        </w:tc>
        <w:tc>
          <w:tcPr>
            <w:tcW w:w="0" w:type="auto"/>
            <w:tcBorders>
              <w:top w:val="single" w:sz="6" w:space="0" w:color="DDDDDD"/>
            </w:tcBorders>
            <w:vAlign w:val="center"/>
            <w:hideMark/>
          </w:tcPr>
          <w:p w14:paraId="38BE602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0.859 (.19)</w:t>
            </w:r>
          </w:p>
        </w:tc>
        <w:tc>
          <w:tcPr>
            <w:tcW w:w="0" w:type="auto"/>
            <w:tcBorders>
              <w:top w:val="single" w:sz="6" w:space="0" w:color="DDDDDD"/>
            </w:tcBorders>
            <w:vAlign w:val="center"/>
            <w:hideMark/>
          </w:tcPr>
          <w:p w14:paraId="7A7B17B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−0.001 (.06)</w:t>
            </w:r>
          </w:p>
        </w:tc>
        <w:tc>
          <w:tcPr>
            <w:tcW w:w="0" w:type="auto"/>
            <w:tcBorders>
              <w:top w:val="single" w:sz="6" w:space="0" w:color="DDDDDD"/>
            </w:tcBorders>
            <w:vAlign w:val="center"/>
            <w:hideMark/>
          </w:tcPr>
          <w:p w14:paraId="5F49FB7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−.001</w:t>
            </w:r>
          </w:p>
        </w:tc>
        <w:tc>
          <w:tcPr>
            <w:tcW w:w="0" w:type="auto"/>
            <w:tcBorders>
              <w:top w:val="single" w:sz="6" w:space="0" w:color="DDDDDD"/>
            </w:tcBorders>
            <w:vAlign w:val="center"/>
            <w:hideMark/>
          </w:tcPr>
          <w:p w14:paraId="34409D0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1.083 (.22)</w:t>
            </w:r>
          </w:p>
        </w:tc>
        <w:tc>
          <w:tcPr>
            <w:tcW w:w="0" w:type="auto"/>
            <w:tcBorders>
              <w:top w:val="single" w:sz="6" w:space="0" w:color="DDDDDD"/>
            </w:tcBorders>
            <w:vAlign w:val="center"/>
            <w:hideMark/>
          </w:tcPr>
          <w:p w14:paraId="2DD51A7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1.352 (.26)</w:t>
            </w:r>
          </w:p>
        </w:tc>
      </w:tr>
      <w:tr w:rsidR="00106B83" w:rsidRPr="00106B83" w14:paraId="31DCF7F2" w14:textId="77777777" w:rsidTr="00106B83">
        <w:trPr>
          <w:tblCellSpacing w:w="15" w:type="dxa"/>
        </w:trPr>
        <w:tc>
          <w:tcPr>
            <w:tcW w:w="0" w:type="auto"/>
            <w:tcBorders>
              <w:top w:val="single" w:sz="6" w:space="0" w:color="DDDDDD"/>
            </w:tcBorders>
            <w:shd w:val="clear" w:color="auto" w:fill="F7F7F7"/>
            <w:vAlign w:val="center"/>
            <w:hideMark/>
          </w:tcPr>
          <w:p w14:paraId="3B05B1F3"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White</w:t>
            </w:r>
          </w:p>
        </w:tc>
        <w:tc>
          <w:tcPr>
            <w:tcW w:w="0" w:type="auto"/>
            <w:tcBorders>
              <w:top w:val="single" w:sz="6" w:space="0" w:color="DDDDDD"/>
            </w:tcBorders>
            <w:shd w:val="clear" w:color="auto" w:fill="F7F7F7"/>
            <w:vAlign w:val="center"/>
            <w:hideMark/>
          </w:tcPr>
          <w:p w14:paraId="64889D1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1.704</w:t>
            </w:r>
            <w:hyperlink r:id="rId164" w:anchor="table-fn3-0093854820913585" w:history="1">
              <w:r w:rsidRPr="00106B83">
                <w:rPr>
                  <w:rFonts w:ascii="Times New Roman" w:hAnsi="Times New Roman"/>
                  <w:color w:val="046FF8"/>
                  <w:kern w:val="0"/>
                  <w:sz w:val="24"/>
                  <w:u w:val="single"/>
                  <w14:ligatures w14:val="none"/>
                </w:rPr>
                <w:t>*</w:t>
              </w:r>
            </w:hyperlink>
            <w:r w:rsidRPr="00106B83">
              <w:rPr>
                <w:rFonts w:ascii="Times New Roman" w:hAnsi="Times New Roman"/>
                <w:kern w:val="0"/>
                <w:sz w:val="24"/>
                <w14:ligatures w14:val="none"/>
              </w:rPr>
              <w:t> (.39)</w:t>
            </w:r>
          </w:p>
        </w:tc>
        <w:tc>
          <w:tcPr>
            <w:tcW w:w="0" w:type="auto"/>
            <w:tcBorders>
              <w:top w:val="single" w:sz="6" w:space="0" w:color="DDDDDD"/>
            </w:tcBorders>
            <w:shd w:val="clear" w:color="auto" w:fill="F7F7F7"/>
            <w:vAlign w:val="center"/>
            <w:hideMark/>
          </w:tcPr>
          <w:p w14:paraId="67FFE8E0"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0.991 (.24)</w:t>
            </w:r>
          </w:p>
        </w:tc>
        <w:tc>
          <w:tcPr>
            <w:tcW w:w="0" w:type="auto"/>
            <w:tcBorders>
              <w:top w:val="single" w:sz="6" w:space="0" w:color="DDDDDD"/>
            </w:tcBorders>
            <w:shd w:val="clear" w:color="auto" w:fill="F7F7F7"/>
            <w:vAlign w:val="center"/>
            <w:hideMark/>
          </w:tcPr>
          <w:p w14:paraId="5F95D1E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1.285 (.28)</w:t>
            </w:r>
          </w:p>
        </w:tc>
        <w:tc>
          <w:tcPr>
            <w:tcW w:w="0" w:type="auto"/>
            <w:tcBorders>
              <w:top w:val="single" w:sz="6" w:space="0" w:color="DDDDDD"/>
            </w:tcBorders>
            <w:shd w:val="clear" w:color="auto" w:fill="F7F7F7"/>
            <w:vAlign w:val="center"/>
            <w:hideMark/>
          </w:tcPr>
          <w:p w14:paraId="11A3A1A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1.040 (.28)</w:t>
            </w:r>
          </w:p>
        </w:tc>
        <w:tc>
          <w:tcPr>
            <w:tcW w:w="0" w:type="auto"/>
            <w:tcBorders>
              <w:top w:val="single" w:sz="6" w:space="0" w:color="DDDDDD"/>
            </w:tcBorders>
            <w:shd w:val="clear" w:color="auto" w:fill="F7F7F7"/>
            <w:vAlign w:val="center"/>
            <w:hideMark/>
          </w:tcPr>
          <w:p w14:paraId="4D7C753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0.117 (.07)</w:t>
            </w:r>
          </w:p>
        </w:tc>
        <w:tc>
          <w:tcPr>
            <w:tcW w:w="0" w:type="auto"/>
            <w:tcBorders>
              <w:top w:val="single" w:sz="6" w:space="0" w:color="DDDDDD"/>
            </w:tcBorders>
            <w:shd w:val="clear" w:color="auto" w:fill="F7F7F7"/>
            <w:vAlign w:val="center"/>
            <w:hideMark/>
          </w:tcPr>
          <w:p w14:paraId="3AAA26C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.057</w:t>
            </w:r>
          </w:p>
        </w:tc>
        <w:tc>
          <w:tcPr>
            <w:tcW w:w="0" w:type="auto"/>
            <w:tcBorders>
              <w:top w:val="single" w:sz="6" w:space="0" w:color="DDDDDD"/>
            </w:tcBorders>
            <w:shd w:val="clear" w:color="auto" w:fill="F7F7F7"/>
            <w:vAlign w:val="center"/>
            <w:hideMark/>
          </w:tcPr>
          <w:p w14:paraId="2C9FACE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1.405 (.32)</w:t>
            </w:r>
          </w:p>
        </w:tc>
        <w:tc>
          <w:tcPr>
            <w:tcW w:w="0" w:type="auto"/>
            <w:tcBorders>
              <w:top w:val="single" w:sz="6" w:space="0" w:color="DDDDDD"/>
            </w:tcBorders>
            <w:shd w:val="clear" w:color="auto" w:fill="F7F7F7"/>
            <w:vAlign w:val="center"/>
            <w:hideMark/>
          </w:tcPr>
          <w:p w14:paraId="04B86A9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1.144 (.25)</w:t>
            </w:r>
          </w:p>
        </w:tc>
      </w:tr>
      <w:tr w:rsidR="00106B83" w:rsidRPr="00106B83" w14:paraId="6D3DD857" w14:textId="77777777" w:rsidTr="00106B83">
        <w:trPr>
          <w:tblCellSpacing w:w="15" w:type="dxa"/>
        </w:trPr>
        <w:tc>
          <w:tcPr>
            <w:tcW w:w="0" w:type="auto"/>
            <w:tcBorders>
              <w:top w:val="single" w:sz="6" w:space="0" w:color="DDDDDD"/>
            </w:tcBorders>
            <w:vAlign w:val="center"/>
            <w:hideMark/>
          </w:tcPr>
          <w:p w14:paraId="0520CC65"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i/>
                <w:iCs/>
                <w:kern w:val="0"/>
                <w:sz w:val="24"/>
                <w14:ligatures w14:val="none"/>
              </w:rPr>
              <w:t>N</w:t>
            </w:r>
          </w:p>
        </w:tc>
        <w:tc>
          <w:tcPr>
            <w:tcW w:w="0" w:type="auto"/>
            <w:tcBorders>
              <w:top w:val="single" w:sz="6" w:space="0" w:color="DDDDDD"/>
            </w:tcBorders>
            <w:vAlign w:val="center"/>
            <w:hideMark/>
          </w:tcPr>
          <w:p w14:paraId="564DEB1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998</w:t>
            </w:r>
          </w:p>
        </w:tc>
        <w:tc>
          <w:tcPr>
            <w:tcW w:w="0" w:type="auto"/>
            <w:tcBorders>
              <w:top w:val="single" w:sz="6" w:space="0" w:color="DDDDDD"/>
            </w:tcBorders>
            <w:vAlign w:val="center"/>
            <w:hideMark/>
          </w:tcPr>
          <w:p w14:paraId="0641F97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998</w:t>
            </w:r>
          </w:p>
        </w:tc>
        <w:tc>
          <w:tcPr>
            <w:tcW w:w="0" w:type="auto"/>
            <w:tcBorders>
              <w:top w:val="single" w:sz="6" w:space="0" w:color="DDDDDD"/>
            </w:tcBorders>
            <w:vAlign w:val="center"/>
            <w:hideMark/>
          </w:tcPr>
          <w:p w14:paraId="2C0B8DE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999</w:t>
            </w:r>
          </w:p>
        </w:tc>
        <w:tc>
          <w:tcPr>
            <w:tcW w:w="0" w:type="auto"/>
            <w:tcBorders>
              <w:top w:val="single" w:sz="6" w:space="0" w:color="DDDDDD"/>
            </w:tcBorders>
            <w:vAlign w:val="center"/>
            <w:hideMark/>
          </w:tcPr>
          <w:p w14:paraId="52501B6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1,000</w:t>
            </w:r>
          </w:p>
        </w:tc>
        <w:tc>
          <w:tcPr>
            <w:tcW w:w="0" w:type="auto"/>
            <w:tcBorders>
              <w:top w:val="single" w:sz="6" w:space="0" w:color="DDDDDD"/>
            </w:tcBorders>
            <w:vAlign w:val="center"/>
            <w:hideMark/>
          </w:tcPr>
          <w:p w14:paraId="66373C1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1,000</w:t>
            </w:r>
          </w:p>
        </w:tc>
        <w:tc>
          <w:tcPr>
            <w:tcW w:w="0" w:type="auto"/>
            <w:tcBorders>
              <w:top w:val="single" w:sz="6" w:space="0" w:color="DDDDDD"/>
            </w:tcBorders>
            <w:vAlign w:val="center"/>
            <w:hideMark/>
          </w:tcPr>
          <w:p w14:paraId="700A299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 </w:t>
            </w:r>
          </w:p>
        </w:tc>
        <w:tc>
          <w:tcPr>
            <w:tcW w:w="0" w:type="auto"/>
            <w:tcBorders>
              <w:top w:val="single" w:sz="6" w:space="0" w:color="DDDDDD"/>
            </w:tcBorders>
            <w:vAlign w:val="center"/>
            <w:hideMark/>
          </w:tcPr>
          <w:p w14:paraId="50EB0FE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978</w:t>
            </w:r>
          </w:p>
        </w:tc>
        <w:tc>
          <w:tcPr>
            <w:tcW w:w="0" w:type="auto"/>
            <w:tcBorders>
              <w:top w:val="single" w:sz="6" w:space="0" w:color="DDDDDD"/>
            </w:tcBorders>
            <w:vAlign w:val="center"/>
            <w:hideMark/>
          </w:tcPr>
          <w:p w14:paraId="64CED13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981</w:t>
            </w:r>
          </w:p>
        </w:tc>
      </w:tr>
      <w:tr w:rsidR="00106B83" w:rsidRPr="00106B83" w14:paraId="3B94AE07" w14:textId="77777777" w:rsidTr="00106B83">
        <w:trPr>
          <w:tblCellSpacing w:w="15" w:type="dxa"/>
        </w:trPr>
        <w:tc>
          <w:tcPr>
            <w:tcW w:w="0" w:type="auto"/>
            <w:tcBorders>
              <w:top w:val="single" w:sz="6" w:space="0" w:color="DDDDDD"/>
            </w:tcBorders>
            <w:shd w:val="clear" w:color="auto" w:fill="F7F7F7"/>
            <w:vAlign w:val="center"/>
            <w:hideMark/>
          </w:tcPr>
          <w:p w14:paraId="78A170DF"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i/>
                <w:iCs/>
                <w:kern w:val="0"/>
                <w:sz w:val="24"/>
                <w14:ligatures w14:val="none"/>
              </w:rPr>
              <w:t>R</w:t>
            </w:r>
            <w:r w:rsidRPr="00106B83">
              <w:rPr>
                <w:rFonts w:ascii="Times New Roman" w:hAnsi="Times New Roman"/>
                <w:kern w:val="0"/>
                <w:sz w:val="16"/>
                <w:szCs w:val="16"/>
                <w:vertAlign w:val="superscript"/>
                <w14:ligatures w14:val="none"/>
              </w:rPr>
              <w:t>2</w:t>
            </w:r>
          </w:p>
        </w:tc>
        <w:tc>
          <w:tcPr>
            <w:tcW w:w="0" w:type="auto"/>
            <w:tcBorders>
              <w:top w:val="single" w:sz="6" w:space="0" w:color="DDDDDD"/>
            </w:tcBorders>
            <w:shd w:val="clear" w:color="auto" w:fill="F7F7F7"/>
            <w:vAlign w:val="center"/>
            <w:hideMark/>
          </w:tcPr>
          <w:p w14:paraId="6474112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.155</w:t>
            </w:r>
          </w:p>
        </w:tc>
        <w:tc>
          <w:tcPr>
            <w:tcW w:w="0" w:type="auto"/>
            <w:tcBorders>
              <w:top w:val="single" w:sz="6" w:space="0" w:color="DDDDDD"/>
            </w:tcBorders>
            <w:shd w:val="clear" w:color="auto" w:fill="F7F7F7"/>
            <w:vAlign w:val="center"/>
            <w:hideMark/>
          </w:tcPr>
          <w:p w14:paraId="53C3B00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.165</w:t>
            </w:r>
          </w:p>
        </w:tc>
        <w:tc>
          <w:tcPr>
            <w:tcW w:w="0" w:type="auto"/>
            <w:tcBorders>
              <w:top w:val="single" w:sz="6" w:space="0" w:color="DDDDDD"/>
            </w:tcBorders>
            <w:shd w:val="clear" w:color="auto" w:fill="F7F7F7"/>
            <w:vAlign w:val="center"/>
            <w:hideMark/>
          </w:tcPr>
          <w:p w14:paraId="1545F89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.180</w:t>
            </w:r>
          </w:p>
        </w:tc>
        <w:tc>
          <w:tcPr>
            <w:tcW w:w="0" w:type="auto"/>
            <w:tcBorders>
              <w:top w:val="single" w:sz="6" w:space="0" w:color="DDDDDD"/>
            </w:tcBorders>
            <w:shd w:val="clear" w:color="auto" w:fill="F7F7F7"/>
            <w:vAlign w:val="center"/>
            <w:hideMark/>
          </w:tcPr>
          <w:p w14:paraId="385E2A6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.188</w:t>
            </w:r>
          </w:p>
        </w:tc>
        <w:tc>
          <w:tcPr>
            <w:tcW w:w="0" w:type="auto"/>
            <w:tcBorders>
              <w:top w:val="single" w:sz="6" w:space="0" w:color="DDDDDD"/>
            </w:tcBorders>
            <w:shd w:val="clear" w:color="auto" w:fill="F7F7F7"/>
            <w:vAlign w:val="center"/>
            <w:hideMark/>
          </w:tcPr>
          <w:p w14:paraId="0F8D3C5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.502</w:t>
            </w:r>
          </w:p>
        </w:tc>
        <w:tc>
          <w:tcPr>
            <w:tcW w:w="0" w:type="auto"/>
            <w:tcBorders>
              <w:top w:val="single" w:sz="6" w:space="0" w:color="DDDDDD"/>
            </w:tcBorders>
            <w:shd w:val="clear" w:color="auto" w:fill="F7F7F7"/>
            <w:vAlign w:val="center"/>
            <w:hideMark/>
          </w:tcPr>
          <w:p w14:paraId="38515CD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 </w:t>
            </w:r>
          </w:p>
        </w:tc>
        <w:tc>
          <w:tcPr>
            <w:tcW w:w="0" w:type="auto"/>
            <w:tcBorders>
              <w:top w:val="single" w:sz="6" w:space="0" w:color="DDDDDD"/>
            </w:tcBorders>
            <w:shd w:val="clear" w:color="auto" w:fill="F7F7F7"/>
            <w:vAlign w:val="center"/>
            <w:hideMark/>
          </w:tcPr>
          <w:p w14:paraId="24630ED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.111</w:t>
            </w:r>
          </w:p>
        </w:tc>
        <w:tc>
          <w:tcPr>
            <w:tcW w:w="0" w:type="auto"/>
            <w:tcBorders>
              <w:top w:val="single" w:sz="6" w:space="0" w:color="DDDDDD"/>
            </w:tcBorders>
            <w:shd w:val="clear" w:color="auto" w:fill="F7F7F7"/>
            <w:vAlign w:val="center"/>
            <w:hideMark/>
          </w:tcPr>
          <w:p w14:paraId="073C9E6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.118</w:t>
            </w:r>
          </w:p>
        </w:tc>
      </w:tr>
    </w:tbl>
    <w:p w14:paraId="51E524A0" w14:textId="77777777" w:rsidR="00106B83" w:rsidRPr="00106B83" w:rsidRDefault="00106B83" w:rsidP="00106B83">
      <w:pPr>
        <w:shd w:val="clear" w:color="auto" w:fill="888888"/>
        <w:jc w:val="center"/>
        <w:rPr>
          <w:rFonts w:cs="Open Sans"/>
          <w:b/>
          <w:bCs/>
          <w:color w:val="FFFFFF"/>
          <w:kern w:val="0"/>
          <w:sz w:val="24"/>
          <w14:ligatures w14:val="none"/>
        </w:rPr>
      </w:pPr>
      <w:r w:rsidRPr="00106B83">
        <w:rPr>
          <w:rFonts w:cs="Open Sans"/>
          <w:b/>
          <w:bCs/>
          <w:color w:val="FFFFFF"/>
          <w:kern w:val="0"/>
          <w:sz w:val="24"/>
          <w14:ligatures w14:val="none"/>
        </w:rPr>
        <w:t>*</w:t>
      </w:r>
    </w:p>
    <w:p w14:paraId="5EBADF0C" w14:textId="77777777" w:rsidR="00106B83" w:rsidRPr="00106B83" w:rsidRDefault="00106B83" w:rsidP="00106B83">
      <w:pPr>
        <w:shd w:val="clear" w:color="auto" w:fill="FFFFFF"/>
        <w:rPr>
          <w:rFonts w:cs="Open Sans"/>
          <w:color w:val="888888"/>
          <w:kern w:val="0"/>
          <w:sz w:val="24"/>
          <w14:ligatures w14:val="none"/>
        </w:rPr>
      </w:pPr>
      <w:r w:rsidRPr="00106B83">
        <w:rPr>
          <w:rFonts w:cs="Open Sans"/>
          <w:i/>
          <w:iCs/>
          <w:color w:val="888888"/>
          <w:kern w:val="0"/>
          <w:sz w:val="24"/>
          <w14:ligatures w14:val="none"/>
        </w:rPr>
        <w:t>p</w:t>
      </w:r>
      <w:r w:rsidRPr="00106B83">
        <w:rPr>
          <w:rFonts w:cs="Open Sans"/>
          <w:color w:val="888888"/>
          <w:kern w:val="0"/>
          <w:sz w:val="24"/>
          <w14:ligatures w14:val="none"/>
        </w:rPr>
        <w:t> &lt; .05. **</w:t>
      </w:r>
      <w:r w:rsidRPr="00106B83">
        <w:rPr>
          <w:rFonts w:cs="Open Sans"/>
          <w:i/>
          <w:iCs/>
          <w:color w:val="888888"/>
          <w:kern w:val="0"/>
          <w:sz w:val="24"/>
          <w14:ligatures w14:val="none"/>
        </w:rPr>
        <w:t>p</w:t>
      </w:r>
      <w:r w:rsidRPr="00106B83">
        <w:rPr>
          <w:rFonts w:cs="Open Sans"/>
          <w:color w:val="888888"/>
          <w:kern w:val="0"/>
          <w:sz w:val="24"/>
          <w14:ligatures w14:val="none"/>
        </w:rPr>
        <w:t> &lt; .01. ***</w:t>
      </w:r>
      <w:r w:rsidRPr="00106B83">
        <w:rPr>
          <w:rFonts w:cs="Open Sans"/>
          <w:i/>
          <w:iCs/>
          <w:color w:val="888888"/>
          <w:kern w:val="0"/>
          <w:sz w:val="24"/>
          <w14:ligatures w14:val="none"/>
        </w:rPr>
        <w:t>p</w:t>
      </w:r>
      <w:r w:rsidRPr="00106B83">
        <w:rPr>
          <w:rFonts w:cs="Open Sans"/>
          <w:color w:val="888888"/>
          <w:kern w:val="0"/>
          <w:sz w:val="24"/>
          <w14:ligatures w14:val="none"/>
        </w:rPr>
        <w:t> &lt; .001 (two-tailed).</w:t>
      </w:r>
    </w:p>
    <w:p w14:paraId="420BAFCB"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Most notable, given the thrust of this project, belief in redeemability is the variable with the strongest and most consistent relationship with punitive and inclusionary policies. As seen in </w:t>
      </w:r>
      <w:hyperlink r:id="rId165" w:anchor="table1-0093854820913585" w:history="1">
        <w:r w:rsidRPr="00106B83">
          <w:rPr>
            <w:rFonts w:cs="Open Sans"/>
            <w:color w:val="046FF8"/>
            <w:kern w:val="0"/>
            <w:sz w:val="24"/>
            <w:u w:val="single"/>
            <w14:ligatures w14:val="none"/>
          </w:rPr>
          <w:t>Table 1</w:t>
        </w:r>
      </w:hyperlink>
      <w:r w:rsidRPr="00106B83">
        <w:rPr>
          <w:rFonts w:cs="Open Sans"/>
          <w:color w:val="333333"/>
          <w:kern w:val="0"/>
          <w:sz w:val="24"/>
          <w14:ligatures w14:val="none"/>
        </w:rPr>
        <w:t>, where bivariate correlations are presented, redeemability is significantly related to the seven outcomes in the predicted direction. These results remain in the multivariate analyses reported in </w:t>
      </w:r>
      <w:hyperlink r:id="rId166" w:anchor="table3-0093854820913585" w:history="1">
        <w:r w:rsidRPr="00106B83">
          <w:rPr>
            <w:rFonts w:cs="Open Sans"/>
            <w:color w:val="046FF8"/>
            <w:kern w:val="0"/>
            <w:sz w:val="24"/>
            <w:u w:val="single"/>
            <w14:ligatures w14:val="none"/>
          </w:rPr>
          <w:t>Table 3</w:t>
        </w:r>
      </w:hyperlink>
      <w:r w:rsidRPr="00106B83">
        <w:rPr>
          <w:rFonts w:cs="Open Sans"/>
          <w:color w:val="333333"/>
          <w:kern w:val="0"/>
          <w:sz w:val="24"/>
          <w14:ligatures w14:val="none"/>
        </w:rPr>
        <w:t>, irrespective of the control variables. For the three punitive correctional policies, embedded in national surveys for decades, redeemability is associated with decreases in support for the death penalty, making courts harsher, and prisons as serving punitive goals. With regard to inclusionary policies, this belief is strongly related to the scale measuring support for rehabilitation (β = .657). Equally instructive, redeemability is significantly and positively related to three very specific policy proposals—support for ban-the-box, expungement, and voting rights for persons with a felony conviction. Thus, across a diversity of correctional policies, measured in different ways, redeemability has robust relationships.</w:t>
      </w:r>
    </w:p>
    <w:p w14:paraId="5563CFD1" w14:textId="77777777" w:rsidR="00106B83" w:rsidRPr="00106B83" w:rsidRDefault="00106B83" w:rsidP="00106B83">
      <w:pPr>
        <w:spacing w:before="100" w:beforeAutospacing="1" w:after="100" w:afterAutospacing="1"/>
        <w:outlineLvl w:val="2"/>
        <w:rPr>
          <w:rFonts w:ascii="Arial" w:hAnsi="Arial" w:cs="Arial"/>
          <w:color w:val="555555"/>
          <w:kern w:val="0"/>
          <w:sz w:val="27"/>
          <w:szCs w:val="27"/>
          <w14:ligatures w14:val="none"/>
        </w:rPr>
      </w:pPr>
      <w:r w:rsidRPr="00106B83">
        <w:rPr>
          <w:rFonts w:ascii="Arial" w:hAnsi="Arial" w:cs="Arial"/>
          <w:color w:val="555555"/>
          <w:kern w:val="0"/>
          <w:sz w:val="27"/>
          <w:szCs w:val="27"/>
          <w14:ligatures w14:val="none"/>
        </w:rPr>
        <w:t>Analysis Based on the Amazon MTurk Survey</w:t>
      </w:r>
    </w:p>
    <w:p w14:paraId="7128734B"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 xml:space="preserve">To assess further the potential effects of redeemability on public policy preferences, we were able to use a March 2019 MTurk survey—designed for other </w:t>
      </w:r>
      <w:r w:rsidRPr="00106B83">
        <w:rPr>
          <w:rFonts w:cs="Open Sans"/>
          <w:color w:val="333333"/>
          <w:kern w:val="0"/>
          <w:sz w:val="24"/>
          <w14:ligatures w14:val="none"/>
        </w:rPr>
        <w:lastRenderedPageBreak/>
        <w:t>purposes (see </w:t>
      </w:r>
      <w:hyperlink r:id="rId167" w:anchor="bibr28-0093854820913585" w:history="1">
        <w:r w:rsidRPr="00106B83">
          <w:rPr>
            <w:rFonts w:cs="Open Sans"/>
            <w:color w:val="046FF8"/>
            <w:kern w:val="0"/>
            <w:sz w:val="24"/>
            <w:u w:val="single"/>
            <w14:ligatures w14:val="none"/>
          </w:rPr>
          <w:t>Graham, 2019</w:t>
        </w:r>
      </w:hyperlink>
      <w:r w:rsidRPr="00106B83">
        <w:rPr>
          <w:rFonts w:cs="Open Sans"/>
          <w:color w:val="333333"/>
          <w:kern w:val="0"/>
          <w:sz w:val="24"/>
          <w14:ligatures w14:val="none"/>
        </w:rPr>
        <w:t>)—that included the identical measures used in the current study for redeemability (α = .792, factor loadings = .755–.827) and four policy measures (support for the death penalty, harsher courts, punitive prison goal, and rehabilitation). Beyond attempting to replicate the results reported above, we wished to assess the robustness of the effects for redeemability by including three variables omitted in the YouGov survey. First, based on the work of </w:t>
      </w:r>
      <w:hyperlink r:id="rId168" w:anchor="bibr40-0093854820913585" w:history="1">
        <w:r w:rsidRPr="00106B83">
          <w:rPr>
            <w:rFonts w:cs="Open Sans"/>
            <w:color w:val="046FF8"/>
            <w:kern w:val="0"/>
            <w:sz w:val="24"/>
            <w:u w:val="single"/>
            <w14:ligatures w14:val="none"/>
          </w:rPr>
          <w:t>Kinder and Sanders (1996)</w:t>
        </w:r>
      </w:hyperlink>
      <w:r w:rsidRPr="00106B83">
        <w:rPr>
          <w:rFonts w:cs="Open Sans"/>
          <w:color w:val="333333"/>
          <w:kern w:val="0"/>
          <w:sz w:val="24"/>
          <w14:ligatures w14:val="none"/>
        </w:rPr>
        <w:t>, we incorporated a standard four-item scale measuring racial resentment (α = .878, factor loadings = .844–.872)—again, a variable found to be a strong predictor in public opinion research on crime policies and social policies (see, e.g., </w:t>
      </w:r>
      <w:hyperlink r:id="rId169" w:anchor="bibr7-0093854820913585" w:history="1">
        <w:r w:rsidRPr="00106B83">
          <w:rPr>
            <w:rFonts w:cs="Open Sans"/>
            <w:color w:val="046FF8"/>
            <w:kern w:val="0"/>
            <w:sz w:val="24"/>
            <w:u w:val="single"/>
            <w14:ligatures w14:val="none"/>
          </w:rPr>
          <w:t>Bobo &amp; Johnson, 2004</w:t>
        </w:r>
      </w:hyperlink>
      <w:r w:rsidRPr="00106B83">
        <w:rPr>
          <w:rFonts w:cs="Open Sans"/>
          <w:color w:val="333333"/>
          <w:kern w:val="0"/>
          <w:sz w:val="24"/>
          <w14:ligatures w14:val="none"/>
        </w:rPr>
        <w:t>; </w:t>
      </w:r>
      <w:hyperlink r:id="rId170" w:anchor="bibr13-0093854820913585" w:history="1">
        <w:r w:rsidRPr="00106B83">
          <w:rPr>
            <w:rFonts w:cs="Open Sans"/>
            <w:color w:val="046FF8"/>
            <w:kern w:val="0"/>
            <w:sz w:val="24"/>
            <w:u w:val="single"/>
            <w14:ligatures w14:val="none"/>
          </w:rPr>
          <w:t>Chudy, 2017</w:t>
        </w:r>
      </w:hyperlink>
      <w:r w:rsidRPr="00106B83">
        <w:rPr>
          <w:rFonts w:cs="Open Sans"/>
          <w:color w:val="333333"/>
          <w:kern w:val="0"/>
          <w:sz w:val="24"/>
          <w14:ligatures w14:val="none"/>
        </w:rPr>
        <w:t>; </w:t>
      </w:r>
      <w:hyperlink r:id="rId171" w:anchor="bibr26-0093854820913585" w:history="1">
        <w:r w:rsidRPr="00106B83">
          <w:rPr>
            <w:rFonts w:cs="Open Sans"/>
            <w:color w:val="046FF8"/>
            <w:kern w:val="0"/>
            <w:sz w:val="24"/>
            <w:u w:val="single"/>
            <w14:ligatures w14:val="none"/>
          </w:rPr>
          <w:t>Filindra &amp; Kaplan, 2016</w:t>
        </w:r>
      </w:hyperlink>
      <w:r w:rsidRPr="00106B83">
        <w:rPr>
          <w:rFonts w:cs="Open Sans"/>
          <w:color w:val="333333"/>
          <w:kern w:val="0"/>
          <w:sz w:val="24"/>
          <w14:ligatures w14:val="none"/>
        </w:rPr>
        <w:t>; </w:t>
      </w:r>
      <w:hyperlink r:id="rId172" w:anchor="bibr34-0093854820913585" w:history="1">
        <w:r w:rsidRPr="00106B83">
          <w:rPr>
            <w:rFonts w:cs="Open Sans"/>
            <w:color w:val="046FF8"/>
            <w:kern w:val="0"/>
            <w:sz w:val="24"/>
            <w:u w:val="single"/>
            <w14:ligatures w14:val="none"/>
          </w:rPr>
          <w:t>Hutchings &amp; Valentino, 2004</w:t>
        </w:r>
      </w:hyperlink>
      <w:r w:rsidRPr="00106B83">
        <w:rPr>
          <w:rFonts w:cs="Open Sans"/>
          <w:color w:val="333333"/>
          <w:kern w:val="0"/>
          <w:sz w:val="24"/>
          <w14:ligatures w14:val="none"/>
        </w:rPr>
        <w:t>; </w:t>
      </w:r>
      <w:hyperlink r:id="rId173" w:anchor="bibr61-0093854820913585" w:history="1">
        <w:r w:rsidRPr="00106B83">
          <w:rPr>
            <w:rFonts w:cs="Open Sans"/>
            <w:color w:val="046FF8"/>
            <w:kern w:val="0"/>
            <w:sz w:val="24"/>
            <w:u w:val="single"/>
            <w14:ligatures w14:val="none"/>
          </w:rPr>
          <w:t>Pickett &amp; Baker, 2014</w:t>
        </w:r>
      </w:hyperlink>
      <w:r w:rsidRPr="00106B83">
        <w:rPr>
          <w:rFonts w:cs="Open Sans"/>
          <w:color w:val="333333"/>
          <w:kern w:val="0"/>
          <w:sz w:val="24"/>
          <w14:ligatures w14:val="none"/>
        </w:rPr>
        <w:t>; </w:t>
      </w:r>
      <w:hyperlink r:id="rId174" w:anchor="bibr75-0093854820913585" w:history="1">
        <w:r w:rsidRPr="00106B83">
          <w:rPr>
            <w:rFonts w:cs="Open Sans"/>
            <w:color w:val="046FF8"/>
            <w:kern w:val="0"/>
            <w:sz w:val="24"/>
            <w:u w:val="single"/>
            <w14:ligatures w14:val="none"/>
          </w:rPr>
          <w:t>Unnever et al., 2008</w:t>
        </w:r>
      </w:hyperlink>
      <w:r w:rsidRPr="00106B83">
        <w:rPr>
          <w:rFonts w:cs="Open Sans"/>
          <w:color w:val="333333"/>
          <w:kern w:val="0"/>
          <w:sz w:val="24"/>
          <w14:ligatures w14:val="none"/>
        </w:rPr>
        <w:t>). Second, to measure crime salience, a one-item measure was added that measured anger about crime (“When you think about crime in your community, do you feel . . .” “Not angry at all,” “A little angry,” “Moderately angry,” “Angry,” “Very angry.”). Third, to measure crime attribution, we used an item available in the survey called blank slate, tapping whether criminal behavior was attributed either to a crime gene or crime gene X environment interaction (= 0) or to purely nongenetic factors (= 1). This item was used to capture whether the attribution was more dispositional or situational in orientation. Note that the results for redeemability remained the same when this attribution was measured with the crime gene X environment response included in the blank slate category with nongenetic factors.</w:t>
      </w:r>
    </w:p>
    <w:p w14:paraId="37DBF371"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Note that MTurk surveys use respondents who opt-in to participate in return for a small payment—in this survey, US$0.15 per minute totaling US$3.75 for their participation (see </w:t>
      </w:r>
      <w:hyperlink r:id="rId175" w:anchor="bibr73-0093854820913585" w:history="1">
        <w:r w:rsidRPr="00106B83">
          <w:rPr>
            <w:rFonts w:cs="Open Sans"/>
            <w:color w:val="046FF8"/>
            <w:kern w:val="0"/>
            <w:sz w:val="24"/>
            <w:u w:val="single"/>
            <w14:ligatures w14:val="none"/>
          </w:rPr>
          <w:t>Thielo et al., 2019</w:t>
        </w:r>
      </w:hyperlink>
      <w:r w:rsidRPr="00106B83">
        <w:rPr>
          <w:rFonts w:cs="Open Sans"/>
          <w:color w:val="333333"/>
          <w:kern w:val="0"/>
          <w:sz w:val="24"/>
          <w14:ligatures w14:val="none"/>
        </w:rPr>
        <w:t>). Compared with the YouGov sample, the MTurk sample is similar in party membership and percent married, but less conservative, more educated, and more supportive of redeemability (</w:t>
      </w:r>
      <w:r w:rsidRPr="00106B83">
        <w:rPr>
          <w:rFonts w:cs="Open Sans"/>
          <w:i/>
          <w:iCs/>
          <w:color w:val="333333"/>
          <w:kern w:val="0"/>
          <w:sz w:val="24"/>
          <w14:ligatures w14:val="none"/>
        </w:rPr>
        <w:t>M</w:t>
      </w:r>
      <w:r w:rsidRPr="00106B83">
        <w:rPr>
          <w:rFonts w:cs="Open Sans"/>
          <w:color w:val="333333"/>
          <w:kern w:val="0"/>
          <w:sz w:val="24"/>
          <w14:ligatures w14:val="none"/>
        </w:rPr>
        <w:t> = 3.80 versus 3.56; see </w:t>
      </w:r>
      <w:hyperlink r:id="rId176" w:anchor="table1-0093854820913585" w:history="1">
        <w:r w:rsidRPr="00106B83">
          <w:rPr>
            <w:rFonts w:cs="Open Sans"/>
            <w:color w:val="046FF8"/>
            <w:kern w:val="0"/>
            <w:sz w:val="24"/>
            <w:u w:val="single"/>
            <w14:ligatures w14:val="none"/>
          </w:rPr>
          <w:t>Tables 1</w:t>
        </w:r>
      </w:hyperlink>
      <w:r w:rsidRPr="00106B83">
        <w:rPr>
          <w:rFonts w:cs="Open Sans"/>
          <w:color w:val="333333"/>
          <w:kern w:val="0"/>
          <w:sz w:val="24"/>
          <w14:ligatures w14:val="none"/>
        </w:rPr>
        <w:t> and </w:t>
      </w:r>
      <w:hyperlink r:id="rId177" w:anchor="table4-0093854820913585" w:history="1">
        <w:r w:rsidRPr="00106B83">
          <w:rPr>
            <w:rFonts w:cs="Open Sans"/>
            <w:color w:val="046FF8"/>
            <w:kern w:val="0"/>
            <w:sz w:val="24"/>
            <w:u w:val="single"/>
            <w14:ligatures w14:val="none"/>
          </w:rPr>
          <w:t>4</w:t>
        </w:r>
      </w:hyperlink>
      <w:r w:rsidRPr="00106B83">
        <w:rPr>
          <w:rFonts w:cs="Open Sans"/>
          <w:color w:val="333333"/>
          <w:kern w:val="0"/>
          <w:sz w:val="24"/>
          <w14:ligatures w14:val="none"/>
        </w:rPr>
        <w:t>). Because the analysis included racial resentment, the MTurk sample was restricted to Whites (</w:t>
      </w:r>
      <w:r w:rsidRPr="00106B83">
        <w:rPr>
          <w:rFonts w:cs="Open Sans"/>
          <w:i/>
          <w:iCs/>
          <w:color w:val="333333"/>
          <w:kern w:val="0"/>
          <w:sz w:val="24"/>
          <w14:ligatures w14:val="none"/>
        </w:rPr>
        <w:t>n</w:t>
      </w:r>
      <w:r w:rsidRPr="00106B83">
        <w:rPr>
          <w:rFonts w:cs="Open Sans"/>
          <w:color w:val="333333"/>
          <w:kern w:val="0"/>
          <w:sz w:val="24"/>
          <w14:ligatures w14:val="none"/>
        </w:rPr>
        <w:t> = 396). More details on the measures and survey are available from the senior author.</w:t>
      </w:r>
    </w:p>
    <w:p w14:paraId="0C16FECF" w14:textId="77777777" w:rsidR="00106B83" w:rsidRPr="00106B83" w:rsidRDefault="00106B83" w:rsidP="00106B83">
      <w:pPr>
        <w:shd w:val="clear" w:color="auto" w:fill="FFFFFF"/>
        <w:spacing w:line="480" w:lineRule="auto"/>
        <w:rPr>
          <w:rFonts w:cs="Open Sans"/>
          <w:color w:val="333333"/>
          <w:kern w:val="0"/>
          <w:sz w:val="24"/>
          <w14:ligatures w14:val="none"/>
        </w:rPr>
      </w:pPr>
      <w:r w:rsidRPr="00106B83">
        <w:rPr>
          <w:rFonts w:cs="Open Sans"/>
          <w:b/>
          <w:bCs/>
          <w:color w:val="333333"/>
          <w:kern w:val="0"/>
          <w:sz w:val="24"/>
          <w14:ligatures w14:val="none"/>
        </w:rPr>
        <w:t>Table 4</w:t>
      </w:r>
      <w:r w:rsidRPr="00106B83">
        <w:rPr>
          <w:rFonts w:cs="Open Sans"/>
          <w:color w:val="333333"/>
          <w:kern w:val="0"/>
          <w:sz w:val="24"/>
          <w14:ligatures w14:val="none"/>
        </w:rPr>
        <w:t>: Descriptive Statistics and Correlation Matrices of Independent and Control Variables With the Outcomes, MTurk Study</w:t>
      </w:r>
    </w:p>
    <w:tbl>
      <w:tblPr>
        <w:tblW w:w="14415" w:type="dxa"/>
        <w:tblCellSpacing w:w="15" w:type="dxa"/>
        <w:tblCellMar>
          <w:top w:w="15" w:type="dxa"/>
          <w:left w:w="15" w:type="dxa"/>
          <w:bottom w:w="15" w:type="dxa"/>
          <w:right w:w="15" w:type="dxa"/>
        </w:tblCellMar>
        <w:tblLook w:val="04A0" w:firstRow="1" w:lastRow="0" w:firstColumn="1" w:lastColumn="0" w:noHBand="0" w:noVBand="1"/>
      </w:tblPr>
      <w:tblGrid>
        <w:gridCol w:w="4119"/>
        <w:gridCol w:w="1090"/>
        <w:gridCol w:w="605"/>
        <w:gridCol w:w="1900"/>
        <w:gridCol w:w="2052"/>
        <w:gridCol w:w="2692"/>
        <w:gridCol w:w="1957"/>
      </w:tblGrid>
      <w:tr w:rsidR="00106B83" w:rsidRPr="00106B83" w14:paraId="3445847E" w14:textId="77777777" w:rsidTr="00106B83">
        <w:trPr>
          <w:tblHeader/>
          <w:tblCellSpacing w:w="15" w:type="dxa"/>
        </w:trPr>
        <w:tc>
          <w:tcPr>
            <w:tcW w:w="0" w:type="auto"/>
            <w:vMerge w:val="restart"/>
            <w:tcBorders>
              <w:top w:val="nil"/>
            </w:tcBorders>
            <w:shd w:val="clear" w:color="auto" w:fill="4E60AC"/>
            <w:vAlign w:val="center"/>
            <w:hideMark/>
          </w:tcPr>
          <w:p w14:paraId="693A0CFC" w14:textId="77777777" w:rsidR="00106B83" w:rsidRPr="00106B83" w:rsidRDefault="00106B83" w:rsidP="00106B83">
            <w:pP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Variables (</w:t>
            </w:r>
            <w:r w:rsidRPr="00106B83">
              <w:rPr>
                <w:rFonts w:ascii="Times New Roman" w:hAnsi="Times New Roman"/>
                <w:b/>
                <w:bCs/>
                <w:i/>
                <w:iCs/>
                <w:color w:val="FFFFFF"/>
                <w:kern w:val="0"/>
                <w:sz w:val="24"/>
                <w14:ligatures w14:val="none"/>
              </w:rPr>
              <w:t>n</w:t>
            </w:r>
            <w:r w:rsidRPr="00106B83">
              <w:rPr>
                <w:rFonts w:ascii="Times New Roman" w:hAnsi="Times New Roman"/>
                <w:b/>
                <w:bCs/>
                <w:color w:val="FFFFFF"/>
                <w:kern w:val="0"/>
                <w:sz w:val="24"/>
                <w14:ligatures w14:val="none"/>
              </w:rPr>
              <w:t> = 396)</w:t>
            </w:r>
          </w:p>
        </w:tc>
        <w:tc>
          <w:tcPr>
            <w:tcW w:w="0" w:type="auto"/>
            <w:vMerge w:val="restart"/>
            <w:tcBorders>
              <w:top w:val="nil"/>
            </w:tcBorders>
            <w:shd w:val="clear" w:color="auto" w:fill="4E60AC"/>
            <w:vAlign w:val="center"/>
            <w:hideMark/>
          </w:tcPr>
          <w:p w14:paraId="73110BD1"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i/>
                <w:iCs/>
                <w:color w:val="FFFFFF"/>
                <w:kern w:val="0"/>
                <w:sz w:val="24"/>
                <w14:ligatures w14:val="none"/>
              </w:rPr>
              <w:t>M</w:t>
            </w:r>
            <w:r w:rsidRPr="00106B83">
              <w:rPr>
                <w:rFonts w:ascii="Times New Roman" w:hAnsi="Times New Roman"/>
                <w:b/>
                <w:bCs/>
                <w:color w:val="FFFFFF"/>
                <w:kern w:val="0"/>
                <w:sz w:val="24"/>
                <w14:ligatures w14:val="none"/>
              </w:rPr>
              <w:t> or %</w:t>
            </w:r>
          </w:p>
        </w:tc>
        <w:tc>
          <w:tcPr>
            <w:tcW w:w="0" w:type="auto"/>
            <w:vMerge w:val="restart"/>
            <w:tcBorders>
              <w:top w:val="nil"/>
            </w:tcBorders>
            <w:shd w:val="clear" w:color="auto" w:fill="4E60AC"/>
            <w:vAlign w:val="center"/>
            <w:hideMark/>
          </w:tcPr>
          <w:p w14:paraId="6FFF3CD2"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i/>
                <w:iCs/>
                <w:color w:val="FFFFFF"/>
                <w:kern w:val="0"/>
                <w:sz w:val="24"/>
                <w14:ligatures w14:val="none"/>
              </w:rPr>
              <w:t>SD</w:t>
            </w:r>
          </w:p>
        </w:tc>
        <w:tc>
          <w:tcPr>
            <w:tcW w:w="0" w:type="auto"/>
            <w:gridSpan w:val="4"/>
            <w:tcBorders>
              <w:top w:val="nil"/>
            </w:tcBorders>
            <w:shd w:val="clear" w:color="auto" w:fill="4E60AC"/>
            <w:vAlign w:val="center"/>
            <w:hideMark/>
          </w:tcPr>
          <w:p w14:paraId="2DCD33B5"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Bivariate correlation matrices with outcomes</w:t>
            </w:r>
          </w:p>
        </w:tc>
      </w:tr>
      <w:tr w:rsidR="00106B83" w:rsidRPr="00106B83" w14:paraId="5D84F4FF" w14:textId="77777777" w:rsidTr="00106B83">
        <w:trPr>
          <w:tblHeader/>
          <w:tblCellSpacing w:w="15" w:type="dxa"/>
        </w:trPr>
        <w:tc>
          <w:tcPr>
            <w:tcW w:w="0" w:type="auto"/>
            <w:vMerge/>
            <w:tcBorders>
              <w:top w:val="nil"/>
            </w:tcBorders>
            <w:vAlign w:val="center"/>
            <w:hideMark/>
          </w:tcPr>
          <w:p w14:paraId="69F8922A" w14:textId="77777777" w:rsidR="00106B83" w:rsidRPr="00106B83" w:rsidRDefault="00106B83" w:rsidP="00106B83">
            <w:pPr>
              <w:jc w:val="center"/>
              <w:rPr>
                <w:rFonts w:ascii="Times New Roman" w:hAnsi="Times New Roman"/>
                <w:b/>
                <w:bCs/>
                <w:color w:val="FFFFFF"/>
                <w:kern w:val="0"/>
                <w:sz w:val="24"/>
                <w14:ligatures w14:val="none"/>
              </w:rPr>
            </w:pPr>
          </w:p>
        </w:tc>
        <w:tc>
          <w:tcPr>
            <w:tcW w:w="0" w:type="auto"/>
            <w:vMerge/>
            <w:tcBorders>
              <w:top w:val="nil"/>
            </w:tcBorders>
            <w:vAlign w:val="center"/>
            <w:hideMark/>
          </w:tcPr>
          <w:p w14:paraId="000C3E89" w14:textId="77777777" w:rsidR="00106B83" w:rsidRPr="00106B83" w:rsidRDefault="00106B83" w:rsidP="00106B83">
            <w:pPr>
              <w:jc w:val="center"/>
              <w:rPr>
                <w:rFonts w:ascii="Times New Roman" w:hAnsi="Times New Roman"/>
                <w:b/>
                <w:bCs/>
                <w:color w:val="FFFFFF"/>
                <w:kern w:val="0"/>
                <w:sz w:val="24"/>
                <w14:ligatures w14:val="none"/>
              </w:rPr>
            </w:pPr>
          </w:p>
        </w:tc>
        <w:tc>
          <w:tcPr>
            <w:tcW w:w="0" w:type="auto"/>
            <w:vMerge/>
            <w:tcBorders>
              <w:top w:val="nil"/>
            </w:tcBorders>
            <w:vAlign w:val="center"/>
            <w:hideMark/>
          </w:tcPr>
          <w:p w14:paraId="70C7C91C" w14:textId="77777777" w:rsidR="00106B83" w:rsidRPr="00106B83" w:rsidRDefault="00106B83" w:rsidP="00106B83">
            <w:pPr>
              <w:jc w:val="center"/>
              <w:rPr>
                <w:rFonts w:ascii="Times New Roman" w:hAnsi="Times New Roman"/>
                <w:b/>
                <w:bCs/>
                <w:color w:val="FFFFFF"/>
                <w:kern w:val="0"/>
                <w:sz w:val="24"/>
                <w14:ligatures w14:val="none"/>
              </w:rPr>
            </w:pPr>
          </w:p>
        </w:tc>
        <w:tc>
          <w:tcPr>
            <w:tcW w:w="0" w:type="auto"/>
            <w:tcBorders>
              <w:top w:val="nil"/>
            </w:tcBorders>
            <w:shd w:val="clear" w:color="auto" w:fill="4E60AC"/>
            <w:vAlign w:val="center"/>
            <w:hideMark/>
          </w:tcPr>
          <w:p w14:paraId="3B7B31FB"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Death penalty</w:t>
            </w:r>
          </w:p>
        </w:tc>
        <w:tc>
          <w:tcPr>
            <w:tcW w:w="0" w:type="auto"/>
            <w:tcBorders>
              <w:top w:val="nil"/>
            </w:tcBorders>
            <w:shd w:val="clear" w:color="auto" w:fill="4E60AC"/>
            <w:vAlign w:val="center"/>
            <w:hideMark/>
          </w:tcPr>
          <w:p w14:paraId="00394693"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Harsher courts</w:t>
            </w:r>
          </w:p>
        </w:tc>
        <w:tc>
          <w:tcPr>
            <w:tcW w:w="0" w:type="auto"/>
            <w:tcBorders>
              <w:top w:val="nil"/>
            </w:tcBorders>
            <w:shd w:val="clear" w:color="auto" w:fill="4E60AC"/>
            <w:vAlign w:val="center"/>
            <w:hideMark/>
          </w:tcPr>
          <w:p w14:paraId="30552775"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Punitive prison goal</w:t>
            </w:r>
          </w:p>
        </w:tc>
        <w:tc>
          <w:tcPr>
            <w:tcW w:w="0" w:type="auto"/>
            <w:tcBorders>
              <w:top w:val="nil"/>
            </w:tcBorders>
            <w:shd w:val="clear" w:color="auto" w:fill="4E60AC"/>
            <w:vAlign w:val="center"/>
            <w:hideMark/>
          </w:tcPr>
          <w:p w14:paraId="4DD773DE"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Rehabilitation</w:t>
            </w:r>
          </w:p>
        </w:tc>
      </w:tr>
      <w:tr w:rsidR="00106B83" w:rsidRPr="00106B83" w14:paraId="34CCA463" w14:textId="77777777" w:rsidTr="00106B83">
        <w:trPr>
          <w:tblCellSpacing w:w="15" w:type="dxa"/>
        </w:trPr>
        <w:tc>
          <w:tcPr>
            <w:tcW w:w="0" w:type="auto"/>
            <w:gridSpan w:val="7"/>
            <w:tcBorders>
              <w:top w:val="nil"/>
            </w:tcBorders>
            <w:vAlign w:val="center"/>
            <w:hideMark/>
          </w:tcPr>
          <w:p w14:paraId="50B7C350"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Outcome variables</w:t>
            </w:r>
          </w:p>
        </w:tc>
      </w:tr>
      <w:tr w:rsidR="00106B83" w:rsidRPr="00106B83" w14:paraId="345BC1B1" w14:textId="77777777" w:rsidTr="00106B83">
        <w:trPr>
          <w:tblCellSpacing w:w="15" w:type="dxa"/>
        </w:trPr>
        <w:tc>
          <w:tcPr>
            <w:tcW w:w="0" w:type="auto"/>
            <w:tcBorders>
              <w:top w:val="single" w:sz="6" w:space="0" w:color="DDDDDD"/>
            </w:tcBorders>
            <w:shd w:val="clear" w:color="auto" w:fill="F7F7F7"/>
            <w:vAlign w:val="center"/>
            <w:hideMark/>
          </w:tcPr>
          <w:p w14:paraId="29CB3904"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Death penalty (% favor)</w:t>
            </w:r>
          </w:p>
        </w:tc>
        <w:tc>
          <w:tcPr>
            <w:tcW w:w="0" w:type="auto"/>
            <w:tcBorders>
              <w:top w:val="single" w:sz="6" w:space="0" w:color="DDDDDD"/>
            </w:tcBorders>
            <w:shd w:val="clear" w:color="auto" w:fill="F7F7F7"/>
            <w:vAlign w:val="center"/>
            <w:hideMark/>
          </w:tcPr>
          <w:p w14:paraId="74571A2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40.7</w:t>
            </w:r>
          </w:p>
        </w:tc>
        <w:tc>
          <w:tcPr>
            <w:tcW w:w="0" w:type="auto"/>
            <w:tcBorders>
              <w:top w:val="single" w:sz="6" w:space="0" w:color="DDDDDD"/>
            </w:tcBorders>
            <w:shd w:val="clear" w:color="auto" w:fill="F7F7F7"/>
            <w:vAlign w:val="center"/>
            <w:hideMark/>
          </w:tcPr>
          <w:p w14:paraId="4C924F5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23FB618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7DD8469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6D19CA1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116A4167"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r>
      <w:tr w:rsidR="00106B83" w:rsidRPr="00106B83" w14:paraId="7FFA3697" w14:textId="77777777" w:rsidTr="00106B83">
        <w:trPr>
          <w:tblCellSpacing w:w="15" w:type="dxa"/>
        </w:trPr>
        <w:tc>
          <w:tcPr>
            <w:tcW w:w="0" w:type="auto"/>
            <w:tcBorders>
              <w:top w:val="single" w:sz="6" w:space="0" w:color="DDDDDD"/>
            </w:tcBorders>
            <w:vAlign w:val="center"/>
            <w:hideMark/>
          </w:tcPr>
          <w:p w14:paraId="3F2282C3"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Harsher courts (% favor)</w:t>
            </w:r>
          </w:p>
        </w:tc>
        <w:tc>
          <w:tcPr>
            <w:tcW w:w="0" w:type="auto"/>
            <w:tcBorders>
              <w:top w:val="single" w:sz="6" w:space="0" w:color="DDDDDD"/>
            </w:tcBorders>
            <w:vAlign w:val="center"/>
            <w:hideMark/>
          </w:tcPr>
          <w:p w14:paraId="29FF360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21.5</w:t>
            </w:r>
          </w:p>
        </w:tc>
        <w:tc>
          <w:tcPr>
            <w:tcW w:w="0" w:type="auto"/>
            <w:tcBorders>
              <w:top w:val="single" w:sz="6" w:space="0" w:color="DDDDDD"/>
            </w:tcBorders>
            <w:vAlign w:val="center"/>
            <w:hideMark/>
          </w:tcPr>
          <w:p w14:paraId="3EC967F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vAlign w:val="center"/>
            <w:hideMark/>
          </w:tcPr>
          <w:p w14:paraId="4FA54C83"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vAlign w:val="center"/>
            <w:hideMark/>
          </w:tcPr>
          <w:p w14:paraId="13750DC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vAlign w:val="center"/>
            <w:hideMark/>
          </w:tcPr>
          <w:p w14:paraId="0C9DD95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vAlign w:val="center"/>
            <w:hideMark/>
          </w:tcPr>
          <w:p w14:paraId="1EA6CC5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r>
      <w:tr w:rsidR="00106B83" w:rsidRPr="00106B83" w14:paraId="77ACC6A1" w14:textId="77777777" w:rsidTr="00106B83">
        <w:trPr>
          <w:tblCellSpacing w:w="15" w:type="dxa"/>
        </w:trPr>
        <w:tc>
          <w:tcPr>
            <w:tcW w:w="0" w:type="auto"/>
            <w:tcBorders>
              <w:top w:val="single" w:sz="6" w:space="0" w:color="DDDDDD"/>
            </w:tcBorders>
            <w:shd w:val="clear" w:color="auto" w:fill="F7F7F7"/>
            <w:vAlign w:val="center"/>
            <w:hideMark/>
          </w:tcPr>
          <w:p w14:paraId="3D0D2AE7"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Punitive prison goal (% favor)</w:t>
            </w:r>
          </w:p>
        </w:tc>
        <w:tc>
          <w:tcPr>
            <w:tcW w:w="0" w:type="auto"/>
            <w:tcBorders>
              <w:top w:val="single" w:sz="6" w:space="0" w:color="DDDDDD"/>
            </w:tcBorders>
            <w:shd w:val="clear" w:color="auto" w:fill="F7F7F7"/>
            <w:vAlign w:val="center"/>
            <w:hideMark/>
          </w:tcPr>
          <w:p w14:paraId="3D33B70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40.9</w:t>
            </w:r>
          </w:p>
        </w:tc>
        <w:tc>
          <w:tcPr>
            <w:tcW w:w="0" w:type="auto"/>
            <w:tcBorders>
              <w:top w:val="single" w:sz="6" w:space="0" w:color="DDDDDD"/>
            </w:tcBorders>
            <w:shd w:val="clear" w:color="auto" w:fill="F7F7F7"/>
            <w:vAlign w:val="center"/>
            <w:hideMark/>
          </w:tcPr>
          <w:p w14:paraId="04029DC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736CBC2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2D7A2517"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41EDBAC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5823FCF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r>
      <w:tr w:rsidR="00106B83" w:rsidRPr="00106B83" w14:paraId="3F013A26" w14:textId="77777777" w:rsidTr="00106B83">
        <w:trPr>
          <w:tblCellSpacing w:w="15" w:type="dxa"/>
        </w:trPr>
        <w:tc>
          <w:tcPr>
            <w:tcW w:w="0" w:type="auto"/>
            <w:tcBorders>
              <w:top w:val="single" w:sz="6" w:space="0" w:color="DDDDDD"/>
            </w:tcBorders>
            <w:vAlign w:val="center"/>
            <w:hideMark/>
          </w:tcPr>
          <w:p w14:paraId="3A4CF717"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lastRenderedPageBreak/>
              <w:t> </w:t>
            </w:r>
            <w:r w:rsidRPr="00106B83">
              <w:rPr>
                <w:rFonts w:ascii="Times New Roman" w:hAnsi="Times New Roman"/>
                <w:kern w:val="0"/>
                <w:sz w:val="24"/>
                <w14:ligatures w14:val="none"/>
              </w:rPr>
              <w:t>Rehabilitation</w:t>
            </w:r>
          </w:p>
        </w:tc>
        <w:tc>
          <w:tcPr>
            <w:tcW w:w="0" w:type="auto"/>
            <w:tcBorders>
              <w:top w:val="single" w:sz="6" w:space="0" w:color="DDDDDD"/>
            </w:tcBorders>
            <w:vAlign w:val="center"/>
            <w:hideMark/>
          </w:tcPr>
          <w:p w14:paraId="35AFF6B6"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4.0</w:t>
            </w:r>
          </w:p>
        </w:tc>
        <w:tc>
          <w:tcPr>
            <w:tcW w:w="0" w:type="auto"/>
            <w:tcBorders>
              <w:top w:val="single" w:sz="6" w:space="0" w:color="DDDDDD"/>
            </w:tcBorders>
            <w:vAlign w:val="center"/>
            <w:hideMark/>
          </w:tcPr>
          <w:p w14:paraId="3A98774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w:t>
            </w:r>
          </w:p>
        </w:tc>
        <w:tc>
          <w:tcPr>
            <w:tcW w:w="0" w:type="auto"/>
            <w:tcBorders>
              <w:top w:val="single" w:sz="6" w:space="0" w:color="DDDDDD"/>
            </w:tcBorders>
            <w:vAlign w:val="center"/>
            <w:hideMark/>
          </w:tcPr>
          <w:p w14:paraId="06251D3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vAlign w:val="center"/>
            <w:hideMark/>
          </w:tcPr>
          <w:p w14:paraId="58DD82F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vAlign w:val="center"/>
            <w:hideMark/>
          </w:tcPr>
          <w:p w14:paraId="44F63757"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vAlign w:val="center"/>
            <w:hideMark/>
          </w:tcPr>
          <w:p w14:paraId="34B5D6E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r>
      <w:tr w:rsidR="00106B83" w:rsidRPr="00106B83" w14:paraId="565DFF59" w14:textId="77777777" w:rsidTr="00106B83">
        <w:trPr>
          <w:tblCellSpacing w:w="15" w:type="dxa"/>
        </w:trPr>
        <w:tc>
          <w:tcPr>
            <w:tcW w:w="0" w:type="auto"/>
            <w:gridSpan w:val="7"/>
            <w:tcBorders>
              <w:top w:val="single" w:sz="6" w:space="0" w:color="DDDDDD"/>
            </w:tcBorders>
            <w:shd w:val="clear" w:color="auto" w:fill="F7F7F7"/>
            <w:vAlign w:val="center"/>
            <w:hideMark/>
          </w:tcPr>
          <w:p w14:paraId="2D20976D"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Independent variable</w:t>
            </w:r>
          </w:p>
        </w:tc>
      </w:tr>
      <w:tr w:rsidR="00106B83" w:rsidRPr="00106B83" w14:paraId="7BA4FD6D" w14:textId="77777777" w:rsidTr="00106B83">
        <w:trPr>
          <w:tblCellSpacing w:w="15" w:type="dxa"/>
        </w:trPr>
        <w:tc>
          <w:tcPr>
            <w:tcW w:w="0" w:type="auto"/>
            <w:tcBorders>
              <w:top w:val="single" w:sz="6" w:space="0" w:color="DDDDDD"/>
            </w:tcBorders>
            <w:vAlign w:val="center"/>
            <w:hideMark/>
          </w:tcPr>
          <w:p w14:paraId="6F19CF7F"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Redeemability</w:t>
            </w:r>
          </w:p>
        </w:tc>
        <w:tc>
          <w:tcPr>
            <w:tcW w:w="0" w:type="auto"/>
            <w:tcBorders>
              <w:top w:val="single" w:sz="6" w:space="0" w:color="DDDDDD"/>
            </w:tcBorders>
            <w:vAlign w:val="center"/>
            <w:hideMark/>
          </w:tcPr>
          <w:p w14:paraId="4C3A36F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3.8</w:t>
            </w:r>
          </w:p>
        </w:tc>
        <w:tc>
          <w:tcPr>
            <w:tcW w:w="0" w:type="auto"/>
            <w:tcBorders>
              <w:top w:val="single" w:sz="6" w:space="0" w:color="DDDDDD"/>
            </w:tcBorders>
            <w:vAlign w:val="center"/>
            <w:hideMark/>
          </w:tcPr>
          <w:p w14:paraId="705C91D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w:t>
            </w:r>
          </w:p>
        </w:tc>
        <w:tc>
          <w:tcPr>
            <w:tcW w:w="0" w:type="auto"/>
            <w:tcBorders>
              <w:top w:val="single" w:sz="6" w:space="0" w:color="DDDDDD"/>
            </w:tcBorders>
            <w:vAlign w:val="center"/>
            <w:hideMark/>
          </w:tcPr>
          <w:p w14:paraId="2A54416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−.210</w:t>
            </w:r>
            <w:hyperlink r:id="rId178" w:anchor="table-fn4-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vAlign w:val="center"/>
            <w:hideMark/>
          </w:tcPr>
          <w:p w14:paraId="7D5D9A6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−.258</w:t>
            </w:r>
            <w:hyperlink r:id="rId179" w:anchor="table-fn4-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vAlign w:val="center"/>
            <w:hideMark/>
          </w:tcPr>
          <w:p w14:paraId="0AFA468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−.323</w:t>
            </w:r>
            <w:hyperlink r:id="rId180" w:anchor="table-fn4-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vAlign w:val="center"/>
            <w:hideMark/>
          </w:tcPr>
          <w:p w14:paraId="3E70777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.766</w:t>
            </w:r>
            <w:hyperlink r:id="rId181" w:anchor="table-fn4-0093854820913585" w:history="1">
              <w:r w:rsidRPr="00106B83">
                <w:rPr>
                  <w:rFonts w:ascii="Times New Roman" w:hAnsi="Times New Roman"/>
                  <w:color w:val="046FF8"/>
                  <w:kern w:val="0"/>
                  <w:sz w:val="24"/>
                  <w:u w:val="single"/>
                  <w14:ligatures w14:val="none"/>
                </w:rPr>
                <w:t>*</w:t>
              </w:r>
            </w:hyperlink>
          </w:p>
        </w:tc>
      </w:tr>
      <w:tr w:rsidR="00106B83" w:rsidRPr="00106B83" w14:paraId="7796BB44" w14:textId="77777777" w:rsidTr="00106B83">
        <w:trPr>
          <w:tblCellSpacing w:w="15" w:type="dxa"/>
        </w:trPr>
        <w:tc>
          <w:tcPr>
            <w:tcW w:w="0" w:type="auto"/>
            <w:gridSpan w:val="7"/>
            <w:tcBorders>
              <w:top w:val="single" w:sz="6" w:space="0" w:color="DDDDDD"/>
            </w:tcBorders>
            <w:shd w:val="clear" w:color="auto" w:fill="F7F7F7"/>
            <w:vAlign w:val="center"/>
            <w:hideMark/>
          </w:tcPr>
          <w:p w14:paraId="039B4AF1"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Control variables</w:t>
            </w:r>
          </w:p>
        </w:tc>
      </w:tr>
      <w:tr w:rsidR="00106B83" w:rsidRPr="00106B83" w14:paraId="219F447F" w14:textId="77777777" w:rsidTr="00106B83">
        <w:trPr>
          <w:tblCellSpacing w:w="15" w:type="dxa"/>
        </w:trPr>
        <w:tc>
          <w:tcPr>
            <w:tcW w:w="0" w:type="auto"/>
            <w:tcBorders>
              <w:top w:val="single" w:sz="6" w:space="0" w:color="DDDDDD"/>
            </w:tcBorders>
            <w:vAlign w:val="center"/>
            <w:hideMark/>
          </w:tcPr>
          <w:p w14:paraId="6C9B16FD"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Racial resentment</w:t>
            </w:r>
          </w:p>
        </w:tc>
        <w:tc>
          <w:tcPr>
            <w:tcW w:w="0" w:type="auto"/>
            <w:tcBorders>
              <w:top w:val="single" w:sz="6" w:space="0" w:color="DDDDDD"/>
            </w:tcBorders>
            <w:vAlign w:val="center"/>
            <w:hideMark/>
          </w:tcPr>
          <w:p w14:paraId="14CDC85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0.6</w:t>
            </w:r>
          </w:p>
        </w:tc>
        <w:tc>
          <w:tcPr>
            <w:tcW w:w="0" w:type="auto"/>
            <w:tcBorders>
              <w:top w:val="single" w:sz="6" w:space="0" w:color="DDDDDD"/>
            </w:tcBorders>
            <w:vAlign w:val="center"/>
            <w:hideMark/>
          </w:tcPr>
          <w:p w14:paraId="358BA91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0.2</w:t>
            </w:r>
          </w:p>
        </w:tc>
        <w:tc>
          <w:tcPr>
            <w:tcW w:w="0" w:type="auto"/>
            <w:tcBorders>
              <w:top w:val="single" w:sz="6" w:space="0" w:color="DDDDDD"/>
            </w:tcBorders>
            <w:vAlign w:val="center"/>
            <w:hideMark/>
          </w:tcPr>
          <w:p w14:paraId="49E3B2D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.349</w:t>
            </w:r>
            <w:hyperlink r:id="rId182" w:anchor="table-fn4-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vAlign w:val="center"/>
            <w:hideMark/>
          </w:tcPr>
          <w:p w14:paraId="3F520016"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.218</w:t>
            </w:r>
            <w:hyperlink r:id="rId183" w:anchor="table-fn4-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vAlign w:val="center"/>
            <w:hideMark/>
          </w:tcPr>
          <w:p w14:paraId="47DA151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.311</w:t>
            </w:r>
            <w:hyperlink r:id="rId184" w:anchor="table-fn4-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vAlign w:val="center"/>
            <w:hideMark/>
          </w:tcPr>
          <w:p w14:paraId="14692AE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−.429</w:t>
            </w:r>
            <w:hyperlink r:id="rId185" w:anchor="table-fn4-0093854820913585" w:history="1">
              <w:r w:rsidRPr="00106B83">
                <w:rPr>
                  <w:rFonts w:ascii="Times New Roman" w:hAnsi="Times New Roman"/>
                  <w:color w:val="046FF8"/>
                  <w:kern w:val="0"/>
                  <w:sz w:val="24"/>
                  <w:u w:val="single"/>
                  <w14:ligatures w14:val="none"/>
                </w:rPr>
                <w:t>*</w:t>
              </w:r>
            </w:hyperlink>
          </w:p>
        </w:tc>
      </w:tr>
      <w:tr w:rsidR="00106B83" w:rsidRPr="00106B83" w14:paraId="7AC375D4" w14:textId="77777777" w:rsidTr="00106B83">
        <w:trPr>
          <w:tblCellSpacing w:w="15" w:type="dxa"/>
        </w:trPr>
        <w:tc>
          <w:tcPr>
            <w:tcW w:w="0" w:type="auto"/>
            <w:tcBorders>
              <w:top w:val="single" w:sz="6" w:space="0" w:color="DDDDDD"/>
            </w:tcBorders>
            <w:shd w:val="clear" w:color="auto" w:fill="F7F7F7"/>
            <w:vAlign w:val="center"/>
            <w:hideMark/>
          </w:tcPr>
          <w:p w14:paraId="7613838A"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Blank slate (%)</w:t>
            </w:r>
          </w:p>
        </w:tc>
        <w:tc>
          <w:tcPr>
            <w:tcW w:w="0" w:type="auto"/>
            <w:tcBorders>
              <w:top w:val="single" w:sz="6" w:space="0" w:color="DDDDDD"/>
            </w:tcBorders>
            <w:shd w:val="clear" w:color="auto" w:fill="F7F7F7"/>
            <w:vAlign w:val="center"/>
            <w:hideMark/>
          </w:tcPr>
          <w:p w14:paraId="65AA494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52.3</w:t>
            </w:r>
          </w:p>
        </w:tc>
        <w:tc>
          <w:tcPr>
            <w:tcW w:w="0" w:type="auto"/>
            <w:tcBorders>
              <w:top w:val="single" w:sz="6" w:space="0" w:color="DDDDDD"/>
            </w:tcBorders>
            <w:shd w:val="clear" w:color="auto" w:fill="F7F7F7"/>
            <w:vAlign w:val="center"/>
            <w:hideMark/>
          </w:tcPr>
          <w:p w14:paraId="50CB1F0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1B73679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−.002</w:t>
            </w:r>
          </w:p>
        </w:tc>
        <w:tc>
          <w:tcPr>
            <w:tcW w:w="0" w:type="auto"/>
            <w:tcBorders>
              <w:top w:val="single" w:sz="6" w:space="0" w:color="DDDDDD"/>
            </w:tcBorders>
            <w:shd w:val="clear" w:color="auto" w:fill="F7F7F7"/>
            <w:vAlign w:val="center"/>
            <w:hideMark/>
          </w:tcPr>
          <w:p w14:paraId="355A6107"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−.055</w:t>
            </w:r>
          </w:p>
        </w:tc>
        <w:tc>
          <w:tcPr>
            <w:tcW w:w="0" w:type="auto"/>
            <w:tcBorders>
              <w:top w:val="single" w:sz="6" w:space="0" w:color="DDDDDD"/>
            </w:tcBorders>
            <w:shd w:val="clear" w:color="auto" w:fill="F7F7F7"/>
            <w:vAlign w:val="center"/>
            <w:hideMark/>
          </w:tcPr>
          <w:p w14:paraId="67491A77"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.034</w:t>
            </w:r>
          </w:p>
        </w:tc>
        <w:tc>
          <w:tcPr>
            <w:tcW w:w="0" w:type="auto"/>
            <w:tcBorders>
              <w:top w:val="single" w:sz="6" w:space="0" w:color="DDDDDD"/>
            </w:tcBorders>
            <w:shd w:val="clear" w:color="auto" w:fill="F7F7F7"/>
            <w:vAlign w:val="center"/>
            <w:hideMark/>
          </w:tcPr>
          <w:p w14:paraId="7A8927A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.063</w:t>
            </w:r>
          </w:p>
        </w:tc>
      </w:tr>
      <w:tr w:rsidR="00106B83" w:rsidRPr="00106B83" w14:paraId="0EC16E2D" w14:textId="77777777" w:rsidTr="00106B83">
        <w:trPr>
          <w:tblCellSpacing w:w="15" w:type="dxa"/>
        </w:trPr>
        <w:tc>
          <w:tcPr>
            <w:tcW w:w="0" w:type="auto"/>
            <w:tcBorders>
              <w:top w:val="single" w:sz="6" w:space="0" w:color="DDDDDD"/>
            </w:tcBorders>
            <w:vAlign w:val="center"/>
            <w:hideMark/>
          </w:tcPr>
          <w:p w14:paraId="378C3489"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Anger about crime</w:t>
            </w:r>
          </w:p>
        </w:tc>
        <w:tc>
          <w:tcPr>
            <w:tcW w:w="0" w:type="auto"/>
            <w:tcBorders>
              <w:top w:val="single" w:sz="6" w:space="0" w:color="DDDDDD"/>
            </w:tcBorders>
            <w:vAlign w:val="center"/>
            <w:hideMark/>
          </w:tcPr>
          <w:p w14:paraId="18C8429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2.5</w:t>
            </w:r>
          </w:p>
        </w:tc>
        <w:tc>
          <w:tcPr>
            <w:tcW w:w="0" w:type="auto"/>
            <w:tcBorders>
              <w:top w:val="single" w:sz="6" w:space="0" w:color="DDDDDD"/>
            </w:tcBorders>
            <w:vAlign w:val="center"/>
            <w:hideMark/>
          </w:tcPr>
          <w:p w14:paraId="55B0488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1.1</w:t>
            </w:r>
          </w:p>
        </w:tc>
        <w:tc>
          <w:tcPr>
            <w:tcW w:w="0" w:type="auto"/>
            <w:tcBorders>
              <w:top w:val="single" w:sz="6" w:space="0" w:color="DDDDDD"/>
            </w:tcBorders>
            <w:vAlign w:val="center"/>
            <w:hideMark/>
          </w:tcPr>
          <w:p w14:paraId="66DAD4B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.129</w:t>
            </w:r>
          </w:p>
        </w:tc>
        <w:tc>
          <w:tcPr>
            <w:tcW w:w="0" w:type="auto"/>
            <w:tcBorders>
              <w:top w:val="single" w:sz="6" w:space="0" w:color="DDDDDD"/>
            </w:tcBorders>
            <w:vAlign w:val="center"/>
            <w:hideMark/>
          </w:tcPr>
          <w:p w14:paraId="741FEF8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.111</w:t>
            </w:r>
          </w:p>
        </w:tc>
        <w:tc>
          <w:tcPr>
            <w:tcW w:w="0" w:type="auto"/>
            <w:tcBorders>
              <w:top w:val="single" w:sz="6" w:space="0" w:color="DDDDDD"/>
            </w:tcBorders>
            <w:vAlign w:val="center"/>
            <w:hideMark/>
          </w:tcPr>
          <w:p w14:paraId="0835404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.168</w:t>
            </w:r>
          </w:p>
        </w:tc>
        <w:tc>
          <w:tcPr>
            <w:tcW w:w="0" w:type="auto"/>
            <w:tcBorders>
              <w:top w:val="single" w:sz="6" w:space="0" w:color="DDDDDD"/>
            </w:tcBorders>
            <w:vAlign w:val="center"/>
            <w:hideMark/>
          </w:tcPr>
          <w:p w14:paraId="7DF0823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−.194</w:t>
            </w:r>
            <w:hyperlink r:id="rId186" w:anchor="table-fn4-0093854820913585" w:history="1">
              <w:r w:rsidRPr="00106B83">
                <w:rPr>
                  <w:rFonts w:ascii="Times New Roman" w:hAnsi="Times New Roman"/>
                  <w:color w:val="046FF8"/>
                  <w:kern w:val="0"/>
                  <w:sz w:val="24"/>
                  <w:u w:val="single"/>
                  <w14:ligatures w14:val="none"/>
                </w:rPr>
                <w:t>*</w:t>
              </w:r>
            </w:hyperlink>
          </w:p>
        </w:tc>
      </w:tr>
      <w:tr w:rsidR="00106B83" w:rsidRPr="00106B83" w14:paraId="194B6191" w14:textId="77777777" w:rsidTr="00106B83">
        <w:trPr>
          <w:tblCellSpacing w:w="15" w:type="dxa"/>
        </w:trPr>
        <w:tc>
          <w:tcPr>
            <w:tcW w:w="0" w:type="auto"/>
            <w:tcBorders>
              <w:top w:val="single" w:sz="6" w:space="0" w:color="DDDDDD"/>
            </w:tcBorders>
            <w:shd w:val="clear" w:color="auto" w:fill="F7F7F7"/>
            <w:vAlign w:val="center"/>
            <w:hideMark/>
          </w:tcPr>
          <w:p w14:paraId="2DAC6C52"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Republican (%)</w:t>
            </w:r>
          </w:p>
        </w:tc>
        <w:tc>
          <w:tcPr>
            <w:tcW w:w="0" w:type="auto"/>
            <w:tcBorders>
              <w:top w:val="single" w:sz="6" w:space="0" w:color="DDDDDD"/>
            </w:tcBorders>
            <w:shd w:val="clear" w:color="auto" w:fill="F7F7F7"/>
            <w:vAlign w:val="center"/>
            <w:hideMark/>
          </w:tcPr>
          <w:p w14:paraId="4AC45390"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24.2</w:t>
            </w:r>
          </w:p>
        </w:tc>
        <w:tc>
          <w:tcPr>
            <w:tcW w:w="0" w:type="auto"/>
            <w:tcBorders>
              <w:top w:val="single" w:sz="6" w:space="0" w:color="DDDDDD"/>
            </w:tcBorders>
            <w:shd w:val="clear" w:color="auto" w:fill="F7F7F7"/>
            <w:vAlign w:val="center"/>
            <w:hideMark/>
          </w:tcPr>
          <w:p w14:paraId="68C6A9F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2873E6E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.240</w:t>
            </w:r>
            <w:hyperlink r:id="rId187" w:anchor="table-fn4-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shd w:val="clear" w:color="auto" w:fill="F7F7F7"/>
            <w:vAlign w:val="center"/>
            <w:hideMark/>
          </w:tcPr>
          <w:p w14:paraId="016D711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.092</w:t>
            </w:r>
          </w:p>
        </w:tc>
        <w:tc>
          <w:tcPr>
            <w:tcW w:w="0" w:type="auto"/>
            <w:tcBorders>
              <w:top w:val="single" w:sz="6" w:space="0" w:color="DDDDDD"/>
            </w:tcBorders>
            <w:shd w:val="clear" w:color="auto" w:fill="F7F7F7"/>
            <w:vAlign w:val="center"/>
            <w:hideMark/>
          </w:tcPr>
          <w:p w14:paraId="5E98B5B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.296</w:t>
            </w:r>
            <w:hyperlink r:id="rId188" w:anchor="table-fn4-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shd w:val="clear" w:color="auto" w:fill="F7F7F7"/>
            <w:vAlign w:val="center"/>
            <w:hideMark/>
          </w:tcPr>
          <w:p w14:paraId="2380A51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−.311</w:t>
            </w:r>
            <w:hyperlink r:id="rId189" w:anchor="table-fn4-0093854820913585" w:history="1">
              <w:r w:rsidRPr="00106B83">
                <w:rPr>
                  <w:rFonts w:ascii="Times New Roman" w:hAnsi="Times New Roman"/>
                  <w:color w:val="046FF8"/>
                  <w:kern w:val="0"/>
                  <w:sz w:val="24"/>
                  <w:u w:val="single"/>
                  <w14:ligatures w14:val="none"/>
                </w:rPr>
                <w:t>*</w:t>
              </w:r>
            </w:hyperlink>
          </w:p>
        </w:tc>
      </w:tr>
      <w:tr w:rsidR="00106B83" w:rsidRPr="00106B83" w14:paraId="74BD2A45" w14:textId="77777777" w:rsidTr="00106B83">
        <w:trPr>
          <w:tblCellSpacing w:w="15" w:type="dxa"/>
        </w:trPr>
        <w:tc>
          <w:tcPr>
            <w:tcW w:w="0" w:type="auto"/>
            <w:tcBorders>
              <w:top w:val="single" w:sz="6" w:space="0" w:color="DDDDDD"/>
            </w:tcBorders>
            <w:vAlign w:val="center"/>
            <w:hideMark/>
          </w:tcPr>
          <w:p w14:paraId="7BEAC034"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Conservatism (%)</w:t>
            </w:r>
          </w:p>
        </w:tc>
        <w:tc>
          <w:tcPr>
            <w:tcW w:w="0" w:type="auto"/>
            <w:tcBorders>
              <w:top w:val="single" w:sz="6" w:space="0" w:color="DDDDDD"/>
            </w:tcBorders>
            <w:vAlign w:val="center"/>
            <w:hideMark/>
          </w:tcPr>
          <w:p w14:paraId="77DC847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27.5</w:t>
            </w:r>
          </w:p>
        </w:tc>
        <w:tc>
          <w:tcPr>
            <w:tcW w:w="0" w:type="auto"/>
            <w:tcBorders>
              <w:top w:val="single" w:sz="6" w:space="0" w:color="DDDDDD"/>
            </w:tcBorders>
            <w:vAlign w:val="center"/>
            <w:hideMark/>
          </w:tcPr>
          <w:p w14:paraId="61D3F4D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vAlign w:val="center"/>
            <w:hideMark/>
          </w:tcPr>
          <w:p w14:paraId="1B64F44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.261</w:t>
            </w:r>
            <w:hyperlink r:id="rId190" w:anchor="table-fn4-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vAlign w:val="center"/>
            <w:hideMark/>
          </w:tcPr>
          <w:p w14:paraId="0AFC6AF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.091</w:t>
            </w:r>
          </w:p>
        </w:tc>
        <w:tc>
          <w:tcPr>
            <w:tcW w:w="0" w:type="auto"/>
            <w:tcBorders>
              <w:top w:val="single" w:sz="6" w:space="0" w:color="DDDDDD"/>
            </w:tcBorders>
            <w:vAlign w:val="center"/>
            <w:hideMark/>
          </w:tcPr>
          <w:p w14:paraId="10A136E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.258</w:t>
            </w:r>
            <w:hyperlink r:id="rId191" w:anchor="table-fn4-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vAlign w:val="center"/>
            <w:hideMark/>
          </w:tcPr>
          <w:p w14:paraId="13C4820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−.254</w:t>
            </w:r>
            <w:hyperlink r:id="rId192" w:anchor="table-fn4-0093854820913585" w:history="1">
              <w:r w:rsidRPr="00106B83">
                <w:rPr>
                  <w:rFonts w:ascii="Times New Roman" w:hAnsi="Times New Roman"/>
                  <w:color w:val="046FF8"/>
                  <w:kern w:val="0"/>
                  <w:sz w:val="24"/>
                  <w:u w:val="single"/>
                  <w14:ligatures w14:val="none"/>
                </w:rPr>
                <w:t>*</w:t>
              </w:r>
            </w:hyperlink>
          </w:p>
        </w:tc>
      </w:tr>
      <w:tr w:rsidR="00106B83" w:rsidRPr="00106B83" w14:paraId="1270CFAF" w14:textId="77777777" w:rsidTr="00106B83">
        <w:trPr>
          <w:tblCellSpacing w:w="15" w:type="dxa"/>
        </w:trPr>
        <w:tc>
          <w:tcPr>
            <w:tcW w:w="0" w:type="auto"/>
            <w:tcBorders>
              <w:top w:val="single" w:sz="6" w:space="0" w:color="DDDDDD"/>
            </w:tcBorders>
            <w:shd w:val="clear" w:color="auto" w:fill="F7F7F7"/>
            <w:vAlign w:val="center"/>
            <w:hideMark/>
          </w:tcPr>
          <w:p w14:paraId="180B9035"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Married (%)</w:t>
            </w:r>
          </w:p>
        </w:tc>
        <w:tc>
          <w:tcPr>
            <w:tcW w:w="0" w:type="auto"/>
            <w:tcBorders>
              <w:top w:val="single" w:sz="6" w:space="0" w:color="DDDDDD"/>
            </w:tcBorders>
            <w:shd w:val="clear" w:color="auto" w:fill="F7F7F7"/>
            <w:vAlign w:val="center"/>
            <w:hideMark/>
          </w:tcPr>
          <w:p w14:paraId="0EA7ED8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45.5</w:t>
            </w:r>
          </w:p>
        </w:tc>
        <w:tc>
          <w:tcPr>
            <w:tcW w:w="0" w:type="auto"/>
            <w:tcBorders>
              <w:top w:val="single" w:sz="6" w:space="0" w:color="DDDDDD"/>
            </w:tcBorders>
            <w:shd w:val="clear" w:color="auto" w:fill="F7F7F7"/>
            <w:vAlign w:val="center"/>
            <w:hideMark/>
          </w:tcPr>
          <w:p w14:paraId="5B50880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shd w:val="clear" w:color="auto" w:fill="F7F7F7"/>
            <w:vAlign w:val="center"/>
            <w:hideMark/>
          </w:tcPr>
          <w:p w14:paraId="3B7F0D3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.039</w:t>
            </w:r>
          </w:p>
        </w:tc>
        <w:tc>
          <w:tcPr>
            <w:tcW w:w="0" w:type="auto"/>
            <w:tcBorders>
              <w:top w:val="single" w:sz="6" w:space="0" w:color="DDDDDD"/>
            </w:tcBorders>
            <w:shd w:val="clear" w:color="auto" w:fill="F7F7F7"/>
            <w:vAlign w:val="center"/>
            <w:hideMark/>
          </w:tcPr>
          <w:p w14:paraId="142A07C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.066</w:t>
            </w:r>
          </w:p>
        </w:tc>
        <w:tc>
          <w:tcPr>
            <w:tcW w:w="0" w:type="auto"/>
            <w:tcBorders>
              <w:top w:val="single" w:sz="6" w:space="0" w:color="DDDDDD"/>
            </w:tcBorders>
            <w:shd w:val="clear" w:color="auto" w:fill="F7F7F7"/>
            <w:vAlign w:val="center"/>
            <w:hideMark/>
          </w:tcPr>
          <w:p w14:paraId="2B7994F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.014</w:t>
            </w:r>
          </w:p>
        </w:tc>
        <w:tc>
          <w:tcPr>
            <w:tcW w:w="0" w:type="auto"/>
            <w:tcBorders>
              <w:top w:val="single" w:sz="6" w:space="0" w:color="DDDDDD"/>
            </w:tcBorders>
            <w:shd w:val="clear" w:color="auto" w:fill="F7F7F7"/>
            <w:vAlign w:val="center"/>
            <w:hideMark/>
          </w:tcPr>
          <w:p w14:paraId="7253C31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−.066</w:t>
            </w:r>
          </w:p>
        </w:tc>
      </w:tr>
      <w:tr w:rsidR="00106B83" w:rsidRPr="00106B83" w14:paraId="53B2DDA2" w14:textId="77777777" w:rsidTr="00106B83">
        <w:trPr>
          <w:tblCellSpacing w:w="15" w:type="dxa"/>
        </w:trPr>
        <w:tc>
          <w:tcPr>
            <w:tcW w:w="0" w:type="auto"/>
            <w:tcBorders>
              <w:top w:val="single" w:sz="6" w:space="0" w:color="DDDDDD"/>
            </w:tcBorders>
            <w:vAlign w:val="center"/>
            <w:hideMark/>
          </w:tcPr>
          <w:p w14:paraId="0CDC1D35"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Education</w:t>
            </w:r>
          </w:p>
        </w:tc>
        <w:tc>
          <w:tcPr>
            <w:tcW w:w="0" w:type="auto"/>
            <w:tcBorders>
              <w:top w:val="single" w:sz="6" w:space="0" w:color="DDDDDD"/>
            </w:tcBorders>
            <w:vAlign w:val="center"/>
            <w:hideMark/>
          </w:tcPr>
          <w:p w14:paraId="7359294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4.26</w:t>
            </w:r>
          </w:p>
        </w:tc>
        <w:tc>
          <w:tcPr>
            <w:tcW w:w="0" w:type="auto"/>
            <w:tcBorders>
              <w:top w:val="single" w:sz="6" w:space="0" w:color="DDDDDD"/>
            </w:tcBorders>
            <w:vAlign w:val="center"/>
            <w:hideMark/>
          </w:tcPr>
          <w:p w14:paraId="3E92983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1.3</w:t>
            </w:r>
          </w:p>
        </w:tc>
        <w:tc>
          <w:tcPr>
            <w:tcW w:w="0" w:type="auto"/>
            <w:tcBorders>
              <w:top w:val="single" w:sz="6" w:space="0" w:color="DDDDDD"/>
            </w:tcBorders>
            <w:vAlign w:val="center"/>
            <w:hideMark/>
          </w:tcPr>
          <w:p w14:paraId="18E71C3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−.079</w:t>
            </w:r>
          </w:p>
        </w:tc>
        <w:tc>
          <w:tcPr>
            <w:tcW w:w="0" w:type="auto"/>
            <w:tcBorders>
              <w:top w:val="single" w:sz="6" w:space="0" w:color="DDDDDD"/>
            </w:tcBorders>
            <w:vAlign w:val="center"/>
            <w:hideMark/>
          </w:tcPr>
          <w:p w14:paraId="75329C2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−.065</w:t>
            </w:r>
          </w:p>
        </w:tc>
        <w:tc>
          <w:tcPr>
            <w:tcW w:w="0" w:type="auto"/>
            <w:tcBorders>
              <w:top w:val="single" w:sz="6" w:space="0" w:color="DDDDDD"/>
            </w:tcBorders>
            <w:vAlign w:val="center"/>
            <w:hideMark/>
          </w:tcPr>
          <w:p w14:paraId="319DA87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.007</w:t>
            </w:r>
          </w:p>
        </w:tc>
        <w:tc>
          <w:tcPr>
            <w:tcW w:w="0" w:type="auto"/>
            <w:tcBorders>
              <w:top w:val="single" w:sz="6" w:space="0" w:color="DDDDDD"/>
            </w:tcBorders>
            <w:vAlign w:val="center"/>
            <w:hideMark/>
          </w:tcPr>
          <w:p w14:paraId="085583E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−.130</w:t>
            </w:r>
          </w:p>
        </w:tc>
      </w:tr>
      <w:tr w:rsidR="00106B83" w:rsidRPr="00106B83" w14:paraId="1D1C8E21" w14:textId="77777777" w:rsidTr="00106B83">
        <w:trPr>
          <w:tblCellSpacing w:w="15" w:type="dxa"/>
        </w:trPr>
        <w:tc>
          <w:tcPr>
            <w:tcW w:w="0" w:type="auto"/>
            <w:tcBorders>
              <w:top w:val="single" w:sz="6" w:space="0" w:color="DDDDDD"/>
            </w:tcBorders>
            <w:shd w:val="clear" w:color="auto" w:fill="F7F7F7"/>
            <w:vAlign w:val="center"/>
            <w:hideMark/>
          </w:tcPr>
          <w:p w14:paraId="0FED7515"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Full-time employment (%)</w:t>
            </w:r>
          </w:p>
        </w:tc>
        <w:tc>
          <w:tcPr>
            <w:tcW w:w="0" w:type="auto"/>
            <w:tcBorders>
              <w:top w:val="single" w:sz="6" w:space="0" w:color="DDDDDD"/>
            </w:tcBorders>
            <w:shd w:val="clear" w:color="auto" w:fill="F7F7F7"/>
            <w:vAlign w:val="center"/>
            <w:hideMark/>
          </w:tcPr>
          <w:p w14:paraId="23B1695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71.2</w:t>
            </w:r>
          </w:p>
        </w:tc>
        <w:tc>
          <w:tcPr>
            <w:tcW w:w="0" w:type="auto"/>
            <w:tcBorders>
              <w:top w:val="single" w:sz="6" w:space="0" w:color="DDDDDD"/>
            </w:tcBorders>
            <w:shd w:val="clear" w:color="auto" w:fill="F7F7F7"/>
            <w:vAlign w:val="center"/>
            <w:hideMark/>
          </w:tcPr>
          <w:p w14:paraId="6822153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 </w:t>
            </w:r>
          </w:p>
        </w:tc>
        <w:tc>
          <w:tcPr>
            <w:tcW w:w="0" w:type="auto"/>
            <w:tcBorders>
              <w:top w:val="single" w:sz="6" w:space="0" w:color="DDDDDD"/>
            </w:tcBorders>
            <w:shd w:val="clear" w:color="auto" w:fill="F7F7F7"/>
            <w:vAlign w:val="center"/>
            <w:hideMark/>
          </w:tcPr>
          <w:p w14:paraId="7E9532E0"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.049</w:t>
            </w:r>
          </w:p>
        </w:tc>
        <w:tc>
          <w:tcPr>
            <w:tcW w:w="0" w:type="auto"/>
            <w:tcBorders>
              <w:top w:val="single" w:sz="6" w:space="0" w:color="DDDDDD"/>
            </w:tcBorders>
            <w:shd w:val="clear" w:color="auto" w:fill="F7F7F7"/>
            <w:vAlign w:val="center"/>
            <w:hideMark/>
          </w:tcPr>
          <w:p w14:paraId="3CCDAF4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.061</w:t>
            </w:r>
          </w:p>
        </w:tc>
        <w:tc>
          <w:tcPr>
            <w:tcW w:w="0" w:type="auto"/>
            <w:tcBorders>
              <w:top w:val="single" w:sz="6" w:space="0" w:color="DDDDDD"/>
            </w:tcBorders>
            <w:shd w:val="clear" w:color="auto" w:fill="F7F7F7"/>
            <w:vAlign w:val="center"/>
            <w:hideMark/>
          </w:tcPr>
          <w:p w14:paraId="39CA83B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.109</w:t>
            </w:r>
          </w:p>
        </w:tc>
        <w:tc>
          <w:tcPr>
            <w:tcW w:w="0" w:type="auto"/>
            <w:tcBorders>
              <w:top w:val="single" w:sz="6" w:space="0" w:color="DDDDDD"/>
            </w:tcBorders>
            <w:shd w:val="clear" w:color="auto" w:fill="F7F7F7"/>
            <w:vAlign w:val="center"/>
            <w:hideMark/>
          </w:tcPr>
          <w:p w14:paraId="292C21E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−.202</w:t>
            </w:r>
            <w:hyperlink r:id="rId193" w:anchor="table-fn4-0093854820913585" w:history="1">
              <w:r w:rsidRPr="00106B83">
                <w:rPr>
                  <w:rFonts w:ascii="Times New Roman" w:hAnsi="Times New Roman"/>
                  <w:color w:val="046FF8"/>
                  <w:kern w:val="0"/>
                  <w:sz w:val="24"/>
                  <w:u w:val="single"/>
                  <w14:ligatures w14:val="none"/>
                </w:rPr>
                <w:t>*</w:t>
              </w:r>
            </w:hyperlink>
          </w:p>
        </w:tc>
      </w:tr>
      <w:tr w:rsidR="00106B83" w:rsidRPr="00106B83" w14:paraId="0F9B1DFF" w14:textId="77777777" w:rsidTr="00106B83">
        <w:trPr>
          <w:tblCellSpacing w:w="15" w:type="dxa"/>
        </w:trPr>
        <w:tc>
          <w:tcPr>
            <w:tcW w:w="0" w:type="auto"/>
            <w:tcBorders>
              <w:top w:val="single" w:sz="6" w:space="0" w:color="DDDDDD"/>
            </w:tcBorders>
            <w:vAlign w:val="center"/>
            <w:hideMark/>
          </w:tcPr>
          <w:p w14:paraId="6B855636"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Income</w:t>
            </w:r>
          </w:p>
        </w:tc>
        <w:tc>
          <w:tcPr>
            <w:tcW w:w="0" w:type="auto"/>
            <w:tcBorders>
              <w:top w:val="single" w:sz="6" w:space="0" w:color="DDDDDD"/>
            </w:tcBorders>
            <w:vAlign w:val="center"/>
            <w:hideMark/>
          </w:tcPr>
          <w:p w14:paraId="754947B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4.2</w:t>
            </w:r>
          </w:p>
        </w:tc>
        <w:tc>
          <w:tcPr>
            <w:tcW w:w="0" w:type="auto"/>
            <w:tcBorders>
              <w:top w:val="single" w:sz="6" w:space="0" w:color="DDDDDD"/>
            </w:tcBorders>
            <w:vAlign w:val="center"/>
            <w:hideMark/>
          </w:tcPr>
          <w:p w14:paraId="1751C35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1.5</w:t>
            </w:r>
          </w:p>
        </w:tc>
        <w:tc>
          <w:tcPr>
            <w:tcW w:w="0" w:type="auto"/>
            <w:tcBorders>
              <w:top w:val="single" w:sz="6" w:space="0" w:color="DDDDDD"/>
            </w:tcBorders>
            <w:vAlign w:val="center"/>
            <w:hideMark/>
          </w:tcPr>
          <w:p w14:paraId="36C0154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.043</w:t>
            </w:r>
          </w:p>
        </w:tc>
        <w:tc>
          <w:tcPr>
            <w:tcW w:w="0" w:type="auto"/>
            <w:tcBorders>
              <w:top w:val="single" w:sz="6" w:space="0" w:color="DDDDDD"/>
            </w:tcBorders>
            <w:vAlign w:val="center"/>
            <w:hideMark/>
          </w:tcPr>
          <w:p w14:paraId="01FC5C5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.005</w:t>
            </w:r>
          </w:p>
        </w:tc>
        <w:tc>
          <w:tcPr>
            <w:tcW w:w="0" w:type="auto"/>
            <w:tcBorders>
              <w:top w:val="single" w:sz="6" w:space="0" w:color="DDDDDD"/>
            </w:tcBorders>
            <w:vAlign w:val="center"/>
            <w:hideMark/>
          </w:tcPr>
          <w:p w14:paraId="496F6DD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.053</w:t>
            </w:r>
          </w:p>
        </w:tc>
        <w:tc>
          <w:tcPr>
            <w:tcW w:w="0" w:type="auto"/>
            <w:tcBorders>
              <w:top w:val="single" w:sz="6" w:space="0" w:color="DDDDDD"/>
            </w:tcBorders>
            <w:vAlign w:val="center"/>
            <w:hideMark/>
          </w:tcPr>
          <w:p w14:paraId="52D6A59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−.058</w:t>
            </w:r>
          </w:p>
        </w:tc>
      </w:tr>
      <w:tr w:rsidR="00106B83" w:rsidRPr="00106B83" w14:paraId="36DBAA64" w14:textId="77777777" w:rsidTr="00106B83">
        <w:trPr>
          <w:tblCellSpacing w:w="15" w:type="dxa"/>
        </w:trPr>
        <w:tc>
          <w:tcPr>
            <w:tcW w:w="0" w:type="auto"/>
            <w:tcBorders>
              <w:top w:val="single" w:sz="6" w:space="0" w:color="DDDDDD"/>
            </w:tcBorders>
            <w:shd w:val="clear" w:color="auto" w:fill="F7F7F7"/>
            <w:vAlign w:val="center"/>
            <w:hideMark/>
          </w:tcPr>
          <w:p w14:paraId="4CDA8372"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Age</w:t>
            </w:r>
          </w:p>
        </w:tc>
        <w:tc>
          <w:tcPr>
            <w:tcW w:w="0" w:type="auto"/>
            <w:tcBorders>
              <w:top w:val="single" w:sz="6" w:space="0" w:color="DDDDDD"/>
            </w:tcBorders>
            <w:shd w:val="clear" w:color="auto" w:fill="F7F7F7"/>
            <w:vAlign w:val="center"/>
            <w:hideMark/>
          </w:tcPr>
          <w:p w14:paraId="75F19503"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39.5</w:t>
            </w:r>
          </w:p>
        </w:tc>
        <w:tc>
          <w:tcPr>
            <w:tcW w:w="0" w:type="auto"/>
            <w:tcBorders>
              <w:top w:val="single" w:sz="6" w:space="0" w:color="DDDDDD"/>
            </w:tcBorders>
            <w:shd w:val="clear" w:color="auto" w:fill="F7F7F7"/>
            <w:vAlign w:val="center"/>
            <w:hideMark/>
          </w:tcPr>
          <w:p w14:paraId="4FEE83C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11.6</w:t>
            </w:r>
          </w:p>
        </w:tc>
        <w:tc>
          <w:tcPr>
            <w:tcW w:w="0" w:type="auto"/>
            <w:tcBorders>
              <w:top w:val="single" w:sz="6" w:space="0" w:color="DDDDDD"/>
            </w:tcBorders>
            <w:shd w:val="clear" w:color="auto" w:fill="F7F7F7"/>
            <w:vAlign w:val="center"/>
            <w:hideMark/>
          </w:tcPr>
          <w:p w14:paraId="0C436F73"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.017</w:t>
            </w:r>
          </w:p>
        </w:tc>
        <w:tc>
          <w:tcPr>
            <w:tcW w:w="0" w:type="auto"/>
            <w:tcBorders>
              <w:top w:val="single" w:sz="6" w:space="0" w:color="DDDDDD"/>
            </w:tcBorders>
            <w:shd w:val="clear" w:color="auto" w:fill="F7F7F7"/>
            <w:vAlign w:val="center"/>
            <w:hideMark/>
          </w:tcPr>
          <w:p w14:paraId="12173AB0"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.055</w:t>
            </w:r>
          </w:p>
        </w:tc>
        <w:tc>
          <w:tcPr>
            <w:tcW w:w="0" w:type="auto"/>
            <w:tcBorders>
              <w:top w:val="single" w:sz="6" w:space="0" w:color="DDDDDD"/>
            </w:tcBorders>
            <w:shd w:val="clear" w:color="auto" w:fill="F7F7F7"/>
            <w:vAlign w:val="center"/>
            <w:hideMark/>
          </w:tcPr>
          <w:p w14:paraId="2033365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.013</w:t>
            </w:r>
          </w:p>
        </w:tc>
        <w:tc>
          <w:tcPr>
            <w:tcW w:w="0" w:type="auto"/>
            <w:tcBorders>
              <w:top w:val="single" w:sz="6" w:space="0" w:color="DDDDDD"/>
            </w:tcBorders>
            <w:shd w:val="clear" w:color="auto" w:fill="F7F7F7"/>
            <w:vAlign w:val="center"/>
            <w:hideMark/>
          </w:tcPr>
          <w:p w14:paraId="67B8C7F3"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.138</w:t>
            </w:r>
            <w:hyperlink r:id="rId194" w:anchor="table-fn4-0093854820913585" w:history="1">
              <w:r w:rsidRPr="00106B83">
                <w:rPr>
                  <w:rFonts w:ascii="Times New Roman" w:hAnsi="Times New Roman"/>
                  <w:color w:val="046FF8"/>
                  <w:kern w:val="0"/>
                  <w:sz w:val="24"/>
                  <w:u w:val="single"/>
                  <w14:ligatures w14:val="none"/>
                </w:rPr>
                <w:t>*</w:t>
              </w:r>
            </w:hyperlink>
          </w:p>
        </w:tc>
      </w:tr>
      <w:tr w:rsidR="00106B83" w:rsidRPr="00106B83" w14:paraId="27F88ECC" w14:textId="77777777" w:rsidTr="00106B83">
        <w:trPr>
          <w:tblCellSpacing w:w="15" w:type="dxa"/>
        </w:trPr>
        <w:tc>
          <w:tcPr>
            <w:tcW w:w="0" w:type="auto"/>
            <w:tcBorders>
              <w:top w:val="single" w:sz="6" w:space="0" w:color="DDDDDD"/>
            </w:tcBorders>
            <w:vAlign w:val="center"/>
            <w:hideMark/>
          </w:tcPr>
          <w:p w14:paraId="2424947F"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 </w:t>
            </w:r>
            <w:r w:rsidRPr="00106B83">
              <w:rPr>
                <w:rFonts w:ascii="Times New Roman" w:hAnsi="Times New Roman"/>
                <w:kern w:val="0"/>
                <w:sz w:val="24"/>
                <w14:ligatures w14:val="none"/>
              </w:rPr>
              <w:t>Male (%)</w:t>
            </w:r>
          </w:p>
        </w:tc>
        <w:tc>
          <w:tcPr>
            <w:tcW w:w="0" w:type="auto"/>
            <w:tcBorders>
              <w:top w:val="single" w:sz="6" w:space="0" w:color="DDDDDD"/>
            </w:tcBorders>
            <w:vAlign w:val="center"/>
            <w:hideMark/>
          </w:tcPr>
          <w:p w14:paraId="2A61A1A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58.3</w:t>
            </w:r>
          </w:p>
        </w:tc>
        <w:tc>
          <w:tcPr>
            <w:tcW w:w="0" w:type="auto"/>
            <w:tcBorders>
              <w:top w:val="single" w:sz="6" w:space="0" w:color="DDDDDD"/>
            </w:tcBorders>
            <w:vAlign w:val="center"/>
            <w:hideMark/>
          </w:tcPr>
          <w:p w14:paraId="7E8280F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w:t>
            </w:r>
          </w:p>
        </w:tc>
        <w:tc>
          <w:tcPr>
            <w:tcW w:w="0" w:type="auto"/>
            <w:tcBorders>
              <w:top w:val="single" w:sz="6" w:space="0" w:color="DDDDDD"/>
            </w:tcBorders>
            <w:vAlign w:val="center"/>
            <w:hideMark/>
          </w:tcPr>
          <w:p w14:paraId="6F9B7280"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.011</w:t>
            </w:r>
          </w:p>
        </w:tc>
        <w:tc>
          <w:tcPr>
            <w:tcW w:w="0" w:type="auto"/>
            <w:tcBorders>
              <w:top w:val="single" w:sz="6" w:space="0" w:color="DDDDDD"/>
            </w:tcBorders>
            <w:vAlign w:val="center"/>
            <w:hideMark/>
          </w:tcPr>
          <w:p w14:paraId="39849DC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−.132</w:t>
            </w:r>
            <w:hyperlink r:id="rId195" w:anchor="table-fn4-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vAlign w:val="center"/>
            <w:hideMark/>
          </w:tcPr>
          <w:p w14:paraId="2FA67A5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−.026</w:t>
            </w:r>
          </w:p>
        </w:tc>
        <w:tc>
          <w:tcPr>
            <w:tcW w:w="0" w:type="auto"/>
            <w:tcBorders>
              <w:top w:val="single" w:sz="6" w:space="0" w:color="DDDDDD"/>
            </w:tcBorders>
            <w:vAlign w:val="center"/>
            <w:hideMark/>
          </w:tcPr>
          <w:p w14:paraId="20B056A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−.055</w:t>
            </w:r>
          </w:p>
        </w:tc>
      </w:tr>
    </w:tbl>
    <w:p w14:paraId="058AEAF3" w14:textId="77777777" w:rsidR="00106B83" w:rsidRPr="00106B83" w:rsidRDefault="00106B83" w:rsidP="00106B83">
      <w:pPr>
        <w:shd w:val="clear" w:color="auto" w:fill="FFFFFF"/>
        <w:rPr>
          <w:rFonts w:cs="Open Sans"/>
          <w:color w:val="888888"/>
          <w:kern w:val="0"/>
          <w:sz w:val="24"/>
          <w14:ligatures w14:val="none"/>
        </w:rPr>
      </w:pPr>
      <w:r w:rsidRPr="00106B83">
        <w:rPr>
          <w:rFonts w:cs="Open Sans"/>
          <w:i/>
          <w:iCs/>
          <w:color w:val="888888"/>
          <w:kern w:val="0"/>
          <w:sz w:val="24"/>
          <w14:ligatures w14:val="none"/>
        </w:rPr>
        <w:t>Note</w:t>
      </w:r>
      <w:r w:rsidRPr="00106B83">
        <w:rPr>
          <w:rFonts w:cs="Open Sans"/>
          <w:color w:val="888888"/>
          <w:kern w:val="0"/>
          <w:sz w:val="24"/>
          <w14:ligatures w14:val="none"/>
        </w:rPr>
        <w:t>. Bonferroni corrected </w:t>
      </w:r>
      <w:r w:rsidRPr="00106B83">
        <w:rPr>
          <w:rFonts w:cs="Open Sans"/>
          <w:i/>
          <w:iCs/>
          <w:color w:val="888888"/>
          <w:kern w:val="0"/>
          <w:sz w:val="24"/>
          <w14:ligatures w14:val="none"/>
        </w:rPr>
        <w:t>p</w:t>
      </w:r>
      <w:r w:rsidRPr="00106B83">
        <w:rPr>
          <w:rFonts w:cs="Open Sans"/>
          <w:color w:val="888888"/>
          <w:kern w:val="0"/>
          <w:sz w:val="24"/>
          <w14:ligatures w14:val="none"/>
        </w:rPr>
        <w:t> values reported. “*” denotes correlation is significant at </w:t>
      </w:r>
      <w:r w:rsidRPr="00106B83">
        <w:rPr>
          <w:rFonts w:cs="Open Sans"/>
          <w:i/>
          <w:iCs/>
          <w:color w:val="888888"/>
          <w:kern w:val="0"/>
          <w:sz w:val="24"/>
          <w14:ligatures w14:val="none"/>
        </w:rPr>
        <w:t>p</w:t>
      </w:r>
      <w:r w:rsidRPr="00106B83">
        <w:rPr>
          <w:rFonts w:cs="Open Sans"/>
          <w:color w:val="888888"/>
          <w:kern w:val="0"/>
          <w:sz w:val="24"/>
          <w14:ligatures w14:val="none"/>
        </w:rPr>
        <w:t> &lt; .001, which is the new adjusted α = .05 level. MTurk = Mechanical Turk.</w:t>
      </w:r>
    </w:p>
    <w:p w14:paraId="3D6420A7"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As seen in </w:t>
      </w:r>
      <w:hyperlink r:id="rId196" w:anchor="table4-0093854820913585" w:history="1">
        <w:r w:rsidRPr="00106B83">
          <w:rPr>
            <w:rFonts w:cs="Open Sans"/>
            <w:color w:val="046FF8"/>
            <w:kern w:val="0"/>
            <w:sz w:val="24"/>
            <w:u w:val="single"/>
            <w14:ligatures w14:val="none"/>
          </w:rPr>
          <w:t>Table 4</w:t>
        </w:r>
      </w:hyperlink>
      <w:r w:rsidRPr="00106B83">
        <w:rPr>
          <w:rFonts w:cs="Open Sans"/>
          <w:color w:val="333333"/>
          <w:kern w:val="0"/>
          <w:sz w:val="24"/>
          <w14:ligatures w14:val="none"/>
        </w:rPr>
        <w:t>, the zero-order bivariate correlations between redeemability and the four dependent variables were significant and in the expected direction. More instructive, </w:t>
      </w:r>
      <w:hyperlink r:id="rId197" w:anchor="table5-0093854820913585" w:history="1">
        <w:r w:rsidRPr="00106B83">
          <w:rPr>
            <w:rFonts w:cs="Open Sans"/>
            <w:color w:val="046FF8"/>
            <w:kern w:val="0"/>
            <w:sz w:val="24"/>
            <w:u w:val="single"/>
            <w14:ligatures w14:val="none"/>
          </w:rPr>
          <w:t>Table 5</w:t>
        </w:r>
      </w:hyperlink>
      <w:r w:rsidRPr="00106B83">
        <w:rPr>
          <w:rFonts w:cs="Open Sans"/>
          <w:color w:val="333333"/>
          <w:kern w:val="0"/>
          <w:sz w:val="24"/>
          <w14:ligatures w14:val="none"/>
        </w:rPr>
        <w:t> reveals that redeemability remains significant in the multivariate models, even with a range of control variables in the analysis. Consistent with previous research, racial resentment was also significant across all models, associated with increases in punitive sentiments and decreases in support for rehabilitation. The </w:t>
      </w:r>
      <w:r w:rsidRPr="00106B83">
        <w:rPr>
          <w:rFonts w:cs="Open Sans"/>
          <w:i/>
          <w:iCs/>
          <w:color w:val="333333"/>
          <w:kern w:val="0"/>
          <w:sz w:val="24"/>
          <w14:ligatures w14:val="none"/>
        </w:rPr>
        <w:t>R</w:t>
      </w:r>
      <w:r w:rsidRPr="00106B83">
        <w:rPr>
          <w:rFonts w:cs="Open Sans"/>
          <w:color w:val="333333"/>
          <w:kern w:val="0"/>
          <w:sz w:val="18"/>
          <w:szCs w:val="18"/>
          <w:vertAlign w:val="superscript"/>
          <w14:ligatures w14:val="none"/>
        </w:rPr>
        <w:t>2</w:t>
      </w:r>
      <w:r w:rsidRPr="00106B83">
        <w:rPr>
          <w:rFonts w:cs="Open Sans"/>
          <w:color w:val="333333"/>
          <w:kern w:val="0"/>
          <w:sz w:val="24"/>
          <w14:ligatures w14:val="none"/>
        </w:rPr>
        <w:t> for the four models was similar to the results in the YouGov survey (see </w:t>
      </w:r>
      <w:hyperlink r:id="rId198" w:anchor="table3-0093854820913585" w:history="1">
        <w:r w:rsidRPr="00106B83">
          <w:rPr>
            <w:rFonts w:cs="Open Sans"/>
            <w:color w:val="046FF8"/>
            <w:kern w:val="0"/>
            <w:sz w:val="24"/>
            <w:u w:val="single"/>
            <w14:ligatures w14:val="none"/>
          </w:rPr>
          <w:t>Tables 3</w:t>
        </w:r>
      </w:hyperlink>
      <w:r w:rsidRPr="00106B83">
        <w:rPr>
          <w:rFonts w:cs="Open Sans"/>
          <w:color w:val="333333"/>
          <w:kern w:val="0"/>
          <w:sz w:val="24"/>
          <w14:ligatures w14:val="none"/>
        </w:rPr>
        <w:t> and </w:t>
      </w:r>
      <w:hyperlink r:id="rId199" w:anchor="table5-0093854820913585" w:history="1">
        <w:r w:rsidRPr="00106B83">
          <w:rPr>
            <w:rFonts w:cs="Open Sans"/>
            <w:color w:val="046FF8"/>
            <w:kern w:val="0"/>
            <w:sz w:val="24"/>
            <w:u w:val="single"/>
            <w14:ligatures w14:val="none"/>
          </w:rPr>
          <w:t>5</w:t>
        </w:r>
      </w:hyperlink>
      <w:r w:rsidRPr="00106B83">
        <w:rPr>
          <w:rFonts w:cs="Open Sans"/>
          <w:color w:val="333333"/>
          <w:kern w:val="0"/>
          <w:sz w:val="24"/>
          <w14:ligatures w14:val="none"/>
        </w:rPr>
        <w:t>). These results lend credence to the conclusion that belief in redeemability is an important source of crime policy views.</w:t>
      </w:r>
    </w:p>
    <w:p w14:paraId="45457F3C" w14:textId="77777777" w:rsidR="00106B83" w:rsidRPr="00106B83" w:rsidRDefault="00106B83" w:rsidP="00106B83">
      <w:pPr>
        <w:shd w:val="clear" w:color="auto" w:fill="FFFFFF"/>
        <w:spacing w:line="480" w:lineRule="auto"/>
        <w:rPr>
          <w:rFonts w:cs="Open Sans"/>
          <w:color w:val="333333"/>
          <w:kern w:val="0"/>
          <w:sz w:val="24"/>
          <w14:ligatures w14:val="none"/>
        </w:rPr>
      </w:pPr>
      <w:r w:rsidRPr="00106B83">
        <w:rPr>
          <w:rFonts w:cs="Open Sans"/>
          <w:b/>
          <w:bCs/>
          <w:color w:val="333333"/>
          <w:kern w:val="0"/>
          <w:sz w:val="24"/>
          <w14:ligatures w14:val="none"/>
        </w:rPr>
        <w:t>Table 5</w:t>
      </w:r>
      <w:r w:rsidRPr="00106B83">
        <w:rPr>
          <w:rFonts w:cs="Open Sans"/>
          <w:color w:val="333333"/>
          <w:kern w:val="0"/>
          <w:sz w:val="24"/>
          <w14:ligatures w14:val="none"/>
        </w:rPr>
        <w:t>: Impact of Redeemability on Support for Correctional Policies, MTurk Study</w:t>
      </w:r>
    </w:p>
    <w:tbl>
      <w:tblPr>
        <w:tblW w:w="14415" w:type="dxa"/>
        <w:tblCellSpacing w:w="15" w:type="dxa"/>
        <w:tblCellMar>
          <w:top w:w="15" w:type="dxa"/>
          <w:left w:w="15" w:type="dxa"/>
          <w:bottom w:w="15" w:type="dxa"/>
          <w:right w:w="15" w:type="dxa"/>
        </w:tblCellMar>
        <w:tblLook w:val="04A0" w:firstRow="1" w:lastRow="0" w:firstColumn="1" w:lastColumn="0" w:noHBand="0" w:noVBand="1"/>
      </w:tblPr>
      <w:tblGrid>
        <w:gridCol w:w="3251"/>
        <w:gridCol w:w="1572"/>
        <w:gridCol w:w="926"/>
        <w:gridCol w:w="1407"/>
        <w:gridCol w:w="933"/>
        <w:gridCol w:w="1851"/>
        <w:gridCol w:w="1225"/>
        <w:gridCol w:w="1419"/>
        <w:gridCol w:w="926"/>
        <w:gridCol w:w="905"/>
      </w:tblGrid>
      <w:tr w:rsidR="00106B83" w:rsidRPr="00106B83" w14:paraId="172F7251" w14:textId="77777777" w:rsidTr="00106B83">
        <w:trPr>
          <w:tblHeader/>
          <w:tblCellSpacing w:w="15" w:type="dxa"/>
        </w:trPr>
        <w:tc>
          <w:tcPr>
            <w:tcW w:w="0" w:type="auto"/>
            <w:tcBorders>
              <w:top w:val="nil"/>
            </w:tcBorders>
            <w:shd w:val="clear" w:color="auto" w:fill="4E60AC"/>
            <w:vAlign w:val="center"/>
            <w:hideMark/>
          </w:tcPr>
          <w:p w14:paraId="162EEF1A" w14:textId="77777777" w:rsidR="00106B83" w:rsidRPr="00106B83" w:rsidRDefault="00106B83" w:rsidP="00106B83">
            <w:pPr>
              <w:jc w:val="center"/>
              <w:rPr>
                <w:rFonts w:ascii="Times New Roman" w:hAnsi="Times New Roman"/>
                <w:color w:val="FFFFFF"/>
                <w:kern w:val="0"/>
                <w:sz w:val="24"/>
                <w14:ligatures w14:val="none"/>
              </w:rPr>
            </w:pPr>
            <w:r w:rsidRPr="00106B83">
              <w:rPr>
                <w:rFonts w:ascii="Times New Roman" w:hAnsi="Times New Roman"/>
                <w:color w:val="FFFFFF"/>
                <w:kern w:val="0"/>
                <w:sz w:val="24"/>
                <w14:ligatures w14:val="none"/>
              </w:rPr>
              <w:t> </w:t>
            </w:r>
          </w:p>
        </w:tc>
        <w:tc>
          <w:tcPr>
            <w:tcW w:w="0" w:type="auto"/>
            <w:gridSpan w:val="2"/>
            <w:tcBorders>
              <w:top w:val="nil"/>
            </w:tcBorders>
            <w:shd w:val="clear" w:color="auto" w:fill="4E60AC"/>
            <w:vAlign w:val="center"/>
            <w:hideMark/>
          </w:tcPr>
          <w:p w14:paraId="219764CE"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Death penalty</w:t>
            </w:r>
          </w:p>
        </w:tc>
        <w:tc>
          <w:tcPr>
            <w:tcW w:w="0" w:type="auto"/>
            <w:gridSpan w:val="2"/>
            <w:tcBorders>
              <w:top w:val="nil"/>
            </w:tcBorders>
            <w:shd w:val="clear" w:color="auto" w:fill="4E60AC"/>
            <w:vAlign w:val="center"/>
            <w:hideMark/>
          </w:tcPr>
          <w:p w14:paraId="4802FAB1"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Harsher courts</w:t>
            </w:r>
          </w:p>
        </w:tc>
        <w:tc>
          <w:tcPr>
            <w:tcW w:w="0" w:type="auto"/>
            <w:gridSpan w:val="2"/>
            <w:tcBorders>
              <w:top w:val="nil"/>
            </w:tcBorders>
            <w:shd w:val="clear" w:color="auto" w:fill="4E60AC"/>
            <w:vAlign w:val="center"/>
            <w:hideMark/>
          </w:tcPr>
          <w:p w14:paraId="3558398F"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Punitive prison goal</w:t>
            </w:r>
          </w:p>
        </w:tc>
        <w:tc>
          <w:tcPr>
            <w:tcW w:w="0" w:type="auto"/>
            <w:gridSpan w:val="3"/>
            <w:tcBorders>
              <w:top w:val="nil"/>
            </w:tcBorders>
            <w:shd w:val="clear" w:color="auto" w:fill="4E60AC"/>
            <w:vAlign w:val="center"/>
            <w:hideMark/>
          </w:tcPr>
          <w:p w14:paraId="14A4F3F3"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Rehabilitation</w:t>
            </w:r>
          </w:p>
        </w:tc>
      </w:tr>
      <w:tr w:rsidR="00106B83" w:rsidRPr="00106B83" w14:paraId="4F6C1198" w14:textId="77777777" w:rsidTr="00106B83">
        <w:trPr>
          <w:tblHeader/>
          <w:tblCellSpacing w:w="15" w:type="dxa"/>
        </w:trPr>
        <w:tc>
          <w:tcPr>
            <w:tcW w:w="0" w:type="auto"/>
            <w:tcBorders>
              <w:top w:val="nil"/>
            </w:tcBorders>
            <w:shd w:val="clear" w:color="auto" w:fill="4E60AC"/>
            <w:vAlign w:val="center"/>
            <w:hideMark/>
          </w:tcPr>
          <w:p w14:paraId="12415A61"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Variables</w:t>
            </w:r>
          </w:p>
        </w:tc>
        <w:tc>
          <w:tcPr>
            <w:tcW w:w="0" w:type="auto"/>
            <w:tcBorders>
              <w:top w:val="nil"/>
            </w:tcBorders>
            <w:shd w:val="clear" w:color="auto" w:fill="4E60AC"/>
            <w:vAlign w:val="center"/>
            <w:hideMark/>
          </w:tcPr>
          <w:p w14:paraId="7035039E"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OR</w:t>
            </w:r>
          </w:p>
        </w:tc>
        <w:tc>
          <w:tcPr>
            <w:tcW w:w="0" w:type="auto"/>
            <w:tcBorders>
              <w:top w:val="nil"/>
            </w:tcBorders>
            <w:shd w:val="clear" w:color="auto" w:fill="4E60AC"/>
            <w:vAlign w:val="center"/>
            <w:hideMark/>
          </w:tcPr>
          <w:p w14:paraId="3CD8B012"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w:t>
            </w:r>
            <w:r w:rsidRPr="00106B83">
              <w:rPr>
                <w:rFonts w:ascii="Times New Roman" w:hAnsi="Times New Roman"/>
                <w:b/>
                <w:bCs/>
                <w:i/>
                <w:iCs/>
                <w:color w:val="FFFFFF"/>
                <w:kern w:val="0"/>
                <w:sz w:val="24"/>
                <w14:ligatures w14:val="none"/>
              </w:rPr>
              <w:t>SE</w:t>
            </w:r>
            <w:r w:rsidRPr="00106B83">
              <w:rPr>
                <w:rFonts w:ascii="Times New Roman" w:hAnsi="Times New Roman"/>
                <w:b/>
                <w:bCs/>
                <w:color w:val="FFFFFF"/>
                <w:kern w:val="0"/>
                <w:sz w:val="24"/>
                <w14:ligatures w14:val="none"/>
              </w:rPr>
              <w:t>)</w:t>
            </w:r>
          </w:p>
        </w:tc>
        <w:tc>
          <w:tcPr>
            <w:tcW w:w="0" w:type="auto"/>
            <w:tcBorders>
              <w:top w:val="nil"/>
            </w:tcBorders>
            <w:shd w:val="clear" w:color="auto" w:fill="4E60AC"/>
            <w:vAlign w:val="center"/>
            <w:hideMark/>
          </w:tcPr>
          <w:p w14:paraId="5FE77D20"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OR</w:t>
            </w:r>
          </w:p>
        </w:tc>
        <w:tc>
          <w:tcPr>
            <w:tcW w:w="0" w:type="auto"/>
            <w:tcBorders>
              <w:top w:val="nil"/>
            </w:tcBorders>
            <w:shd w:val="clear" w:color="auto" w:fill="4E60AC"/>
            <w:vAlign w:val="center"/>
            <w:hideMark/>
          </w:tcPr>
          <w:p w14:paraId="4EB8259E"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w:t>
            </w:r>
            <w:r w:rsidRPr="00106B83">
              <w:rPr>
                <w:rFonts w:ascii="Times New Roman" w:hAnsi="Times New Roman"/>
                <w:b/>
                <w:bCs/>
                <w:i/>
                <w:iCs/>
                <w:color w:val="FFFFFF"/>
                <w:kern w:val="0"/>
                <w:sz w:val="24"/>
                <w14:ligatures w14:val="none"/>
              </w:rPr>
              <w:t>SE</w:t>
            </w:r>
            <w:r w:rsidRPr="00106B83">
              <w:rPr>
                <w:rFonts w:ascii="Times New Roman" w:hAnsi="Times New Roman"/>
                <w:b/>
                <w:bCs/>
                <w:color w:val="FFFFFF"/>
                <w:kern w:val="0"/>
                <w:sz w:val="24"/>
                <w14:ligatures w14:val="none"/>
              </w:rPr>
              <w:t>)</w:t>
            </w:r>
          </w:p>
        </w:tc>
        <w:tc>
          <w:tcPr>
            <w:tcW w:w="0" w:type="auto"/>
            <w:tcBorders>
              <w:top w:val="nil"/>
            </w:tcBorders>
            <w:shd w:val="clear" w:color="auto" w:fill="4E60AC"/>
            <w:vAlign w:val="center"/>
            <w:hideMark/>
          </w:tcPr>
          <w:p w14:paraId="0987F4F2"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OR</w:t>
            </w:r>
          </w:p>
        </w:tc>
        <w:tc>
          <w:tcPr>
            <w:tcW w:w="0" w:type="auto"/>
            <w:tcBorders>
              <w:top w:val="nil"/>
            </w:tcBorders>
            <w:shd w:val="clear" w:color="auto" w:fill="4E60AC"/>
            <w:vAlign w:val="center"/>
            <w:hideMark/>
          </w:tcPr>
          <w:p w14:paraId="3FCC9386"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w:t>
            </w:r>
            <w:r w:rsidRPr="00106B83">
              <w:rPr>
                <w:rFonts w:ascii="Times New Roman" w:hAnsi="Times New Roman"/>
                <w:b/>
                <w:bCs/>
                <w:i/>
                <w:iCs/>
                <w:color w:val="FFFFFF"/>
                <w:kern w:val="0"/>
                <w:sz w:val="24"/>
                <w14:ligatures w14:val="none"/>
              </w:rPr>
              <w:t>SE</w:t>
            </w:r>
            <w:r w:rsidRPr="00106B83">
              <w:rPr>
                <w:rFonts w:ascii="Times New Roman" w:hAnsi="Times New Roman"/>
                <w:b/>
                <w:bCs/>
                <w:color w:val="FFFFFF"/>
                <w:kern w:val="0"/>
                <w:sz w:val="24"/>
                <w14:ligatures w14:val="none"/>
              </w:rPr>
              <w:t>)</w:t>
            </w:r>
          </w:p>
        </w:tc>
        <w:tc>
          <w:tcPr>
            <w:tcW w:w="0" w:type="auto"/>
            <w:tcBorders>
              <w:top w:val="nil"/>
            </w:tcBorders>
            <w:shd w:val="clear" w:color="auto" w:fill="4E60AC"/>
            <w:vAlign w:val="center"/>
            <w:hideMark/>
          </w:tcPr>
          <w:p w14:paraId="26444A95"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i/>
                <w:iCs/>
                <w:color w:val="FFFFFF"/>
                <w:kern w:val="0"/>
                <w:sz w:val="24"/>
                <w14:ligatures w14:val="none"/>
              </w:rPr>
              <w:t>b</w:t>
            </w:r>
          </w:p>
        </w:tc>
        <w:tc>
          <w:tcPr>
            <w:tcW w:w="0" w:type="auto"/>
            <w:tcBorders>
              <w:top w:val="nil"/>
            </w:tcBorders>
            <w:shd w:val="clear" w:color="auto" w:fill="4E60AC"/>
            <w:vAlign w:val="center"/>
            <w:hideMark/>
          </w:tcPr>
          <w:p w14:paraId="24EDF3DF"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w:t>
            </w:r>
            <w:r w:rsidRPr="00106B83">
              <w:rPr>
                <w:rFonts w:ascii="Times New Roman" w:hAnsi="Times New Roman"/>
                <w:b/>
                <w:bCs/>
                <w:i/>
                <w:iCs/>
                <w:color w:val="FFFFFF"/>
                <w:kern w:val="0"/>
                <w:sz w:val="24"/>
                <w14:ligatures w14:val="none"/>
              </w:rPr>
              <w:t>SE</w:t>
            </w:r>
            <w:r w:rsidRPr="00106B83">
              <w:rPr>
                <w:rFonts w:ascii="Times New Roman" w:hAnsi="Times New Roman"/>
                <w:b/>
                <w:bCs/>
                <w:color w:val="FFFFFF"/>
                <w:kern w:val="0"/>
                <w:sz w:val="24"/>
                <w14:ligatures w14:val="none"/>
              </w:rPr>
              <w:t>)</w:t>
            </w:r>
          </w:p>
        </w:tc>
        <w:tc>
          <w:tcPr>
            <w:tcW w:w="0" w:type="auto"/>
            <w:tcBorders>
              <w:top w:val="nil"/>
            </w:tcBorders>
            <w:shd w:val="clear" w:color="auto" w:fill="4E60AC"/>
            <w:vAlign w:val="center"/>
            <w:hideMark/>
          </w:tcPr>
          <w:p w14:paraId="57B17F43" w14:textId="77777777" w:rsidR="00106B83" w:rsidRPr="00106B83" w:rsidRDefault="00106B83" w:rsidP="00106B83">
            <w:pPr>
              <w:jc w:val="center"/>
              <w:rPr>
                <w:rFonts w:ascii="Times New Roman" w:hAnsi="Times New Roman"/>
                <w:b/>
                <w:bCs/>
                <w:color w:val="FFFFFF"/>
                <w:kern w:val="0"/>
                <w:sz w:val="24"/>
                <w14:ligatures w14:val="none"/>
              </w:rPr>
            </w:pPr>
            <w:r w:rsidRPr="00106B83">
              <w:rPr>
                <w:rFonts w:ascii="Times New Roman" w:hAnsi="Times New Roman"/>
                <w:b/>
                <w:bCs/>
                <w:color w:val="FFFFFF"/>
                <w:kern w:val="0"/>
                <w:sz w:val="24"/>
                <w14:ligatures w14:val="none"/>
              </w:rPr>
              <w:t>β</w:t>
            </w:r>
          </w:p>
        </w:tc>
      </w:tr>
      <w:tr w:rsidR="00106B83" w:rsidRPr="00106B83" w14:paraId="7C774E19" w14:textId="77777777" w:rsidTr="00106B83">
        <w:trPr>
          <w:tblCellSpacing w:w="15" w:type="dxa"/>
        </w:trPr>
        <w:tc>
          <w:tcPr>
            <w:tcW w:w="0" w:type="auto"/>
            <w:tcBorders>
              <w:top w:val="nil"/>
            </w:tcBorders>
            <w:vAlign w:val="center"/>
            <w:hideMark/>
          </w:tcPr>
          <w:p w14:paraId="7FEBCF67"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Redeemability</w:t>
            </w:r>
          </w:p>
        </w:tc>
        <w:tc>
          <w:tcPr>
            <w:tcW w:w="0" w:type="auto"/>
            <w:tcBorders>
              <w:top w:val="nil"/>
            </w:tcBorders>
            <w:vAlign w:val="center"/>
            <w:hideMark/>
          </w:tcPr>
          <w:p w14:paraId="1480A4C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0.744</w:t>
            </w:r>
            <w:hyperlink r:id="rId200" w:anchor="table-fn6-0093854820913585" w:history="1">
              <w:r w:rsidRPr="00106B83">
                <w:rPr>
                  <w:rFonts w:ascii="Times New Roman" w:hAnsi="Times New Roman"/>
                  <w:color w:val="046FF8"/>
                  <w:kern w:val="0"/>
                  <w:sz w:val="24"/>
                  <w:u w:val="single"/>
                  <w14:ligatures w14:val="none"/>
                </w:rPr>
                <w:t>*</w:t>
              </w:r>
            </w:hyperlink>
          </w:p>
        </w:tc>
        <w:tc>
          <w:tcPr>
            <w:tcW w:w="0" w:type="auto"/>
            <w:tcBorders>
              <w:top w:val="nil"/>
            </w:tcBorders>
            <w:vAlign w:val="center"/>
            <w:hideMark/>
          </w:tcPr>
          <w:p w14:paraId="263EDBA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(.140)</w:t>
            </w:r>
          </w:p>
        </w:tc>
        <w:tc>
          <w:tcPr>
            <w:tcW w:w="0" w:type="auto"/>
            <w:tcBorders>
              <w:top w:val="nil"/>
            </w:tcBorders>
            <w:vAlign w:val="center"/>
            <w:hideMark/>
          </w:tcPr>
          <w:p w14:paraId="547E9D8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0.508</w:t>
            </w:r>
            <w:hyperlink r:id="rId201" w:anchor="table-fn6-0093854820913585" w:history="1">
              <w:r w:rsidRPr="00106B83">
                <w:rPr>
                  <w:rFonts w:ascii="Times New Roman" w:hAnsi="Times New Roman"/>
                  <w:color w:val="046FF8"/>
                  <w:kern w:val="0"/>
                  <w:sz w:val="24"/>
                  <w:u w:val="single"/>
                  <w14:ligatures w14:val="none"/>
                </w:rPr>
                <w:t>***</w:t>
              </w:r>
            </w:hyperlink>
          </w:p>
        </w:tc>
        <w:tc>
          <w:tcPr>
            <w:tcW w:w="0" w:type="auto"/>
            <w:tcBorders>
              <w:top w:val="nil"/>
            </w:tcBorders>
            <w:vAlign w:val="center"/>
            <w:hideMark/>
          </w:tcPr>
          <w:p w14:paraId="186EB697"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(.164)</w:t>
            </w:r>
          </w:p>
        </w:tc>
        <w:tc>
          <w:tcPr>
            <w:tcW w:w="0" w:type="auto"/>
            <w:tcBorders>
              <w:top w:val="nil"/>
            </w:tcBorders>
            <w:vAlign w:val="center"/>
            <w:hideMark/>
          </w:tcPr>
          <w:p w14:paraId="6A5F713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0.539</w:t>
            </w:r>
            <w:hyperlink r:id="rId202" w:anchor="table-fn6-0093854820913585" w:history="1">
              <w:r w:rsidRPr="00106B83">
                <w:rPr>
                  <w:rFonts w:ascii="Times New Roman" w:hAnsi="Times New Roman"/>
                  <w:color w:val="046FF8"/>
                  <w:kern w:val="0"/>
                  <w:sz w:val="24"/>
                  <w:u w:val="single"/>
                  <w14:ligatures w14:val="none"/>
                </w:rPr>
                <w:t>***</w:t>
              </w:r>
            </w:hyperlink>
          </w:p>
        </w:tc>
        <w:tc>
          <w:tcPr>
            <w:tcW w:w="0" w:type="auto"/>
            <w:tcBorders>
              <w:top w:val="nil"/>
            </w:tcBorders>
            <w:vAlign w:val="center"/>
            <w:hideMark/>
          </w:tcPr>
          <w:p w14:paraId="6A86DA7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(.148)</w:t>
            </w:r>
          </w:p>
        </w:tc>
        <w:tc>
          <w:tcPr>
            <w:tcW w:w="0" w:type="auto"/>
            <w:tcBorders>
              <w:top w:val="nil"/>
            </w:tcBorders>
            <w:vAlign w:val="center"/>
            <w:hideMark/>
          </w:tcPr>
          <w:p w14:paraId="5278DE40"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.684</w:t>
            </w:r>
            <w:hyperlink r:id="rId203" w:anchor="table-fn6-0093854820913585" w:history="1">
              <w:r w:rsidRPr="00106B83">
                <w:rPr>
                  <w:rFonts w:ascii="Times New Roman" w:hAnsi="Times New Roman"/>
                  <w:color w:val="046FF8"/>
                  <w:kern w:val="0"/>
                  <w:sz w:val="24"/>
                  <w:u w:val="single"/>
                  <w14:ligatures w14:val="none"/>
                </w:rPr>
                <w:t>***</w:t>
              </w:r>
            </w:hyperlink>
          </w:p>
        </w:tc>
        <w:tc>
          <w:tcPr>
            <w:tcW w:w="0" w:type="auto"/>
            <w:tcBorders>
              <w:top w:val="nil"/>
            </w:tcBorders>
            <w:vAlign w:val="center"/>
            <w:hideMark/>
          </w:tcPr>
          <w:p w14:paraId="01F32C3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(.034)</w:t>
            </w:r>
          </w:p>
        </w:tc>
        <w:tc>
          <w:tcPr>
            <w:tcW w:w="0" w:type="auto"/>
            <w:tcBorders>
              <w:top w:val="nil"/>
            </w:tcBorders>
            <w:vAlign w:val="center"/>
            <w:hideMark/>
          </w:tcPr>
          <w:p w14:paraId="68F43A8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.663</w:t>
            </w:r>
          </w:p>
        </w:tc>
      </w:tr>
      <w:tr w:rsidR="00106B83" w:rsidRPr="00106B83" w14:paraId="5CA72769" w14:textId="77777777" w:rsidTr="00106B83">
        <w:trPr>
          <w:tblCellSpacing w:w="15" w:type="dxa"/>
        </w:trPr>
        <w:tc>
          <w:tcPr>
            <w:tcW w:w="0" w:type="auto"/>
            <w:tcBorders>
              <w:top w:val="single" w:sz="6" w:space="0" w:color="DDDDDD"/>
            </w:tcBorders>
            <w:shd w:val="clear" w:color="auto" w:fill="F7F7F7"/>
            <w:vAlign w:val="center"/>
            <w:hideMark/>
          </w:tcPr>
          <w:p w14:paraId="07FC173C"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Racial resentment</w:t>
            </w:r>
          </w:p>
        </w:tc>
        <w:tc>
          <w:tcPr>
            <w:tcW w:w="0" w:type="auto"/>
            <w:tcBorders>
              <w:top w:val="single" w:sz="6" w:space="0" w:color="DDDDDD"/>
            </w:tcBorders>
            <w:shd w:val="clear" w:color="auto" w:fill="F7F7F7"/>
            <w:vAlign w:val="center"/>
            <w:hideMark/>
          </w:tcPr>
          <w:p w14:paraId="6D141FE7"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10.449</w:t>
            </w:r>
            <w:hyperlink r:id="rId204" w:anchor="table-fn6-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shd w:val="clear" w:color="auto" w:fill="F7F7F7"/>
            <w:vAlign w:val="center"/>
            <w:hideMark/>
          </w:tcPr>
          <w:p w14:paraId="3818C93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(.559)</w:t>
            </w:r>
          </w:p>
        </w:tc>
        <w:tc>
          <w:tcPr>
            <w:tcW w:w="0" w:type="auto"/>
            <w:tcBorders>
              <w:top w:val="single" w:sz="6" w:space="0" w:color="DDDDDD"/>
            </w:tcBorders>
            <w:shd w:val="clear" w:color="auto" w:fill="F7F7F7"/>
            <w:vAlign w:val="center"/>
            <w:hideMark/>
          </w:tcPr>
          <w:p w14:paraId="29EC3D3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6.012</w:t>
            </w:r>
            <w:hyperlink r:id="rId205" w:anchor="table-fn6-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shd w:val="clear" w:color="auto" w:fill="F7F7F7"/>
            <w:vAlign w:val="center"/>
            <w:hideMark/>
          </w:tcPr>
          <w:p w14:paraId="66F43E17"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(.679)</w:t>
            </w:r>
          </w:p>
        </w:tc>
        <w:tc>
          <w:tcPr>
            <w:tcW w:w="0" w:type="auto"/>
            <w:tcBorders>
              <w:top w:val="single" w:sz="6" w:space="0" w:color="DDDDDD"/>
            </w:tcBorders>
            <w:shd w:val="clear" w:color="auto" w:fill="F7F7F7"/>
            <w:vAlign w:val="center"/>
            <w:hideMark/>
          </w:tcPr>
          <w:p w14:paraId="42FEE886"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5.486</w:t>
            </w:r>
            <w:hyperlink r:id="rId206" w:anchor="table-fn6-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shd w:val="clear" w:color="auto" w:fill="F7F7F7"/>
            <w:vAlign w:val="center"/>
            <w:hideMark/>
          </w:tcPr>
          <w:p w14:paraId="482B334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(.572)</w:t>
            </w:r>
          </w:p>
        </w:tc>
        <w:tc>
          <w:tcPr>
            <w:tcW w:w="0" w:type="auto"/>
            <w:tcBorders>
              <w:top w:val="single" w:sz="6" w:space="0" w:color="DDDDDD"/>
            </w:tcBorders>
            <w:shd w:val="clear" w:color="auto" w:fill="F7F7F7"/>
            <w:vAlign w:val="center"/>
            <w:hideMark/>
          </w:tcPr>
          <w:p w14:paraId="3C5BC38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−.802</w:t>
            </w:r>
            <w:hyperlink r:id="rId207" w:anchor="table-fn6-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shd w:val="clear" w:color="auto" w:fill="F7F7F7"/>
            <w:vAlign w:val="center"/>
            <w:hideMark/>
          </w:tcPr>
          <w:p w14:paraId="2769C30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(.134)</w:t>
            </w:r>
          </w:p>
        </w:tc>
        <w:tc>
          <w:tcPr>
            <w:tcW w:w="0" w:type="auto"/>
            <w:tcBorders>
              <w:top w:val="single" w:sz="6" w:space="0" w:color="DDDDDD"/>
            </w:tcBorders>
            <w:shd w:val="clear" w:color="auto" w:fill="F7F7F7"/>
            <w:vAlign w:val="center"/>
            <w:hideMark/>
          </w:tcPr>
          <w:p w14:paraId="1F6ABB7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−.213</w:t>
            </w:r>
          </w:p>
        </w:tc>
      </w:tr>
      <w:tr w:rsidR="00106B83" w:rsidRPr="00106B83" w14:paraId="25730D6E" w14:textId="77777777" w:rsidTr="00106B83">
        <w:trPr>
          <w:tblCellSpacing w:w="15" w:type="dxa"/>
        </w:trPr>
        <w:tc>
          <w:tcPr>
            <w:tcW w:w="0" w:type="auto"/>
            <w:tcBorders>
              <w:top w:val="single" w:sz="6" w:space="0" w:color="DDDDDD"/>
            </w:tcBorders>
            <w:vAlign w:val="center"/>
            <w:hideMark/>
          </w:tcPr>
          <w:p w14:paraId="139FDD29"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Blank slate</w:t>
            </w:r>
          </w:p>
        </w:tc>
        <w:tc>
          <w:tcPr>
            <w:tcW w:w="0" w:type="auto"/>
            <w:tcBorders>
              <w:top w:val="single" w:sz="6" w:space="0" w:color="DDDDDD"/>
            </w:tcBorders>
            <w:vAlign w:val="center"/>
            <w:hideMark/>
          </w:tcPr>
          <w:p w14:paraId="76F42497"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1.083</w:t>
            </w:r>
          </w:p>
        </w:tc>
        <w:tc>
          <w:tcPr>
            <w:tcW w:w="0" w:type="auto"/>
            <w:tcBorders>
              <w:top w:val="single" w:sz="6" w:space="0" w:color="DDDDDD"/>
            </w:tcBorders>
            <w:vAlign w:val="center"/>
            <w:hideMark/>
          </w:tcPr>
          <w:p w14:paraId="0F2CA5A0"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(.235)</w:t>
            </w:r>
          </w:p>
        </w:tc>
        <w:tc>
          <w:tcPr>
            <w:tcW w:w="0" w:type="auto"/>
            <w:tcBorders>
              <w:top w:val="single" w:sz="6" w:space="0" w:color="DDDDDD"/>
            </w:tcBorders>
            <w:vAlign w:val="center"/>
            <w:hideMark/>
          </w:tcPr>
          <w:p w14:paraId="3EDAACD6"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0.752</w:t>
            </w:r>
          </w:p>
        </w:tc>
        <w:tc>
          <w:tcPr>
            <w:tcW w:w="0" w:type="auto"/>
            <w:tcBorders>
              <w:top w:val="single" w:sz="6" w:space="0" w:color="DDDDDD"/>
            </w:tcBorders>
            <w:vAlign w:val="center"/>
            <w:hideMark/>
          </w:tcPr>
          <w:p w14:paraId="6625730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(.281)</w:t>
            </w:r>
          </w:p>
        </w:tc>
        <w:tc>
          <w:tcPr>
            <w:tcW w:w="0" w:type="auto"/>
            <w:tcBorders>
              <w:top w:val="single" w:sz="6" w:space="0" w:color="DDDDDD"/>
            </w:tcBorders>
            <w:vAlign w:val="center"/>
            <w:hideMark/>
          </w:tcPr>
          <w:p w14:paraId="45BB5D0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1.467</w:t>
            </w:r>
          </w:p>
        </w:tc>
        <w:tc>
          <w:tcPr>
            <w:tcW w:w="0" w:type="auto"/>
            <w:tcBorders>
              <w:top w:val="single" w:sz="6" w:space="0" w:color="DDDDDD"/>
            </w:tcBorders>
            <w:vAlign w:val="center"/>
            <w:hideMark/>
          </w:tcPr>
          <w:p w14:paraId="3FEC2B2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(.383)</w:t>
            </w:r>
          </w:p>
        </w:tc>
        <w:tc>
          <w:tcPr>
            <w:tcW w:w="0" w:type="auto"/>
            <w:tcBorders>
              <w:top w:val="single" w:sz="6" w:space="0" w:color="DDDDDD"/>
            </w:tcBorders>
            <w:vAlign w:val="center"/>
            <w:hideMark/>
          </w:tcPr>
          <w:p w14:paraId="623F988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−.051</w:t>
            </w:r>
          </w:p>
        </w:tc>
        <w:tc>
          <w:tcPr>
            <w:tcW w:w="0" w:type="auto"/>
            <w:tcBorders>
              <w:top w:val="single" w:sz="6" w:space="0" w:color="DDDDDD"/>
            </w:tcBorders>
            <w:vAlign w:val="center"/>
            <w:hideMark/>
          </w:tcPr>
          <w:p w14:paraId="3CCB89C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(.056)</w:t>
            </w:r>
          </w:p>
        </w:tc>
        <w:tc>
          <w:tcPr>
            <w:tcW w:w="0" w:type="auto"/>
            <w:tcBorders>
              <w:top w:val="single" w:sz="6" w:space="0" w:color="DDDDDD"/>
            </w:tcBorders>
            <w:vAlign w:val="center"/>
            <w:hideMark/>
          </w:tcPr>
          <w:p w14:paraId="677242A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−.028</w:t>
            </w:r>
          </w:p>
        </w:tc>
      </w:tr>
      <w:tr w:rsidR="00106B83" w:rsidRPr="00106B83" w14:paraId="74F0850D" w14:textId="77777777" w:rsidTr="00106B83">
        <w:trPr>
          <w:tblCellSpacing w:w="15" w:type="dxa"/>
        </w:trPr>
        <w:tc>
          <w:tcPr>
            <w:tcW w:w="0" w:type="auto"/>
            <w:tcBorders>
              <w:top w:val="single" w:sz="6" w:space="0" w:color="DDDDDD"/>
            </w:tcBorders>
            <w:shd w:val="clear" w:color="auto" w:fill="F7F7F7"/>
            <w:vAlign w:val="center"/>
            <w:hideMark/>
          </w:tcPr>
          <w:p w14:paraId="49D700DD"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Anger about crime</w:t>
            </w:r>
          </w:p>
        </w:tc>
        <w:tc>
          <w:tcPr>
            <w:tcW w:w="0" w:type="auto"/>
            <w:tcBorders>
              <w:top w:val="single" w:sz="6" w:space="0" w:color="DDDDDD"/>
            </w:tcBorders>
            <w:shd w:val="clear" w:color="auto" w:fill="F7F7F7"/>
            <w:vAlign w:val="center"/>
            <w:hideMark/>
          </w:tcPr>
          <w:p w14:paraId="5848F833"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1.146</w:t>
            </w:r>
          </w:p>
        </w:tc>
        <w:tc>
          <w:tcPr>
            <w:tcW w:w="0" w:type="auto"/>
            <w:tcBorders>
              <w:top w:val="single" w:sz="6" w:space="0" w:color="DDDDDD"/>
            </w:tcBorders>
            <w:shd w:val="clear" w:color="auto" w:fill="F7F7F7"/>
            <w:vAlign w:val="center"/>
            <w:hideMark/>
          </w:tcPr>
          <w:p w14:paraId="0266952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(.105)</w:t>
            </w:r>
          </w:p>
        </w:tc>
        <w:tc>
          <w:tcPr>
            <w:tcW w:w="0" w:type="auto"/>
            <w:tcBorders>
              <w:top w:val="single" w:sz="6" w:space="0" w:color="DDDDDD"/>
            </w:tcBorders>
            <w:shd w:val="clear" w:color="auto" w:fill="F7F7F7"/>
            <w:vAlign w:val="center"/>
            <w:hideMark/>
          </w:tcPr>
          <w:p w14:paraId="347567E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1.121</w:t>
            </w:r>
          </w:p>
        </w:tc>
        <w:tc>
          <w:tcPr>
            <w:tcW w:w="0" w:type="auto"/>
            <w:tcBorders>
              <w:top w:val="single" w:sz="6" w:space="0" w:color="DDDDDD"/>
            </w:tcBorders>
            <w:shd w:val="clear" w:color="auto" w:fill="F7F7F7"/>
            <w:vAlign w:val="center"/>
            <w:hideMark/>
          </w:tcPr>
          <w:p w14:paraId="171F646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(.121)</w:t>
            </w:r>
          </w:p>
        </w:tc>
        <w:tc>
          <w:tcPr>
            <w:tcW w:w="0" w:type="auto"/>
            <w:tcBorders>
              <w:top w:val="single" w:sz="6" w:space="0" w:color="DDDDDD"/>
            </w:tcBorders>
            <w:shd w:val="clear" w:color="auto" w:fill="F7F7F7"/>
            <w:vAlign w:val="center"/>
            <w:hideMark/>
          </w:tcPr>
          <w:p w14:paraId="2A5CAF3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1.197</w:t>
            </w:r>
          </w:p>
        </w:tc>
        <w:tc>
          <w:tcPr>
            <w:tcW w:w="0" w:type="auto"/>
            <w:tcBorders>
              <w:top w:val="single" w:sz="6" w:space="0" w:color="DDDDDD"/>
            </w:tcBorders>
            <w:shd w:val="clear" w:color="auto" w:fill="F7F7F7"/>
            <w:vAlign w:val="center"/>
            <w:hideMark/>
          </w:tcPr>
          <w:p w14:paraId="40B9E5D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(.107)</w:t>
            </w:r>
          </w:p>
        </w:tc>
        <w:tc>
          <w:tcPr>
            <w:tcW w:w="0" w:type="auto"/>
            <w:tcBorders>
              <w:top w:val="single" w:sz="6" w:space="0" w:color="DDDDDD"/>
            </w:tcBorders>
            <w:shd w:val="clear" w:color="auto" w:fill="F7F7F7"/>
            <w:vAlign w:val="center"/>
            <w:hideMark/>
          </w:tcPr>
          <w:p w14:paraId="36B2FFF6"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−.021</w:t>
            </w:r>
          </w:p>
        </w:tc>
        <w:tc>
          <w:tcPr>
            <w:tcW w:w="0" w:type="auto"/>
            <w:tcBorders>
              <w:top w:val="single" w:sz="6" w:space="0" w:color="DDDDDD"/>
            </w:tcBorders>
            <w:shd w:val="clear" w:color="auto" w:fill="F7F7F7"/>
            <w:vAlign w:val="center"/>
            <w:hideMark/>
          </w:tcPr>
          <w:p w14:paraId="0C12433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(.025)</w:t>
            </w:r>
          </w:p>
        </w:tc>
        <w:tc>
          <w:tcPr>
            <w:tcW w:w="0" w:type="auto"/>
            <w:tcBorders>
              <w:top w:val="single" w:sz="6" w:space="0" w:color="DDDDDD"/>
            </w:tcBorders>
            <w:shd w:val="clear" w:color="auto" w:fill="F7F7F7"/>
            <w:vAlign w:val="center"/>
            <w:hideMark/>
          </w:tcPr>
          <w:p w14:paraId="33A8FCA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−.027</w:t>
            </w:r>
          </w:p>
        </w:tc>
      </w:tr>
      <w:tr w:rsidR="00106B83" w:rsidRPr="00106B83" w14:paraId="0A731FBB" w14:textId="77777777" w:rsidTr="00106B83">
        <w:trPr>
          <w:tblCellSpacing w:w="15" w:type="dxa"/>
        </w:trPr>
        <w:tc>
          <w:tcPr>
            <w:tcW w:w="0" w:type="auto"/>
            <w:tcBorders>
              <w:top w:val="single" w:sz="6" w:space="0" w:color="DDDDDD"/>
            </w:tcBorders>
            <w:vAlign w:val="center"/>
            <w:hideMark/>
          </w:tcPr>
          <w:p w14:paraId="4A2D3863"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Republican</w:t>
            </w:r>
          </w:p>
        </w:tc>
        <w:tc>
          <w:tcPr>
            <w:tcW w:w="0" w:type="auto"/>
            <w:tcBorders>
              <w:top w:val="single" w:sz="6" w:space="0" w:color="DDDDDD"/>
            </w:tcBorders>
            <w:vAlign w:val="center"/>
            <w:hideMark/>
          </w:tcPr>
          <w:p w14:paraId="43D900C3"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1.427</w:t>
            </w:r>
          </w:p>
        </w:tc>
        <w:tc>
          <w:tcPr>
            <w:tcW w:w="0" w:type="auto"/>
            <w:tcBorders>
              <w:top w:val="single" w:sz="6" w:space="0" w:color="DDDDDD"/>
            </w:tcBorders>
            <w:vAlign w:val="center"/>
            <w:hideMark/>
          </w:tcPr>
          <w:p w14:paraId="76FF07A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(.305)</w:t>
            </w:r>
          </w:p>
        </w:tc>
        <w:tc>
          <w:tcPr>
            <w:tcW w:w="0" w:type="auto"/>
            <w:tcBorders>
              <w:top w:val="single" w:sz="6" w:space="0" w:color="DDDDDD"/>
            </w:tcBorders>
            <w:vAlign w:val="center"/>
            <w:hideMark/>
          </w:tcPr>
          <w:p w14:paraId="30D5E1E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0.844</w:t>
            </w:r>
          </w:p>
        </w:tc>
        <w:tc>
          <w:tcPr>
            <w:tcW w:w="0" w:type="auto"/>
            <w:tcBorders>
              <w:top w:val="single" w:sz="6" w:space="0" w:color="DDDDDD"/>
            </w:tcBorders>
            <w:vAlign w:val="center"/>
            <w:hideMark/>
          </w:tcPr>
          <w:p w14:paraId="1847DFA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(.238)</w:t>
            </w:r>
          </w:p>
        </w:tc>
        <w:tc>
          <w:tcPr>
            <w:tcW w:w="0" w:type="auto"/>
            <w:tcBorders>
              <w:top w:val="single" w:sz="6" w:space="0" w:color="DDDDDD"/>
            </w:tcBorders>
            <w:vAlign w:val="center"/>
            <w:hideMark/>
          </w:tcPr>
          <w:p w14:paraId="185B5B1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2.188</w:t>
            </w:r>
            <w:hyperlink r:id="rId208" w:anchor="table-fn6-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vAlign w:val="center"/>
            <w:hideMark/>
          </w:tcPr>
          <w:p w14:paraId="03C14F6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(.313)</w:t>
            </w:r>
          </w:p>
        </w:tc>
        <w:tc>
          <w:tcPr>
            <w:tcW w:w="0" w:type="auto"/>
            <w:tcBorders>
              <w:top w:val="single" w:sz="6" w:space="0" w:color="DDDDDD"/>
            </w:tcBorders>
            <w:vAlign w:val="center"/>
            <w:hideMark/>
          </w:tcPr>
          <w:p w14:paraId="2A0FED0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−.180</w:t>
            </w:r>
            <w:hyperlink r:id="rId209" w:anchor="table-fn6-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vAlign w:val="center"/>
            <w:hideMark/>
          </w:tcPr>
          <w:p w14:paraId="4005BBE7"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(.078)</w:t>
            </w:r>
          </w:p>
        </w:tc>
        <w:tc>
          <w:tcPr>
            <w:tcW w:w="0" w:type="auto"/>
            <w:tcBorders>
              <w:top w:val="single" w:sz="6" w:space="0" w:color="DDDDDD"/>
            </w:tcBorders>
            <w:vAlign w:val="center"/>
            <w:hideMark/>
          </w:tcPr>
          <w:p w14:paraId="37065EE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−.087</w:t>
            </w:r>
          </w:p>
        </w:tc>
      </w:tr>
      <w:tr w:rsidR="00106B83" w:rsidRPr="00106B83" w14:paraId="4A86048B" w14:textId="77777777" w:rsidTr="00106B83">
        <w:trPr>
          <w:tblCellSpacing w:w="15" w:type="dxa"/>
        </w:trPr>
        <w:tc>
          <w:tcPr>
            <w:tcW w:w="0" w:type="auto"/>
            <w:tcBorders>
              <w:top w:val="single" w:sz="6" w:space="0" w:color="DDDDDD"/>
            </w:tcBorders>
            <w:shd w:val="clear" w:color="auto" w:fill="F7F7F7"/>
            <w:vAlign w:val="center"/>
            <w:hideMark/>
          </w:tcPr>
          <w:p w14:paraId="7D9506AC"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lastRenderedPageBreak/>
              <w:t>Conservatism</w:t>
            </w:r>
          </w:p>
        </w:tc>
        <w:tc>
          <w:tcPr>
            <w:tcW w:w="0" w:type="auto"/>
            <w:tcBorders>
              <w:top w:val="single" w:sz="6" w:space="0" w:color="DDDDDD"/>
            </w:tcBorders>
            <w:shd w:val="clear" w:color="auto" w:fill="F7F7F7"/>
            <w:vAlign w:val="center"/>
            <w:hideMark/>
          </w:tcPr>
          <w:p w14:paraId="592DE81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0.691</w:t>
            </w:r>
          </w:p>
        </w:tc>
        <w:tc>
          <w:tcPr>
            <w:tcW w:w="0" w:type="auto"/>
            <w:tcBorders>
              <w:top w:val="single" w:sz="6" w:space="0" w:color="DDDDDD"/>
            </w:tcBorders>
            <w:shd w:val="clear" w:color="auto" w:fill="F7F7F7"/>
            <w:vAlign w:val="center"/>
            <w:hideMark/>
          </w:tcPr>
          <w:p w14:paraId="512DEB6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(.301)</w:t>
            </w:r>
          </w:p>
        </w:tc>
        <w:tc>
          <w:tcPr>
            <w:tcW w:w="0" w:type="auto"/>
            <w:tcBorders>
              <w:top w:val="single" w:sz="6" w:space="0" w:color="DDDDDD"/>
            </w:tcBorders>
            <w:shd w:val="clear" w:color="auto" w:fill="F7F7F7"/>
            <w:vAlign w:val="center"/>
            <w:hideMark/>
          </w:tcPr>
          <w:p w14:paraId="69ACFD4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1.071</w:t>
            </w:r>
          </w:p>
        </w:tc>
        <w:tc>
          <w:tcPr>
            <w:tcW w:w="0" w:type="auto"/>
            <w:tcBorders>
              <w:top w:val="single" w:sz="6" w:space="0" w:color="DDDDDD"/>
            </w:tcBorders>
            <w:shd w:val="clear" w:color="auto" w:fill="F7F7F7"/>
            <w:vAlign w:val="center"/>
            <w:hideMark/>
          </w:tcPr>
          <w:p w14:paraId="2C7E4AD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(.347)</w:t>
            </w:r>
          </w:p>
        </w:tc>
        <w:tc>
          <w:tcPr>
            <w:tcW w:w="0" w:type="auto"/>
            <w:tcBorders>
              <w:top w:val="single" w:sz="6" w:space="0" w:color="DDDDDD"/>
            </w:tcBorders>
            <w:shd w:val="clear" w:color="auto" w:fill="F7F7F7"/>
            <w:vAlign w:val="center"/>
            <w:hideMark/>
          </w:tcPr>
          <w:p w14:paraId="040ADC9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0.804</w:t>
            </w:r>
          </w:p>
        </w:tc>
        <w:tc>
          <w:tcPr>
            <w:tcW w:w="0" w:type="auto"/>
            <w:tcBorders>
              <w:top w:val="single" w:sz="6" w:space="0" w:color="DDDDDD"/>
            </w:tcBorders>
            <w:shd w:val="clear" w:color="auto" w:fill="F7F7F7"/>
            <w:vAlign w:val="center"/>
            <w:hideMark/>
          </w:tcPr>
          <w:p w14:paraId="2FBDAB0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(.309)</w:t>
            </w:r>
          </w:p>
        </w:tc>
        <w:tc>
          <w:tcPr>
            <w:tcW w:w="0" w:type="auto"/>
            <w:tcBorders>
              <w:top w:val="single" w:sz="6" w:space="0" w:color="DDDDDD"/>
            </w:tcBorders>
            <w:shd w:val="clear" w:color="auto" w:fill="F7F7F7"/>
            <w:vAlign w:val="center"/>
            <w:hideMark/>
          </w:tcPr>
          <w:p w14:paraId="1A57166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.076</w:t>
            </w:r>
          </w:p>
        </w:tc>
        <w:tc>
          <w:tcPr>
            <w:tcW w:w="0" w:type="auto"/>
            <w:tcBorders>
              <w:top w:val="single" w:sz="6" w:space="0" w:color="DDDDDD"/>
            </w:tcBorders>
            <w:shd w:val="clear" w:color="auto" w:fill="F7F7F7"/>
            <w:vAlign w:val="center"/>
            <w:hideMark/>
          </w:tcPr>
          <w:p w14:paraId="1A02D4E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(.077)</w:t>
            </w:r>
          </w:p>
        </w:tc>
        <w:tc>
          <w:tcPr>
            <w:tcW w:w="0" w:type="auto"/>
            <w:tcBorders>
              <w:top w:val="single" w:sz="6" w:space="0" w:color="DDDDDD"/>
            </w:tcBorders>
            <w:shd w:val="clear" w:color="auto" w:fill="F7F7F7"/>
            <w:vAlign w:val="center"/>
            <w:hideMark/>
          </w:tcPr>
          <w:p w14:paraId="79AF05F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.038</w:t>
            </w:r>
          </w:p>
        </w:tc>
      </w:tr>
      <w:tr w:rsidR="00106B83" w:rsidRPr="00106B83" w14:paraId="258DD979" w14:textId="77777777" w:rsidTr="00106B83">
        <w:trPr>
          <w:tblCellSpacing w:w="15" w:type="dxa"/>
        </w:trPr>
        <w:tc>
          <w:tcPr>
            <w:tcW w:w="0" w:type="auto"/>
            <w:tcBorders>
              <w:top w:val="single" w:sz="6" w:space="0" w:color="DDDDDD"/>
            </w:tcBorders>
            <w:vAlign w:val="center"/>
            <w:hideMark/>
          </w:tcPr>
          <w:p w14:paraId="12691A8C"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Married</w:t>
            </w:r>
          </w:p>
        </w:tc>
        <w:tc>
          <w:tcPr>
            <w:tcW w:w="0" w:type="auto"/>
            <w:tcBorders>
              <w:top w:val="single" w:sz="6" w:space="0" w:color="DDDDDD"/>
            </w:tcBorders>
            <w:vAlign w:val="center"/>
            <w:hideMark/>
          </w:tcPr>
          <w:p w14:paraId="652C1C5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0.982</w:t>
            </w:r>
          </w:p>
        </w:tc>
        <w:tc>
          <w:tcPr>
            <w:tcW w:w="0" w:type="auto"/>
            <w:tcBorders>
              <w:top w:val="single" w:sz="6" w:space="0" w:color="DDDDDD"/>
            </w:tcBorders>
            <w:vAlign w:val="center"/>
            <w:hideMark/>
          </w:tcPr>
          <w:p w14:paraId="6848FBC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(.239)</w:t>
            </w:r>
          </w:p>
        </w:tc>
        <w:tc>
          <w:tcPr>
            <w:tcW w:w="0" w:type="auto"/>
            <w:tcBorders>
              <w:top w:val="single" w:sz="6" w:space="0" w:color="DDDDDD"/>
            </w:tcBorders>
            <w:vAlign w:val="center"/>
            <w:hideMark/>
          </w:tcPr>
          <w:p w14:paraId="52EF823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1.405</w:t>
            </w:r>
          </w:p>
        </w:tc>
        <w:tc>
          <w:tcPr>
            <w:tcW w:w="0" w:type="auto"/>
            <w:tcBorders>
              <w:top w:val="single" w:sz="6" w:space="0" w:color="DDDDDD"/>
            </w:tcBorders>
            <w:vAlign w:val="center"/>
            <w:hideMark/>
          </w:tcPr>
          <w:p w14:paraId="4962728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(.282)</w:t>
            </w:r>
          </w:p>
        </w:tc>
        <w:tc>
          <w:tcPr>
            <w:tcW w:w="0" w:type="auto"/>
            <w:tcBorders>
              <w:top w:val="single" w:sz="6" w:space="0" w:color="DDDDDD"/>
            </w:tcBorders>
            <w:vAlign w:val="center"/>
            <w:hideMark/>
          </w:tcPr>
          <w:p w14:paraId="60D0B85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0.798</w:t>
            </w:r>
          </w:p>
        </w:tc>
        <w:tc>
          <w:tcPr>
            <w:tcW w:w="0" w:type="auto"/>
            <w:tcBorders>
              <w:top w:val="single" w:sz="6" w:space="0" w:color="DDDDDD"/>
            </w:tcBorders>
            <w:vAlign w:val="center"/>
            <w:hideMark/>
          </w:tcPr>
          <w:p w14:paraId="423D329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(.246)</w:t>
            </w:r>
          </w:p>
        </w:tc>
        <w:tc>
          <w:tcPr>
            <w:tcW w:w="0" w:type="auto"/>
            <w:tcBorders>
              <w:top w:val="single" w:sz="6" w:space="0" w:color="DDDDDD"/>
            </w:tcBorders>
            <w:vAlign w:val="center"/>
            <w:hideMark/>
          </w:tcPr>
          <w:p w14:paraId="40CA487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−.081</w:t>
            </w:r>
          </w:p>
        </w:tc>
        <w:tc>
          <w:tcPr>
            <w:tcW w:w="0" w:type="auto"/>
            <w:tcBorders>
              <w:top w:val="single" w:sz="6" w:space="0" w:color="DDDDDD"/>
            </w:tcBorders>
            <w:vAlign w:val="center"/>
            <w:hideMark/>
          </w:tcPr>
          <w:p w14:paraId="2B4A918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(.058)</w:t>
            </w:r>
          </w:p>
        </w:tc>
        <w:tc>
          <w:tcPr>
            <w:tcW w:w="0" w:type="auto"/>
            <w:tcBorders>
              <w:top w:val="single" w:sz="6" w:space="0" w:color="DDDDDD"/>
            </w:tcBorders>
            <w:vAlign w:val="center"/>
            <w:hideMark/>
          </w:tcPr>
          <w:p w14:paraId="66BE173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−.045</w:t>
            </w:r>
          </w:p>
        </w:tc>
      </w:tr>
      <w:tr w:rsidR="00106B83" w:rsidRPr="00106B83" w14:paraId="179D2EC5" w14:textId="77777777" w:rsidTr="00106B83">
        <w:trPr>
          <w:tblCellSpacing w:w="15" w:type="dxa"/>
        </w:trPr>
        <w:tc>
          <w:tcPr>
            <w:tcW w:w="0" w:type="auto"/>
            <w:tcBorders>
              <w:top w:val="single" w:sz="6" w:space="0" w:color="DDDDDD"/>
            </w:tcBorders>
            <w:shd w:val="clear" w:color="auto" w:fill="F7F7F7"/>
            <w:vAlign w:val="center"/>
            <w:hideMark/>
          </w:tcPr>
          <w:p w14:paraId="4DDCC2C9"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Education</w:t>
            </w:r>
          </w:p>
        </w:tc>
        <w:tc>
          <w:tcPr>
            <w:tcW w:w="0" w:type="auto"/>
            <w:tcBorders>
              <w:top w:val="single" w:sz="6" w:space="0" w:color="DDDDDD"/>
            </w:tcBorders>
            <w:shd w:val="clear" w:color="auto" w:fill="F7F7F7"/>
            <w:vAlign w:val="center"/>
            <w:hideMark/>
          </w:tcPr>
          <w:p w14:paraId="29296BF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0.860</w:t>
            </w:r>
          </w:p>
        </w:tc>
        <w:tc>
          <w:tcPr>
            <w:tcW w:w="0" w:type="auto"/>
            <w:tcBorders>
              <w:top w:val="single" w:sz="6" w:space="0" w:color="DDDDDD"/>
            </w:tcBorders>
            <w:shd w:val="clear" w:color="auto" w:fill="F7F7F7"/>
            <w:vAlign w:val="center"/>
            <w:hideMark/>
          </w:tcPr>
          <w:p w14:paraId="351FBF7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(.095)</w:t>
            </w:r>
          </w:p>
        </w:tc>
        <w:tc>
          <w:tcPr>
            <w:tcW w:w="0" w:type="auto"/>
            <w:tcBorders>
              <w:top w:val="single" w:sz="6" w:space="0" w:color="DDDDDD"/>
            </w:tcBorders>
            <w:shd w:val="clear" w:color="auto" w:fill="F7F7F7"/>
            <w:vAlign w:val="center"/>
            <w:hideMark/>
          </w:tcPr>
          <w:p w14:paraId="1E0219A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0.863</w:t>
            </w:r>
          </w:p>
        </w:tc>
        <w:tc>
          <w:tcPr>
            <w:tcW w:w="0" w:type="auto"/>
            <w:tcBorders>
              <w:top w:val="single" w:sz="6" w:space="0" w:color="DDDDDD"/>
            </w:tcBorders>
            <w:shd w:val="clear" w:color="auto" w:fill="F7F7F7"/>
            <w:vAlign w:val="center"/>
            <w:hideMark/>
          </w:tcPr>
          <w:p w14:paraId="519F873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(.112)</w:t>
            </w:r>
          </w:p>
        </w:tc>
        <w:tc>
          <w:tcPr>
            <w:tcW w:w="0" w:type="auto"/>
            <w:tcBorders>
              <w:top w:val="single" w:sz="6" w:space="0" w:color="DDDDDD"/>
            </w:tcBorders>
            <w:shd w:val="clear" w:color="auto" w:fill="F7F7F7"/>
            <w:vAlign w:val="center"/>
            <w:hideMark/>
          </w:tcPr>
          <w:p w14:paraId="7014325B"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0.983</w:t>
            </w:r>
          </w:p>
        </w:tc>
        <w:tc>
          <w:tcPr>
            <w:tcW w:w="0" w:type="auto"/>
            <w:tcBorders>
              <w:top w:val="single" w:sz="6" w:space="0" w:color="DDDDDD"/>
            </w:tcBorders>
            <w:shd w:val="clear" w:color="auto" w:fill="F7F7F7"/>
            <w:vAlign w:val="center"/>
            <w:hideMark/>
          </w:tcPr>
          <w:p w14:paraId="51DCCF4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(.097)</w:t>
            </w:r>
          </w:p>
        </w:tc>
        <w:tc>
          <w:tcPr>
            <w:tcW w:w="0" w:type="auto"/>
            <w:tcBorders>
              <w:top w:val="single" w:sz="6" w:space="0" w:color="DDDDDD"/>
            </w:tcBorders>
            <w:shd w:val="clear" w:color="auto" w:fill="F7F7F7"/>
            <w:vAlign w:val="center"/>
            <w:hideMark/>
          </w:tcPr>
          <w:p w14:paraId="1F08F1A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−.028</w:t>
            </w:r>
          </w:p>
        </w:tc>
        <w:tc>
          <w:tcPr>
            <w:tcW w:w="0" w:type="auto"/>
            <w:tcBorders>
              <w:top w:val="single" w:sz="6" w:space="0" w:color="DDDDDD"/>
            </w:tcBorders>
            <w:shd w:val="clear" w:color="auto" w:fill="F7F7F7"/>
            <w:vAlign w:val="center"/>
            <w:hideMark/>
          </w:tcPr>
          <w:p w14:paraId="352C184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(.023)</w:t>
            </w:r>
          </w:p>
        </w:tc>
        <w:tc>
          <w:tcPr>
            <w:tcW w:w="0" w:type="auto"/>
            <w:tcBorders>
              <w:top w:val="single" w:sz="6" w:space="0" w:color="DDDDDD"/>
            </w:tcBorders>
            <w:shd w:val="clear" w:color="auto" w:fill="F7F7F7"/>
            <w:vAlign w:val="center"/>
            <w:hideMark/>
          </w:tcPr>
          <w:p w14:paraId="77ABDF2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−.041</w:t>
            </w:r>
          </w:p>
        </w:tc>
      </w:tr>
      <w:tr w:rsidR="00106B83" w:rsidRPr="00106B83" w14:paraId="61136F33" w14:textId="77777777" w:rsidTr="00106B83">
        <w:trPr>
          <w:tblCellSpacing w:w="15" w:type="dxa"/>
        </w:trPr>
        <w:tc>
          <w:tcPr>
            <w:tcW w:w="0" w:type="auto"/>
            <w:tcBorders>
              <w:top w:val="single" w:sz="6" w:space="0" w:color="DDDDDD"/>
            </w:tcBorders>
            <w:vAlign w:val="center"/>
            <w:hideMark/>
          </w:tcPr>
          <w:p w14:paraId="0417ED3F"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Income</w:t>
            </w:r>
          </w:p>
        </w:tc>
        <w:tc>
          <w:tcPr>
            <w:tcW w:w="0" w:type="auto"/>
            <w:tcBorders>
              <w:top w:val="single" w:sz="6" w:space="0" w:color="DDDDDD"/>
            </w:tcBorders>
            <w:vAlign w:val="center"/>
            <w:hideMark/>
          </w:tcPr>
          <w:p w14:paraId="24F54DC6"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1.088</w:t>
            </w:r>
          </w:p>
        </w:tc>
        <w:tc>
          <w:tcPr>
            <w:tcW w:w="0" w:type="auto"/>
            <w:tcBorders>
              <w:top w:val="single" w:sz="6" w:space="0" w:color="DDDDDD"/>
            </w:tcBorders>
            <w:vAlign w:val="center"/>
            <w:hideMark/>
          </w:tcPr>
          <w:p w14:paraId="71B56E2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(.083)</w:t>
            </w:r>
          </w:p>
        </w:tc>
        <w:tc>
          <w:tcPr>
            <w:tcW w:w="0" w:type="auto"/>
            <w:tcBorders>
              <w:top w:val="single" w:sz="6" w:space="0" w:color="DDDDDD"/>
            </w:tcBorders>
            <w:vAlign w:val="center"/>
            <w:hideMark/>
          </w:tcPr>
          <w:p w14:paraId="584EF9F3"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0.973</w:t>
            </w:r>
          </w:p>
        </w:tc>
        <w:tc>
          <w:tcPr>
            <w:tcW w:w="0" w:type="auto"/>
            <w:tcBorders>
              <w:top w:val="single" w:sz="6" w:space="0" w:color="DDDDDD"/>
            </w:tcBorders>
            <w:vAlign w:val="center"/>
            <w:hideMark/>
          </w:tcPr>
          <w:p w14:paraId="68D7B2D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(.100)</w:t>
            </w:r>
          </w:p>
        </w:tc>
        <w:tc>
          <w:tcPr>
            <w:tcW w:w="0" w:type="auto"/>
            <w:tcBorders>
              <w:top w:val="single" w:sz="6" w:space="0" w:color="DDDDDD"/>
            </w:tcBorders>
            <w:vAlign w:val="center"/>
            <w:hideMark/>
          </w:tcPr>
          <w:p w14:paraId="35F4106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1.073</w:t>
            </w:r>
          </w:p>
        </w:tc>
        <w:tc>
          <w:tcPr>
            <w:tcW w:w="0" w:type="auto"/>
            <w:tcBorders>
              <w:top w:val="single" w:sz="6" w:space="0" w:color="DDDDDD"/>
            </w:tcBorders>
            <w:vAlign w:val="center"/>
            <w:hideMark/>
          </w:tcPr>
          <w:p w14:paraId="6F274C9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(.086)</w:t>
            </w:r>
          </w:p>
        </w:tc>
        <w:tc>
          <w:tcPr>
            <w:tcW w:w="0" w:type="auto"/>
            <w:tcBorders>
              <w:top w:val="single" w:sz="6" w:space="0" w:color="DDDDDD"/>
            </w:tcBorders>
            <w:vAlign w:val="center"/>
            <w:hideMark/>
          </w:tcPr>
          <w:p w14:paraId="51B2F827"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.011</w:t>
            </w:r>
          </w:p>
        </w:tc>
        <w:tc>
          <w:tcPr>
            <w:tcW w:w="0" w:type="auto"/>
            <w:tcBorders>
              <w:top w:val="single" w:sz="6" w:space="0" w:color="DDDDDD"/>
            </w:tcBorders>
            <w:vAlign w:val="center"/>
            <w:hideMark/>
          </w:tcPr>
          <w:p w14:paraId="59E6D73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(.020)</w:t>
            </w:r>
          </w:p>
        </w:tc>
        <w:tc>
          <w:tcPr>
            <w:tcW w:w="0" w:type="auto"/>
            <w:tcBorders>
              <w:top w:val="single" w:sz="6" w:space="0" w:color="DDDDDD"/>
            </w:tcBorders>
            <w:vAlign w:val="center"/>
            <w:hideMark/>
          </w:tcPr>
          <w:p w14:paraId="07DA69A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.018</w:t>
            </w:r>
          </w:p>
        </w:tc>
      </w:tr>
      <w:tr w:rsidR="00106B83" w:rsidRPr="00106B83" w14:paraId="3A3C131B" w14:textId="77777777" w:rsidTr="00106B83">
        <w:trPr>
          <w:tblCellSpacing w:w="15" w:type="dxa"/>
        </w:trPr>
        <w:tc>
          <w:tcPr>
            <w:tcW w:w="0" w:type="auto"/>
            <w:tcBorders>
              <w:top w:val="single" w:sz="6" w:space="0" w:color="DDDDDD"/>
            </w:tcBorders>
            <w:shd w:val="clear" w:color="auto" w:fill="F7F7F7"/>
            <w:vAlign w:val="center"/>
            <w:hideMark/>
          </w:tcPr>
          <w:p w14:paraId="419DE154"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Full-time employment</w:t>
            </w:r>
          </w:p>
        </w:tc>
        <w:tc>
          <w:tcPr>
            <w:tcW w:w="0" w:type="auto"/>
            <w:tcBorders>
              <w:top w:val="single" w:sz="6" w:space="0" w:color="DDDDDD"/>
            </w:tcBorders>
            <w:shd w:val="clear" w:color="auto" w:fill="F7F7F7"/>
            <w:vAlign w:val="center"/>
            <w:hideMark/>
          </w:tcPr>
          <w:p w14:paraId="60DA1946"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1.111</w:t>
            </w:r>
          </w:p>
        </w:tc>
        <w:tc>
          <w:tcPr>
            <w:tcW w:w="0" w:type="auto"/>
            <w:tcBorders>
              <w:top w:val="single" w:sz="6" w:space="0" w:color="DDDDDD"/>
            </w:tcBorders>
            <w:shd w:val="clear" w:color="auto" w:fill="F7F7F7"/>
            <w:vAlign w:val="center"/>
            <w:hideMark/>
          </w:tcPr>
          <w:p w14:paraId="2A08706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(.266)</w:t>
            </w:r>
          </w:p>
        </w:tc>
        <w:tc>
          <w:tcPr>
            <w:tcW w:w="0" w:type="auto"/>
            <w:tcBorders>
              <w:top w:val="single" w:sz="6" w:space="0" w:color="DDDDDD"/>
            </w:tcBorders>
            <w:shd w:val="clear" w:color="auto" w:fill="F7F7F7"/>
            <w:vAlign w:val="center"/>
            <w:hideMark/>
          </w:tcPr>
          <w:p w14:paraId="20CC7DA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1.512</w:t>
            </w:r>
          </w:p>
        </w:tc>
        <w:tc>
          <w:tcPr>
            <w:tcW w:w="0" w:type="auto"/>
            <w:tcBorders>
              <w:top w:val="single" w:sz="6" w:space="0" w:color="DDDDDD"/>
            </w:tcBorders>
            <w:shd w:val="clear" w:color="auto" w:fill="F7F7F7"/>
            <w:vAlign w:val="center"/>
            <w:hideMark/>
          </w:tcPr>
          <w:p w14:paraId="5FFC400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(.322)</w:t>
            </w:r>
          </w:p>
        </w:tc>
        <w:tc>
          <w:tcPr>
            <w:tcW w:w="0" w:type="auto"/>
            <w:tcBorders>
              <w:top w:val="single" w:sz="6" w:space="0" w:color="DDDDDD"/>
            </w:tcBorders>
            <w:shd w:val="clear" w:color="auto" w:fill="F7F7F7"/>
            <w:vAlign w:val="center"/>
            <w:hideMark/>
          </w:tcPr>
          <w:p w14:paraId="6B317C1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1.520</w:t>
            </w:r>
          </w:p>
        </w:tc>
        <w:tc>
          <w:tcPr>
            <w:tcW w:w="0" w:type="auto"/>
            <w:tcBorders>
              <w:top w:val="single" w:sz="6" w:space="0" w:color="DDDDDD"/>
            </w:tcBorders>
            <w:shd w:val="clear" w:color="auto" w:fill="F7F7F7"/>
            <w:vAlign w:val="center"/>
            <w:hideMark/>
          </w:tcPr>
          <w:p w14:paraId="6472BB53"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(.276)</w:t>
            </w:r>
          </w:p>
        </w:tc>
        <w:tc>
          <w:tcPr>
            <w:tcW w:w="0" w:type="auto"/>
            <w:tcBorders>
              <w:top w:val="single" w:sz="6" w:space="0" w:color="DDDDDD"/>
            </w:tcBorders>
            <w:shd w:val="clear" w:color="auto" w:fill="F7F7F7"/>
            <w:vAlign w:val="center"/>
            <w:hideMark/>
          </w:tcPr>
          <w:p w14:paraId="20893CE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−.174</w:t>
            </w:r>
            <w:hyperlink r:id="rId210" w:anchor="table-fn6-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shd w:val="clear" w:color="auto" w:fill="F7F7F7"/>
            <w:vAlign w:val="center"/>
            <w:hideMark/>
          </w:tcPr>
          <w:p w14:paraId="4BF1B33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(.062)</w:t>
            </w:r>
          </w:p>
        </w:tc>
        <w:tc>
          <w:tcPr>
            <w:tcW w:w="0" w:type="auto"/>
            <w:tcBorders>
              <w:top w:val="single" w:sz="6" w:space="0" w:color="DDDDDD"/>
            </w:tcBorders>
            <w:shd w:val="clear" w:color="auto" w:fill="F7F7F7"/>
            <w:vAlign w:val="center"/>
            <w:hideMark/>
          </w:tcPr>
          <w:p w14:paraId="1275549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−.089</w:t>
            </w:r>
          </w:p>
        </w:tc>
      </w:tr>
      <w:tr w:rsidR="00106B83" w:rsidRPr="00106B83" w14:paraId="5394D005" w14:textId="77777777" w:rsidTr="00106B83">
        <w:trPr>
          <w:tblCellSpacing w:w="15" w:type="dxa"/>
        </w:trPr>
        <w:tc>
          <w:tcPr>
            <w:tcW w:w="0" w:type="auto"/>
            <w:tcBorders>
              <w:top w:val="single" w:sz="6" w:space="0" w:color="DDDDDD"/>
            </w:tcBorders>
            <w:vAlign w:val="center"/>
            <w:hideMark/>
          </w:tcPr>
          <w:p w14:paraId="2DB5C741"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Age</w:t>
            </w:r>
          </w:p>
        </w:tc>
        <w:tc>
          <w:tcPr>
            <w:tcW w:w="0" w:type="auto"/>
            <w:tcBorders>
              <w:top w:val="single" w:sz="6" w:space="0" w:color="DDDDDD"/>
            </w:tcBorders>
            <w:vAlign w:val="center"/>
            <w:hideMark/>
          </w:tcPr>
          <w:p w14:paraId="31A9D74A"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1.003</w:t>
            </w:r>
          </w:p>
        </w:tc>
        <w:tc>
          <w:tcPr>
            <w:tcW w:w="0" w:type="auto"/>
            <w:tcBorders>
              <w:top w:val="single" w:sz="6" w:space="0" w:color="DDDDDD"/>
            </w:tcBorders>
            <w:vAlign w:val="center"/>
            <w:hideMark/>
          </w:tcPr>
          <w:p w14:paraId="5BB5011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(.011)</w:t>
            </w:r>
          </w:p>
        </w:tc>
        <w:tc>
          <w:tcPr>
            <w:tcW w:w="0" w:type="auto"/>
            <w:tcBorders>
              <w:top w:val="single" w:sz="6" w:space="0" w:color="DDDDDD"/>
            </w:tcBorders>
            <w:vAlign w:val="center"/>
            <w:hideMark/>
          </w:tcPr>
          <w:p w14:paraId="49F75C3E"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1.011</w:t>
            </w:r>
          </w:p>
        </w:tc>
        <w:tc>
          <w:tcPr>
            <w:tcW w:w="0" w:type="auto"/>
            <w:tcBorders>
              <w:top w:val="single" w:sz="6" w:space="0" w:color="DDDDDD"/>
            </w:tcBorders>
            <w:vAlign w:val="center"/>
            <w:hideMark/>
          </w:tcPr>
          <w:p w14:paraId="319A99A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(.013)</w:t>
            </w:r>
          </w:p>
        </w:tc>
        <w:tc>
          <w:tcPr>
            <w:tcW w:w="0" w:type="auto"/>
            <w:tcBorders>
              <w:top w:val="single" w:sz="6" w:space="0" w:color="DDDDDD"/>
            </w:tcBorders>
            <w:vAlign w:val="center"/>
            <w:hideMark/>
          </w:tcPr>
          <w:p w14:paraId="1305816C"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1.006</w:t>
            </w:r>
          </w:p>
        </w:tc>
        <w:tc>
          <w:tcPr>
            <w:tcW w:w="0" w:type="auto"/>
            <w:tcBorders>
              <w:top w:val="single" w:sz="6" w:space="0" w:color="DDDDDD"/>
            </w:tcBorders>
            <w:vAlign w:val="center"/>
            <w:hideMark/>
          </w:tcPr>
          <w:p w14:paraId="5542D956"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(.011)</w:t>
            </w:r>
          </w:p>
        </w:tc>
        <w:tc>
          <w:tcPr>
            <w:tcW w:w="0" w:type="auto"/>
            <w:tcBorders>
              <w:top w:val="single" w:sz="6" w:space="0" w:color="DDDDDD"/>
            </w:tcBorders>
            <w:vAlign w:val="center"/>
            <w:hideMark/>
          </w:tcPr>
          <w:p w14:paraId="00988E90"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.005</w:t>
            </w:r>
            <w:hyperlink r:id="rId211" w:anchor="table-fn6-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vAlign w:val="center"/>
            <w:hideMark/>
          </w:tcPr>
          <w:p w14:paraId="77A1E760"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(.003)</w:t>
            </w:r>
          </w:p>
        </w:tc>
        <w:tc>
          <w:tcPr>
            <w:tcW w:w="0" w:type="auto"/>
            <w:tcBorders>
              <w:top w:val="single" w:sz="6" w:space="0" w:color="DDDDDD"/>
            </w:tcBorders>
            <w:vAlign w:val="center"/>
            <w:hideMark/>
          </w:tcPr>
          <w:p w14:paraId="19364F81"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.067</w:t>
            </w:r>
          </w:p>
        </w:tc>
      </w:tr>
      <w:tr w:rsidR="00106B83" w:rsidRPr="00106B83" w14:paraId="642E4EBB" w14:textId="77777777" w:rsidTr="00106B83">
        <w:trPr>
          <w:tblCellSpacing w:w="15" w:type="dxa"/>
        </w:trPr>
        <w:tc>
          <w:tcPr>
            <w:tcW w:w="0" w:type="auto"/>
            <w:tcBorders>
              <w:top w:val="single" w:sz="6" w:space="0" w:color="DDDDDD"/>
            </w:tcBorders>
            <w:shd w:val="clear" w:color="auto" w:fill="F7F7F7"/>
            <w:vAlign w:val="center"/>
            <w:hideMark/>
          </w:tcPr>
          <w:p w14:paraId="0EFD2696"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kern w:val="0"/>
                <w:sz w:val="24"/>
                <w14:ligatures w14:val="none"/>
              </w:rPr>
              <w:t>Male</w:t>
            </w:r>
          </w:p>
        </w:tc>
        <w:tc>
          <w:tcPr>
            <w:tcW w:w="0" w:type="auto"/>
            <w:tcBorders>
              <w:top w:val="single" w:sz="6" w:space="0" w:color="DDDDDD"/>
            </w:tcBorders>
            <w:shd w:val="clear" w:color="auto" w:fill="F7F7F7"/>
            <w:vAlign w:val="center"/>
            <w:hideMark/>
          </w:tcPr>
          <w:p w14:paraId="20BE090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1.097</w:t>
            </w:r>
          </w:p>
        </w:tc>
        <w:tc>
          <w:tcPr>
            <w:tcW w:w="0" w:type="auto"/>
            <w:tcBorders>
              <w:top w:val="single" w:sz="6" w:space="0" w:color="DDDDDD"/>
            </w:tcBorders>
            <w:shd w:val="clear" w:color="auto" w:fill="F7F7F7"/>
            <w:vAlign w:val="center"/>
            <w:hideMark/>
          </w:tcPr>
          <w:p w14:paraId="356C5444"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(.242)</w:t>
            </w:r>
          </w:p>
        </w:tc>
        <w:tc>
          <w:tcPr>
            <w:tcW w:w="0" w:type="auto"/>
            <w:tcBorders>
              <w:top w:val="single" w:sz="6" w:space="0" w:color="DDDDDD"/>
            </w:tcBorders>
            <w:shd w:val="clear" w:color="auto" w:fill="F7F7F7"/>
            <w:vAlign w:val="center"/>
            <w:hideMark/>
          </w:tcPr>
          <w:p w14:paraId="17E9739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0.482</w:t>
            </w:r>
            <w:hyperlink r:id="rId212" w:anchor="table-fn6-0093854820913585" w:history="1">
              <w:r w:rsidRPr="00106B83">
                <w:rPr>
                  <w:rFonts w:ascii="Times New Roman" w:hAnsi="Times New Roman"/>
                  <w:color w:val="046FF8"/>
                  <w:kern w:val="0"/>
                  <w:sz w:val="24"/>
                  <w:u w:val="single"/>
                  <w14:ligatures w14:val="none"/>
                </w:rPr>
                <w:t>**</w:t>
              </w:r>
            </w:hyperlink>
          </w:p>
        </w:tc>
        <w:tc>
          <w:tcPr>
            <w:tcW w:w="0" w:type="auto"/>
            <w:tcBorders>
              <w:top w:val="single" w:sz="6" w:space="0" w:color="DDDDDD"/>
            </w:tcBorders>
            <w:shd w:val="clear" w:color="auto" w:fill="F7F7F7"/>
            <w:vAlign w:val="center"/>
            <w:hideMark/>
          </w:tcPr>
          <w:p w14:paraId="72036AB9"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(.280)</w:t>
            </w:r>
          </w:p>
        </w:tc>
        <w:tc>
          <w:tcPr>
            <w:tcW w:w="0" w:type="auto"/>
            <w:tcBorders>
              <w:top w:val="single" w:sz="6" w:space="0" w:color="DDDDDD"/>
            </w:tcBorders>
            <w:shd w:val="clear" w:color="auto" w:fill="F7F7F7"/>
            <w:vAlign w:val="center"/>
            <w:hideMark/>
          </w:tcPr>
          <w:p w14:paraId="08222E60"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0.811</w:t>
            </w:r>
          </w:p>
        </w:tc>
        <w:tc>
          <w:tcPr>
            <w:tcW w:w="0" w:type="auto"/>
            <w:tcBorders>
              <w:top w:val="single" w:sz="6" w:space="0" w:color="DDDDDD"/>
            </w:tcBorders>
            <w:shd w:val="clear" w:color="auto" w:fill="F7F7F7"/>
            <w:vAlign w:val="center"/>
            <w:hideMark/>
          </w:tcPr>
          <w:p w14:paraId="2259D36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(.250)</w:t>
            </w:r>
          </w:p>
        </w:tc>
        <w:tc>
          <w:tcPr>
            <w:tcW w:w="0" w:type="auto"/>
            <w:tcBorders>
              <w:top w:val="single" w:sz="6" w:space="0" w:color="DDDDDD"/>
            </w:tcBorders>
            <w:shd w:val="clear" w:color="auto" w:fill="F7F7F7"/>
            <w:vAlign w:val="center"/>
            <w:hideMark/>
          </w:tcPr>
          <w:p w14:paraId="6B0F9E35"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.024</w:t>
            </w:r>
          </w:p>
        </w:tc>
        <w:tc>
          <w:tcPr>
            <w:tcW w:w="0" w:type="auto"/>
            <w:tcBorders>
              <w:top w:val="single" w:sz="6" w:space="0" w:color="DDDDDD"/>
            </w:tcBorders>
            <w:shd w:val="clear" w:color="auto" w:fill="F7F7F7"/>
            <w:vAlign w:val="center"/>
            <w:hideMark/>
          </w:tcPr>
          <w:p w14:paraId="5135534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(.057)</w:t>
            </w:r>
          </w:p>
        </w:tc>
        <w:tc>
          <w:tcPr>
            <w:tcW w:w="0" w:type="auto"/>
            <w:tcBorders>
              <w:top w:val="single" w:sz="6" w:space="0" w:color="DDDDDD"/>
            </w:tcBorders>
            <w:shd w:val="clear" w:color="auto" w:fill="F7F7F7"/>
            <w:vAlign w:val="center"/>
            <w:hideMark/>
          </w:tcPr>
          <w:p w14:paraId="05C7FC7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.013</w:t>
            </w:r>
          </w:p>
        </w:tc>
      </w:tr>
      <w:tr w:rsidR="00106B83" w:rsidRPr="00106B83" w14:paraId="0BCBE554" w14:textId="77777777" w:rsidTr="00106B83">
        <w:trPr>
          <w:tblCellSpacing w:w="15" w:type="dxa"/>
        </w:trPr>
        <w:tc>
          <w:tcPr>
            <w:tcW w:w="0" w:type="auto"/>
            <w:tcBorders>
              <w:top w:val="single" w:sz="6" w:space="0" w:color="DDDDDD"/>
            </w:tcBorders>
            <w:vAlign w:val="center"/>
            <w:hideMark/>
          </w:tcPr>
          <w:p w14:paraId="5F8F376B" w14:textId="77777777" w:rsidR="00106B83" w:rsidRPr="00106B83" w:rsidRDefault="00106B83" w:rsidP="00106B83">
            <w:pPr>
              <w:rPr>
                <w:rFonts w:ascii="Times New Roman" w:hAnsi="Times New Roman"/>
                <w:kern w:val="0"/>
                <w:sz w:val="24"/>
                <w14:ligatures w14:val="none"/>
              </w:rPr>
            </w:pPr>
            <w:r w:rsidRPr="00106B83">
              <w:rPr>
                <w:rFonts w:ascii="Times New Roman" w:hAnsi="Times New Roman"/>
                <w:i/>
                <w:iCs/>
                <w:kern w:val="0"/>
                <w:sz w:val="24"/>
                <w14:ligatures w14:val="none"/>
              </w:rPr>
              <w:t>R</w:t>
            </w:r>
            <w:r w:rsidRPr="00106B83">
              <w:rPr>
                <w:rFonts w:ascii="Times New Roman" w:hAnsi="Times New Roman"/>
                <w:kern w:val="0"/>
                <w:sz w:val="16"/>
                <w:szCs w:val="16"/>
                <w:vertAlign w:val="superscript"/>
                <w14:ligatures w14:val="none"/>
              </w:rPr>
              <w:t>2</w:t>
            </w:r>
          </w:p>
        </w:tc>
        <w:tc>
          <w:tcPr>
            <w:tcW w:w="0" w:type="auto"/>
            <w:gridSpan w:val="2"/>
            <w:tcBorders>
              <w:top w:val="single" w:sz="6" w:space="0" w:color="DDDDDD"/>
            </w:tcBorders>
            <w:vAlign w:val="center"/>
            <w:hideMark/>
          </w:tcPr>
          <w:p w14:paraId="144DFBC2"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.156</w:t>
            </w:r>
          </w:p>
        </w:tc>
        <w:tc>
          <w:tcPr>
            <w:tcW w:w="0" w:type="auto"/>
            <w:gridSpan w:val="2"/>
            <w:tcBorders>
              <w:top w:val="single" w:sz="6" w:space="0" w:color="DDDDDD"/>
            </w:tcBorders>
            <w:vAlign w:val="center"/>
            <w:hideMark/>
          </w:tcPr>
          <w:p w14:paraId="0EC00CEF"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.124</w:t>
            </w:r>
          </w:p>
        </w:tc>
        <w:tc>
          <w:tcPr>
            <w:tcW w:w="0" w:type="auto"/>
            <w:gridSpan w:val="2"/>
            <w:tcBorders>
              <w:top w:val="single" w:sz="6" w:space="0" w:color="DDDDDD"/>
            </w:tcBorders>
            <w:vAlign w:val="center"/>
            <w:hideMark/>
          </w:tcPr>
          <w:p w14:paraId="78BCDCED"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.197</w:t>
            </w:r>
          </w:p>
        </w:tc>
        <w:tc>
          <w:tcPr>
            <w:tcW w:w="0" w:type="auto"/>
            <w:gridSpan w:val="3"/>
            <w:tcBorders>
              <w:top w:val="single" w:sz="6" w:space="0" w:color="DDDDDD"/>
            </w:tcBorders>
            <w:vAlign w:val="center"/>
            <w:hideMark/>
          </w:tcPr>
          <w:p w14:paraId="00746178" w14:textId="77777777" w:rsidR="00106B83" w:rsidRPr="00106B83" w:rsidRDefault="00106B83" w:rsidP="00106B83">
            <w:pPr>
              <w:jc w:val="center"/>
              <w:rPr>
                <w:rFonts w:ascii="Times New Roman" w:hAnsi="Times New Roman"/>
                <w:kern w:val="0"/>
                <w:sz w:val="24"/>
                <w14:ligatures w14:val="none"/>
              </w:rPr>
            </w:pPr>
            <w:r w:rsidRPr="00106B83">
              <w:rPr>
                <w:rFonts w:ascii="Times New Roman" w:hAnsi="Times New Roman"/>
                <w:kern w:val="0"/>
                <w:sz w:val="24"/>
                <w14:ligatures w14:val="none"/>
              </w:rPr>
              <w:t>.654</w:t>
            </w:r>
          </w:p>
        </w:tc>
      </w:tr>
    </w:tbl>
    <w:p w14:paraId="28298BDA" w14:textId="77777777" w:rsidR="00106B83" w:rsidRPr="00106B83" w:rsidRDefault="00106B83" w:rsidP="00106B83">
      <w:pPr>
        <w:shd w:val="clear" w:color="auto" w:fill="FFFFFF"/>
        <w:rPr>
          <w:rFonts w:cs="Open Sans"/>
          <w:color w:val="888888"/>
          <w:kern w:val="0"/>
          <w:sz w:val="24"/>
          <w14:ligatures w14:val="none"/>
        </w:rPr>
      </w:pPr>
      <w:r w:rsidRPr="00106B83">
        <w:rPr>
          <w:rFonts w:cs="Open Sans"/>
          <w:i/>
          <w:iCs/>
          <w:color w:val="888888"/>
          <w:kern w:val="0"/>
          <w:sz w:val="24"/>
          <w14:ligatures w14:val="none"/>
        </w:rPr>
        <w:t>Note.</w:t>
      </w:r>
      <w:r w:rsidRPr="00106B83">
        <w:rPr>
          <w:rFonts w:cs="Open Sans"/>
          <w:color w:val="888888"/>
          <w:kern w:val="0"/>
          <w:sz w:val="24"/>
          <w14:ligatures w14:val="none"/>
        </w:rPr>
        <w:t> Models contain only White respondents (</w:t>
      </w:r>
      <w:r w:rsidRPr="00106B83">
        <w:rPr>
          <w:rFonts w:cs="Open Sans"/>
          <w:i/>
          <w:iCs/>
          <w:color w:val="888888"/>
          <w:kern w:val="0"/>
          <w:sz w:val="24"/>
          <w14:ligatures w14:val="none"/>
        </w:rPr>
        <w:t>n</w:t>
      </w:r>
      <w:r w:rsidRPr="00106B83">
        <w:rPr>
          <w:rFonts w:cs="Open Sans"/>
          <w:color w:val="888888"/>
          <w:kern w:val="0"/>
          <w:sz w:val="24"/>
          <w14:ligatures w14:val="none"/>
        </w:rPr>
        <w:t> = 396). MTurk = Mechanical Turk.</w:t>
      </w:r>
    </w:p>
    <w:p w14:paraId="5CE70259" w14:textId="77777777" w:rsidR="00106B83" w:rsidRPr="00106B83" w:rsidRDefault="00106B83" w:rsidP="00106B83">
      <w:pPr>
        <w:shd w:val="clear" w:color="auto" w:fill="888888"/>
        <w:jc w:val="center"/>
        <w:rPr>
          <w:rFonts w:cs="Open Sans"/>
          <w:b/>
          <w:bCs/>
          <w:color w:val="FFFFFF"/>
          <w:kern w:val="0"/>
          <w:sz w:val="24"/>
          <w14:ligatures w14:val="none"/>
        </w:rPr>
      </w:pPr>
      <w:r w:rsidRPr="00106B83">
        <w:rPr>
          <w:rFonts w:cs="Open Sans"/>
          <w:b/>
          <w:bCs/>
          <w:color w:val="FFFFFF"/>
          <w:kern w:val="0"/>
          <w:sz w:val="24"/>
          <w14:ligatures w14:val="none"/>
        </w:rPr>
        <w:t>*</w:t>
      </w:r>
    </w:p>
    <w:p w14:paraId="2551F1DA" w14:textId="77777777" w:rsidR="00106B83" w:rsidRPr="00106B83" w:rsidRDefault="00106B83" w:rsidP="00106B83">
      <w:pPr>
        <w:shd w:val="clear" w:color="auto" w:fill="FFFFFF"/>
        <w:rPr>
          <w:rFonts w:cs="Open Sans"/>
          <w:color w:val="888888"/>
          <w:kern w:val="0"/>
          <w:sz w:val="24"/>
          <w14:ligatures w14:val="none"/>
        </w:rPr>
      </w:pPr>
      <w:r w:rsidRPr="00106B83">
        <w:rPr>
          <w:rFonts w:cs="Open Sans"/>
          <w:i/>
          <w:iCs/>
          <w:color w:val="888888"/>
          <w:kern w:val="0"/>
          <w:sz w:val="24"/>
          <w14:ligatures w14:val="none"/>
        </w:rPr>
        <w:t>p</w:t>
      </w:r>
      <w:r w:rsidRPr="00106B83">
        <w:rPr>
          <w:rFonts w:cs="Open Sans"/>
          <w:color w:val="888888"/>
          <w:kern w:val="0"/>
          <w:sz w:val="24"/>
          <w14:ligatures w14:val="none"/>
        </w:rPr>
        <w:t> &lt; .05. **</w:t>
      </w:r>
      <w:r w:rsidRPr="00106B83">
        <w:rPr>
          <w:rFonts w:cs="Open Sans"/>
          <w:i/>
          <w:iCs/>
          <w:color w:val="888888"/>
          <w:kern w:val="0"/>
          <w:sz w:val="24"/>
          <w14:ligatures w14:val="none"/>
        </w:rPr>
        <w:t>p</w:t>
      </w:r>
      <w:r w:rsidRPr="00106B83">
        <w:rPr>
          <w:rFonts w:cs="Open Sans"/>
          <w:color w:val="888888"/>
          <w:kern w:val="0"/>
          <w:sz w:val="24"/>
          <w14:ligatures w14:val="none"/>
        </w:rPr>
        <w:t> &lt; .01. ***</w:t>
      </w:r>
      <w:r w:rsidRPr="00106B83">
        <w:rPr>
          <w:rFonts w:cs="Open Sans"/>
          <w:i/>
          <w:iCs/>
          <w:color w:val="888888"/>
          <w:kern w:val="0"/>
          <w:sz w:val="24"/>
          <w14:ligatures w14:val="none"/>
        </w:rPr>
        <w:t>p</w:t>
      </w:r>
      <w:r w:rsidRPr="00106B83">
        <w:rPr>
          <w:rFonts w:cs="Open Sans"/>
          <w:color w:val="888888"/>
          <w:kern w:val="0"/>
          <w:sz w:val="24"/>
          <w14:ligatures w14:val="none"/>
        </w:rPr>
        <w:t> &lt; .001 (two-tailed).</w:t>
      </w:r>
    </w:p>
    <w:p w14:paraId="53B80E5D" w14:textId="77777777" w:rsidR="00106B83" w:rsidRPr="00106B83" w:rsidRDefault="00106B83" w:rsidP="00106B83">
      <w:pPr>
        <w:spacing w:before="100" w:beforeAutospacing="1" w:after="100" w:afterAutospacing="1"/>
        <w:outlineLvl w:val="1"/>
        <w:rPr>
          <w:rFonts w:ascii="Arial" w:hAnsi="Arial" w:cs="Arial"/>
          <w:color w:val="555555"/>
          <w:kern w:val="0"/>
          <w:sz w:val="36"/>
          <w:szCs w:val="36"/>
          <w14:ligatures w14:val="none"/>
        </w:rPr>
      </w:pPr>
      <w:r w:rsidRPr="00106B83">
        <w:rPr>
          <w:rFonts w:ascii="Arial" w:hAnsi="Arial" w:cs="Arial"/>
          <w:color w:val="555555"/>
          <w:kern w:val="0"/>
          <w:sz w:val="36"/>
          <w:szCs w:val="36"/>
          <w14:ligatures w14:val="none"/>
        </w:rPr>
        <w:t>Discussion</w:t>
      </w:r>
    </w:p>
    <w:p w14:paraId="570BDB47"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Not that long ago, research confirming the results of important prior studies was devalued based on the rationale that “we already know this” or “this relationship has already been shown.” In the past decade, however, there has been a growing recognition in both the sciences generally and in criminology in particular that a replication crisis may well exist (see, e.g., </w:t>
      </w:r>
      <w:hyperlink r:id="rId213" w:anchor="bibr35-0093854820913585" w:history="1">
        <w:r w:rsidRPr="00106B83">
          <w:rPr>
            <w:rFonts w:cs="Open Sans"/>
            <w:color w:val="046FF8"/>
            <w:kern w:val="0"/>
            <w:sz w:val="24"/>
            <w:u w:val="single"/>
            <w14:ligatures w14:val="none"/>
          </w:rPr>
          <w:t>Ioannidis, 2005</w:t>
        </w:r>
      </w:hyperlink>
      <w:r w:rsidRPr="00106B83">
        <w:rPr>
          <w:rFonts w:cs="Open Sans"/>
          <w:color w:val="333333"/>
          <w:kern w:val="0"/>
          <w:sz w:val="24"/>
          <w14:ligatures w14:val="none"/>
        </w:rPr>
        <w:t>; </w:t>
      </w:r>
      <w:hyperlink r:id="rId214" w:anchor="bibr41-0093854820913585" w:history="1">
        <w:r w:rsidRPr="00106B83">
          <w:rPr>
            <w:rFonts w:cs="Open Sans"/>
            <w:color w:val="046FF8"/>
            <w:kern w:val="0"/>
            <w:sz w:val="24"/>
            <w:u w:val="single"/>
            <w14:ligatures w14:val="none"/>
          </w:rPr>
          <w:t>Kulig et al., 2017</w:t>
        </w:r>
      </w:hyperlink>
      <w:r w:rsidRPr="00106B83">
        <w:rPr>
          <w:rFonts w:cs="Open Sans"/>
          <w:color w:val="333333"/>
          <w:kern w:val="0"/>
          <w:sz w:val="24"/>
          <w14:ligatures w14:val="none"/>
        </w:rPr>
        <w:t>). For a host of reasons—both statistical and contextual—reported results in any single study might prove idiosyncratic and not reflect empirical reality. Organized skepticism, a core norm of the scientific enterprise, advises that provisional findings be tested for their stability. The current study is an effort that takes on significance in this regard by reexamining </w:t>
      </w:r>
      <w:hyperlink r:id="rId215" w:anchor="bibr48-0093854820913585" w:history="1">
        <w:r w:rsidRPr="00106B83">
          <w:rPr>
            <w:rFonts w:cs="Open Sans"/>
            <w:color w:val="046FF8"/>
            <w:kern w:val="0"/>
            <w:sz w:val="24"/>
            <w:u w:val="single"/>
            <w14:ligatures w14:val="none"/>
          </w:rPr>
          <w:t>Maruna and King’s (2009)</w:t>
        </w:r>
      </w:hyperlink>
      <w:r w:rsidRPr="00106B83">
        <w:rPr>
          <w:rFonts w:cs="Open Sans"/>
          <w:color w:val="333333"/>
          <w:kern w:val="0"/>
          <w:sz w:val="24"/>
          <w14:ligatures w14:val="none"/>
        </w:rPr>
        <w:t> finding that belief in redeemability is a strong predictor of public punitiveness.</w:t>
      </w:r>
    </w:p>
    <w:p w14:paraId="7CE8164B"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Thus, using a near-identical measure of redeemability, we assessed whether this belief in the impermanence of criminality—that is, the conviction that persons who have broken the law have the capacity to become law-abiding—reduces support for punishment. Importantly, the current study was conducted a decade later and, in another country (the United States rather than the United Kingdom). </w:t>
      </w:r>
      <w:hyperlink r:id="rId216" w:anchor="bibr48-0093854820913585" w:history="1">
        <w:r w:rsidRPr="00106B83">
          <w:rPr>
            <w:rFonts w:cs="Open Sans"/>
            <w:color w:val="046FF8"/>
            <w:kern w:val="0"/>
            <w:sz w:val="24"/>
            <w:u w:val="single"/>
            <w14:ligatures w14:val="none"/>
          </w:rPr>
          <w:t>Maruna and King’s (2009)</w:t>
        </w:r>
      </w:hyperlink>
      <w:r w:rsidRPr="00106B83">
        <w:rPr>
          <w:rFonts w:cs="Open Sans"/>
          <w:color w:val="333333"/>
          <w:kern w:val="0"/>
          <w:sz w:val="24"/>
          <w14:ligatures w14:val="none"/>
        </w:rPr>
        <w:t xml:space="preserve"> key finding that redeemability decreases punitiveness was replicated in a national-level sample (weighted to be representative of the American public) and in an MTurk national sample. In retrospect, this result makes “common sense.” If respondents hold the belief that people who committed offenses are permanently criminal, if not dangerous, then punishment serves the purpose of retribution (exacting just deserts), protection (incapacitation), and coercion </w:t>
      </w:r>
      <w:r w:rsidRPr="00106B83">
        <w:rPr>
          <w:rFonts w:cs="Open Sans"/>
          <w:color w:val="333333"/>
          <w:kern w:val="0"/>
          <w:sz w:val="24"/>
          <w14:ligatures w14:val="none"/>
        </w:rPr>
        <w:lastRenderedPageBreak/>
        <w:t>(compelling conformity through nasty means). By contrast, if the hope exists that such individuals can change for the better, then the perceived utility of punishment evaporates. No longer viewed as “the other,” the challenge now becomes how the correctional system can help those with good still within them to live a good life.</w:t>
      </w:r>
    </w:p>
    <w:p w14:paraId="6EAC43D6"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In this vein, it is predictable that those holding redeemability beliefs would possess a rehabilitation-oriented correctional ideology. Since the founding of the American penitentiary in the 1820s, the conviction that those considered to be wayward could be saved from a life in crime has justified reformative correctional practices (</w:t>
      </w:r>
      <w:hyperlink r:id="rId217" w:anchor="bibr19-0093854820913585" w:history="1">
        <w:r w:rsidRPr="00106B83">
          <w:rPr>
            <w:rFonts w:cs="Open Sans"/>
            <w:color w:val="046FF8"/>
            <w:kern w:val="0"/>
            <w:sz w:val="24"/>
            <w:u w:val="single"/>
            <w14:ligatures w14:val="none"/>
          </w:rPr>
          <w:t>Cullen &amp; Gilbert, 1982</w:t>
        </w:r>
      </w:hyperlink>
      <w:r w:rsidRPr="00106B83">
        <w:rPr>
          <w:rFonts w:cs="Open Sans"/>
          <w:color w:val="333333"/>
          <w:kern w:val="0"/>
          <w:sz w:val="24"/>
          <w14:ligatures w14:val="none"/>
        </w:rPr>
        <w:t>; </w:t>
      </w:r>
      <w:hyperlink r:id="rId218" w:anchor="bibr66-0093854820913585" w:history="1">
        <w:r w:rsidRPr="00106B83">
          <w:rPr>
            <w:rFonts w:cs="Open Sans"/>
            <w:color w:val="046FF8"/>
            <w:kern w:val="0"/>
            <w:sz w:val="24"/>
            <w:u w:val="single"/>
            <w14:ligatures w14:val="none"/>
          </w:rPr>
          <w:t>Rothman, 1980</w:t>
        </w:r>
      </w:hyperlink>
      <w:r w:rsidRPr="00106B83">
        <w:rPr>
          <w:rFonts w:cs="Open Sans"/>
          <w:color w:val="333333"/>
          <w:kern w:val="0"/>
          <w:sz w:val="24"/>
          <w14:ligatures w14:val="none"/>
        </w:rPr>
        <w:t>). Still, the salience of belief in redeemability as a source of public opinion is seen in the finding that this belief was significantly related to support not only for the global goal of rehabilitation but also for specific policy proposals—including such diverse measures as ban-the-box on employment applications, the expungement of criminal records, and the extension of voting rights of people convicted of a felony. Taken together, these results are empirically remarkable. It appears that belief in redeemability predicts opinions on virtually every correctional policy—whether that is punitive or rehabilitative or whether the survey probes general ideology or specific policy proposals (see also </w:t>
      </w:r>
      <w:hyperlink r:id="rId219" w:anchor="bibr23-0093854820913585" w:history="1">
        <w:r w:rsidRPr="00106B83">
          <w:rPr>
            <w:rFonts w:cs="Open Sans"/>
            <w:color w:val="046FF8"/>
            <w:kern w:val="0"/>
            <w:sz w:val="24"/>
            <w:u w:val="single"/>
            <w14:ligatures w14:val="none"/>
          </w:rPr>
          <w:t>Dodd, 2018</w:t>
        </w:r>
      </w:hyperlink>
      <w:r w:rsidRPr="00106B83">
        <w:rPr>
          <w:rFonts w:cs="Open Sans"/>
          <w:color w:val="333333"/>
          <w:kern w:val="0"/>
          <w:sz w:val="24"/>
          <w14:ligatures w14:val="none"/>
        </w:rPr>
        <w:t>; </w:t>
      </w:r>
      <w:hyperlink r:id="rId220" w:anchor="bibr51-0093854820913585" w:history="1">
        <w:r w:rsidRPr="00106B83">
          <w:rPr>
            <w:rFonts w:cs="Open Sans"/>
            <w:color w:val="046FF8"/>
            <w:kern w:val="0"/>
            <w:sz w:val="24"/>
            <w:u w:val="single"/>
            <w14:ligatures w14:val="none"/>
          </w:rPr>
          <w:t>Moss et al., 2019</w:t>
        </w:r>
      </w:hyperlink>
      <w:r w:rsidRPr="00106B83">
        <w:rPr>
          <w:rFonts w:cs="Open Sans"/>
          <w:color w:val="333333"/>
          <w:kern w:val="0"/>
          <w:sz w:val="24"/>
          <w14:ligatures w14:val="none"/>
        </w:rPr>
        <w:t>; </w:t>
      </w:r>
      <w:hyperlink r:id="rId221" w:anchor="bibr57-0093854820913585" w:history="1">
        <w:r w:rsidRPr="00106B83">
          <w:rPr>
            <w:rFonts w:cs="Open Sans"/>
            <w:color w:val="046FF8"/>
            <w:kern w:val="0"/>
            <w:sz w:val="24"/>
            <w:u w:val="single"/>
            <w14:ligatures w14:val="none"/>
          </w:rPr>
          <w:t>Ouellette et al., 2017</w:t>
        </w:r>
      </w:hyperlink>
      <w:r w:rsidRPr="00106B83">
        <w:rPr>
          <w:rFonts w:cs="Open Sans"/>
          <w:color w:val="333333"/>
          <w:kern w:val="0"/>
          <w:sz w:val="24"/>
          <w14:ligatures w14:val="none"/>
        </w:rPr>
        <w:t>; </w:t>
      </w:r>
      <w:hyperlink r:id="rId222" w:anchor="bibr64-0093854820913585" w:history="1">
        <w:r w:rsidRPr="00106B83">
          <w:rPr>
            <w:rFonts w:cs="Open Sans"/>
            <w:color w:val="046FF8"/>
            <w:kern w:val="0"/>
            <w:sz w:val="24"/>
            <w:u w:val="single"/>
            <w14:ligatures w14:val="none"/>
          </w:rPr>
          <w:t>Reich, 2017</w:t>
        </w:r>
      </w:hyperlink>
      <w:r w:rsidRPr="00106B83">
        <w:rPr>
          <w:rFonts w:cs="Open Sans"/>
          <w:color w:val="333333"/>
          <w:kern w:val="0"/>
          <w:sz w:val="24"/>
          <w14:ligatures w14:val="none"/>
        </w:rPr>
        <w:t>).</w:t>
      </w:r>
    </w:p>
    <w:p w14:paraId="61B36E0A"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This fact has implications for the future study of public opinion on punitiveness and correctional policy preferences. When primary data are collected, it now seems imperative that a measure of redeemability be included in the analysis, both to avoid a misspecified model and with the intent of further replicating the </w:t>
      </w:r>
      <w:hyperlink r:id="rId223" w:anchor="bibr48-0093854820913585" w:history="1">
        <w:r w:rsidRPr="00106B83">
          <w:rPr>
            <w:rFonts w:cs="Open Sans"/>
            <w:color w:val="046FF8"/>
            <w:kern w:val="0"/>
            <w:sz w:val="24"/>
            <w:u w:val="single"/>
            <w14:ligatures w14:val="none"/>
          </w:rPr>
          <w:t>Maruna and King (2009)</w:t>
        </w:r>
      </w:hyperlink>
      <w:r w:rsidRPr="00106B83">
        <w:rPr>
          <w:rFonts w:cs="Open Sans"/>
          <w:color w:val="333333"/>
          <w:kern w:val="0"/>
          <w:sz w:val="24"/>
          <w14:ligatures w14:val="none"/>
        </w:rPr>
        <w:t> now-classic article. As in any area, however, advances in concept and measurement will need to be forthcoming (see </w:t>
      </w:r>
      <w:hyperlink r:id="rId224" w:anchor="bibr28-0093854820913585" w:history="1">
        <w:r w:rsidRPr="00106B83">
          <w:rPr>
            <w:rFonts w:cs="Open Sans"/>
            <w:color w:val="046FF8"/>
            <w:kern w:val="0"/>
            <w:sz w:val="24"/>
            <w:u w:val="single"/>
            <w14:ligatures w14:val="none"/>
          </w:rPr>
          <w:t>Graham, 2019</w:t>
        </w:r>
      </w:hyperlink>
      <w:r w:rsidRPr="00106B83">
        <w:rPr>
          <w:rFonts w:cs="Open Sans"/>
          <w:color w:val="333333"/>
          <w:kern w:val="0"/>
          <w:sz w:val="24"/>
          <w14:ligatures w14:val="none"/>
        </w:rPr>
        <w:t>). At least two improvements in this line of inquiry merit consideration.</w:t>
      </w:r>
    </w:p>
    <w:p w14:paraId="3B9154DE"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First, we recommend returning to </w:t>
      </w:r>
      <w:hyperlink r:id="rId225" w:anchor="bibr45-0093854820913585" w:history="1">
        <w:r w:rsidRPr="00106B83">
          <w:rPr>
            <w:rFonts w:cs="Open Sans"/>
            <w:color w:val="046FF8"/>
            <w:kern w:val="0"/>
            <w:sz w:val="24"/>
            <w:u w:val="single"/>
            <w14:ligatures w14:val="none"/>
          </w:rPr>
          <w:t>Maruna’s (2001)</w:t>
        </w:r>
      </w:hyperlink>
      <w:r w:rsidRPr="00106B83">
        <w:rPr>
          <w:rFonts w:cs="Open Sans"/>
          <w:color w:val="333333"/>
          <w:kern w:val="0"/>
          <w:sz w:val="24"/>
          <w14:ligatures w14:val="none"/>
        </w:rPr>
        <w:t> </w:t>
      </w:r>
      <w:r w:rsidRPr="00106B83">
        <w:rPr>
          <w:rFonts w:cs="Open Sans"/>
          <w:i/>
          <w:iCs/>
          <w:color w:val="333333"/>
          <w:kern w:val="0"/>
          <w:sz w:val="24"/>
          <w14:ligatures w14:val="none"/>
        </w:rPr>
        <w:t>Making Good</w:t>
      </w:r>
      <w:r w:rsidRPr="00106B83">
        <w:rPr>
          <w:rFonts w:cs="Open Sans"/>
          <w:color w:val="333333"/>
          <w:kern w:val="0"/>
          <w:sz w:val="24"/>
          <w14:ligatures w14:val="none"/>
        </w:rPr>
        <w:t xml:space="preserve"> to capitalize on his analysis not only of redemption scripts (belief in the possibility of change and a good life) but also condemnation scripts (belief in the inevitability of a life in crime). The inclusion of condemnation scripts is relevant because these involve the belief that people who committed offenses are ensnared in life-course-persistent criminal trajectory. Furthermore, if Maruna’s discussion of these scripts is unpacked, it is possible to identify components of narratives about these individuals. For example, with regard to condemnation scripts, three components can be extracted: people who committed offenses are (1) doomed to deviance, (2) constrained by circumstances beyond their control, and (3) are unable to live a boring conventional life when the temptation of immediate gratification awaits. Similarly, with regard to redemption scripts, the discussion alerts us to notions that (1) past acts may have been bad but the person who violated the law—the “real me”—is good, (2) the person now has what it takes to be a good citizen and lead a good life, and (3) </w:t>
      </w:r>
      <w:r w:rsidRPr="00106B83">
        <w:rPr>
          <w:rFonts w:cs="Open Sans"/>
          <w:color w:val="333333"/>
          <w:kern w:val="0"/>
          <w:sz w:val="24"/>
          <w14:ligatures w14:val="none"/>
        </w:rPr>
        <w:lastRenderedPageBreak/>
        <w:t>having experienced the negative consequences of crime while younger, the person now can have a “generative” influence and help others to avoid making the same mistaken choices. Although applied to the subjects in </w:t>
      </w:r>
      <w:hyperlink r:id="rId226" w:anchor="bibr45-0093854820913585" w:history="1">
        <w:r w:rsidRPr="00106B83">
          <w:rPr>
            <w:rFonts w:cs="Open Sans"/>
            <w:color w:val="046FF8"/>
            <w:kern w:val="0"/>
            <w:sz w:val="24"/>
            <w:u w:val="single"/>
            <w14:ligatures w14:val="none"/>
          </w:rPr>
          <w:t>Maruna’s (2001)</w:t>
        </w:r>
      </w:hyperlink>
      <w:r w:rsidRPr="00106B83">
        <w:rPr>
          <w:rFonts w:cs="Open Sans"/>
          <w:color w:val="333333"/>
          <w:kern w:val="0"/>
          <w:sz w:val="24"/>
          <w14:ligatures w14:val="none"/>
        </w:rPr>
        <w:t> work, each of these components can be operationalized and included in a multifaceted measure of public views regarding redeemability.</w:t>
      </w:r>
    </w:p>
    <w:p w14:paraId="51719D51"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Second, also at issue is how openness to redeemability is shaped by who respondents “have in mind” when answering questions that ask about “offenders” in general. Through experiments and factorial design methods, it would be possible to explore how a range of social and criminal characteristics of people who committed offenses affect belief redeemability. Given that race and racial bias are integral to public policy and public opinion (</w:t>
      </w:r>
      <w:hyperlink r:id="rId227" w:anchor="bibr1-0093854820913585" w:history="1">
        <w:r w:rsidRPr="00106B83">
          <w:rPr>
            <w:rFonts w:cs="Open Sans"/>
            <w:color w:val="046FF8"/>
            <w:kern w:val="0"/>
            <w:sz w:val="24"/>
            <w:u w:val="single"/>
            <w14:ligatures w14:val="none"/>
          </w:rPr>
          <w:t>Alexander, 2010</w:t>
        </w:r>
      </w:hyperlink>
      <w:r w:rsidRPr="00106B83">
        <w:rPr>
          <w:rFonts w:cs="Open Sans"/>
          <w:color w:val="333333"/>
          <w:kern w:val="0"/>
          <w:sz w:val="24"/>
          <w14:ligatures w14:val="none"/>
        </w:rPr>
        <w:t>; </w:t>
      </w:r>
      <w:hyperlink r:id="rId228" w:anchor="bibr58-0093854820913585" w:history="1">
        <w:r w:rsidRPr="00106B83">
          <w:rPr>
            <w:rFonts w:cs="Open Sans"/>
            <w:color w:val="046FF8"/>
            <w:kern w:val="0"/>
            <w:sz w:val="24"/>
            <w:u w:val="single"/>
            <w14:ligatures w14:val="none"/>
          </w:rPr>
          <w:t>Pager, 2007</w:t>
        </w:r>
      </w:hyperlink>
      <w:r w:rsidRPr="00106B83">
        <w:rPr>
          <w:rFonts w:cs="Open Sans"/>
          <w:color w:val="333333"/>
          <w:kern w:val="0"/>
          <w:sz w:val="24"/>
          <w14:ligatures w14:val="none"/>
        </w:rPr>
        <w:t>; </w:t>
      </w:r>
      <w:hyperlink r:id="rId229" w:anchor="bibr74-0093854820913585" w:history="1">
        <w:r w:rsidRPr="00106B83">
          <w:rPr>
            <w:rFonts w:cs="Open Sans"/>
            <w:color w:val="046FF8"/>
            <w:kern w:val="0"/>
            <w:sz w:val="24"/>
            <w:u w:val="single"/>
            <w14:ligatures w14:val="none"/>
          </w:rPr>
          <w:t>Tonry, 2011</w:t>
        </w:r>
      </w:hyperlink>
      <w:r w:rsidRPr="00106B83">
        <w:rPr>
          <w:rFonts w:cs="Open Sans"/>
          <w:color w:val="333333"/>
          <w:kern w:val="0"/>
          <w:sz w:val="24"/>
          <w14:ligatures w14:val="none"/>
        </w:rPr>
        <w:t>; </w:t>
      </w:r>
      <w:hyperlink r:id="rId230" w:anchor="bibr75-0093854820913585" w:history="1">
        <w:r w:rsidRPr="00106B83">
          <w:rPr>
            <w:rFonts w:cs="Open Sans"/>
            <w:color w:val="046FF8"/>
            <w:kern w:val="0"/>
            <w:sz w:val="24"/>
            <w:u w:val="single"/>
            <w14:ligatures w14:val="none"/>
          </w:rPr>
          <w:t>Unnever et al., 2008</w:t>
        </w:r>
      </w:hyperlink>
      <w:r w:rsidRPr="00106B83">
        <w:rPr>
          <w:rFonts w:cs="Open Sans"/>
          <w:color w:val="333333"/>
          <w:kern w:val="0"/>
          <w:sz w:val="24"/>
          <w14:ligatures w14:val="none"/>
        </w:rPr>
        <w:t>), any design must incorporate race and ethnicity into the evaluations respondents might make.</w:t>
      </w:r>
    </w:p>
    <w:p w14:paraId="0EAD1002"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A key issue is whether the public will embrace the possibility that people who commit violent offenses, in particular, are capable of reform and returning to society absent of criminogenic risk. “Violent crime is the great divide between punitiveness and nonpunitiveness,” observe </w:t>
      </w:r>
      <w:hyperlink r:id="rId231" w:anchor="bibr18-0093854820913585" w:history="1">
        <w:r w:rsidRPr="00106B83">
          <w:rPr>
            <w:rFonts w:cs="Open Sans"/>
            <w:color w:val="046FF8"/>
            <w:kern w:val="0"/>
            <w:sz w:val="24"/>
            <w:u w:val="single"/>
            <w14:ligatures w14:val="none"/>
          </w:rPr>
          <w:t>Cullen et al. (2000)</w:t>
        </w:r>
      </w:hyperlink>
      <w:r w:rsidRPr="00106B83">
        <w:rPr>
          <w:rFonts w:cs="Open Sans"/>
          <w:color w:val="333333"/>
          <w:kern w:val="0"/>
          <w:sz w:val="24"/>
          <w14:ligatures w14:val="none"/>
        </w:rPr>
        <w:t>, “The American public is risk averse. It sees no reason to ‘take chances’ with offenders who have shown they will physically hurt others” (p. 59). A 2016 national poll (</w:t>
      </w:r>
      <w:r w:rsidRPr="00106B83">
        <w:rPr>
          <w:rFonts w:cs="Open Sans"/>
          <w:i/>
          <w:iCs/>
          <w:color w:val="333333"/>
          <w:kern w:val="0"/>
          <w:sz w:val="24"/>
          <w14:ligatures w14:val="none"/>
        </w:rPr>
        <w:t>n</w:t>
      </w:r>
      <w:r w:rsidRPr="00106B83">
        <w:rPr>
          <w:rFonts w:cs="Open Sans"/>
          <w:color w:val="333333"/>
          <w:kern w:val="0"/>
          <w:sz w:val="24"/>
          <w14:ligatures w14:val="none"/>
        </w:rPr>
        <w:t> = 2,001) by Morning Consult lends credence to this conclusion. The respondents were asked if they would support “reducing prison time” for people who have committed a crime and had “a low risk of committing another crime.” For “non-violent offenders,” 78% supported cutting back sentences, but for “violent offenders,” the support was 29%—a 49 percentage point difference (</w:t>
      </w:r>
      <w:hyperlink r:id="rId232" w:anchor="bibr50-0093854820913585" w:history="1">
        <w:r w:rsidRPr="00106B83">
          <w:rPr>
            <w:rFonts w:cs="Open Sans"/>
            <w:color w:val="046FF8"/>
            <w:kern w:val="0"/>
            <w:sz w:val="24"/>
            <w:u w:val="single"/>
            <w14:ligatures w14:val="none"/>
          </w:rPr>
          <w:t>Morning Consult, 2016</w:t>
        </w:r>
      </w:hyperlink>
      <w:r w:rsidRPr="00106B83">
        <w:rPr>
          <w:rFonts w:cs="Open Sans"/>
          <w:color w:val="333333"/>
          <w:kern w:val="0"/>
          <w:sz w:val="24"/>
          <w14:ligatures w14:val="none"/>
        </w:rPr>
        <w:t>, p. 3). The challenge is that more than half of all people in state prisons are locked up for a violent offense (</w:t>
      </w:r>
      <w:hyperlink r:id="rId233" w:anchor="bibr8-0093854820913585" w:history="1">
        <w:r w:rsidRPr="00106B83">
          <w:rPr>
            <w:rFonts w:cs="Open Sans"/>
            <w:color w:val="046FF8"/>
            <w:kern w:val="0"/>
            <w:sz w:val="24"/>
            <w:u w:val="single"/>
            <w14:ligatures w14:val="none"/>
          </w:rPr>
          <w:t>Bronson &amp; Carson, 2019</w:t>
        </w:r>
      </w:hyperlink>
      <w:r w:rsidRPr="00106B83">
        <w:rPr>
          <w:rFonts w:cs="Open Sans"/>
          <w:color w:val="333333"/>
          <w:kern w:val="0"/>
          <w:sz w:val="24"/>
          <w14:ligatures w14:val="none"/>
        </w:rPr>
        <w:t>). Reversing mass incarceration, thus, will entail the early release of some of these people. The key to doing so might well be showing evidence that these individuals, often years older than when first incarcerated, have shown clear evidence of their redeemability (e.g., completed treatment programs, no violence during their imprisonment). In the popular media, the individuals serving time in prison portrayed in </w:t>
      </w:r>
      <w:r w:rsidRPr="00106B83">
        <w:rPr>
          <w:rFonts w:cs="Open Sans"/>
          <w:i/>
          <w:iCs/>
          <w:color w:val="333333"/>
          <w:kern w:val="0"/>
          <w:sz w:val="24"/>
          <w14:ligatures w14:val="none"/>
        </w:rPr>
        <w:t>Shawshank Redemption</w:t>
      </w:r>
      <w:r w:rsidRPr="00106B83">
        <w:rPr>
          <w:rFonts w:cs="Open Sans"/>
          <w:color w:val="333333"/>
          <w:kern w:val="0"/>
          <w:sz w:val="24"/>
          <w14:ligatures w14:val="none"/>
        </w:rPr>
        <w:t>—most notably the characters Andy Dufresne (Tim Robbins) and Boyd “Red” Redding (Morgan Freeman)—exist as plausible images. It is instructive that </w:t>
      </w:r>
      <w:r w:rsidRPr="00106B83">
        <w:rPr>
          <w:rFonts w:cs="Open Sans"/>
          <w:i/>
          <w:iCs/>
          <w:color w:val="333333"/>
          <w:kern w:val="0"/>
          <w:sz w:val="24"/>
          <w14:ligatures w14:val="none"/>
        </w:rPr>
        <w:t>Shawshank Redemption</w:t>
      </w:r>
      <w:r w:rsidRPr="00106B83">
        <w:rPr>
          <w:rFonts w:cs="Open Sans"/>
          <w:color w:val="333333"/>
          <w:kern w:val="0"/>
          <w:sz w:val="24"/>
          <w14:ligatures w14:val="none"/>
        </w:rPr>
        <w:t> is now the internet’s favorite movie and is ranked as the number one film of all time (ahead of </w:t>
      </w:r>
      <w:r w:rsidRPr="00106B83">
        <w:rPr>
          <w:rFonts w:cs="Open Sans"/>
          <w:i/>
          <w:iCs/>
          <w:color w:val="333333"/>
          <w:kern w:val="0"/>
          <w:sz w:val="24"/>
          <w14:ligatures w14:val="none"/>
        </w:rPr>
        <w:t>The Godfather</w:t>
      </w:r>
      <w:r w:rsidRPr="00106B83">
        <w:rPr>
          <w:rFonts w:cs="Open Sans"/>
          <w:color w:val="333333"/>
          <w:kern w:val="0"/>
          <w:sz w:val="24"/>
          <w14:ligatures w14:val="none"/>
        </w:rPr>
        <w:t>) in polls taken in both the United States and United Kingdom (</w:t>
      </w:r>
      <w:hyperlink r:id="rId234" w:anchor="bibr54-0093854820913585" w:history="1">
        <w:r w:rsidRPr="00106B83">
          <w:rPr>
            <w:rFonts w:cs="Open Sans"/>
            <w:color w:val="046FF8"/>
            <w:kern w:val="0"/>
            <w:sz w:val="24"/>
            <w:u w:val="single"/>
            <w14:ligatures w14:val="none"/>
          </w:rPr>
          <w:t>O’Callaghan, 2017</w:t>
        </w:r>
      </w:hyperlink>
      <w:r w:rsidRPr="00106B83">
        <w:rPr>
          <w:rFonts w:cs="Open Sans"/>
          <w:color w:val="333333"/>
          <w:kern w:val="0"/>
          <w:sz w:val="24"/>
          <w14:ligatures w14:val="none"/>
        </w:rPr>
        <w:t>).</w:t>
      </w:r>
    </w:p>
    <w:p w14:paraId="204BDF91"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 xml:space="preserve">As this discussion suggests, research on redeemability has clear policy implications. As noted previously, it is difficult for anyone entering criminology at this time to comprehend fully the role of the “criminology of the other” in shaping past </w:t>
      </w:r>
      <w:r w:rsidRPr="00106B83">
        <w:rPr>
          <w:rFonts w:cs="Open Sans"/>
          <w:color w:val="333333"/>
          <w:kern w:val="0"/>
          <w:sz w:val="24"/>
          <w14:ligatures w14:val="none"/>
        </w:rPr>
        <w:lastRenderedPageBreak/>
        <w:t>discourse about crime and crime-control policy (</w:t>
      </w:r>
      <w:hyperlink r:id="rId235" w:anchor="bibr27-0093854820913585" w:history="1">
        <w:r w:rsidRPr="00106B83">
          <w:rPr>
            <w:rFonts w:cs="Open Sans"/>
            <w:color w:val="046FF8"/>
            <w:kern w:val="0"/>
            <w:sz w:val="24"/>
            <w:u w:val="single"/>
            <w14:ligatures w14:val="none"/>
          </w:rPr>
          <w:t>Garland, 2001</w:t>
        </w:r>
      </w:hyperlink>
      <w:r w:rsidRPr="00106B83">
        <w:rPr>
          <w:rFonts w:cs="Open Sans"/>
          <w:color w:val="333333"/>
          <w:kern w:val="0"/>
          <w:sz w:val="24"/>
          <w14:ligatures w14:val="none"/>
        </w:rPr>
        <w:t>). These images justified a host of get-tough policies aimed at the “total incarceration” of the wicked and incurable (</w:t>
      </w:r>
      <w:hyperlink r:id="rId236" w:anchor="bibr70-0093854820913585" w:history="1">
        <w:r w:rsidRPr="00106B83">
          <w:rPr>
            <w:rFonts w:cs="Open Sans"/>
            <w:color w:val="046FF8"/>
            <w:kern w:val="0"/>
            <w:sz w:val="24"/>
            <w:u w:val="single"/>
            <w14:ligatures w14:val="none"/>
          </w:rPr>
          <w:t>Simon, 2014</w:t>
        </w:r>
      </w:hyperlink>
      <w:r w:rsidRPr="00106B83">
        <w:rPr>
          <w:rFonts w:cs="Open Sans"/>
          <w:color w:val="333333"/>
          <w:kern w:val="0"/>
          <w:sz w:val="24"/>
          <w14:ligatures w14:val="none"/>
        </w:rPr>
        <w:t>). Especially when attributed to members of the so-called Black underclass, the denial of redeemability led to what </w:t>
      </w:r>
      <w:hyperlink r:id="rId237" w:anchor="bibr69-0093854820913585" w:history="1">
        <w:r w:rsidRPr="00106B83">
          <w:rPr>
            <w:rFonts w:cs="Open Sans"/>
            <w:color w:val="046FF8"/>
            <w:kern w:val="0"/>
            <w:sz w:val="24"/>
            <w:u w:val="single"/>
            <w14:ligatures w14:val="none"/>
          </w:rPr>
          <w:t>Simon (1993</w:t>
        </w:r>
      </w:hyperlink>
      <w:r w:rsidRPr="00106B83">
        <w:rPr>
          <w:rFonts w:cs="Open Sans"/>
          <w:color w:val="333333"/>
          <w:kern w:val="0"/>
          <w:sz w:val="24"/>
          <w14:ligatures w14:val="none"/>
        </w:rPr>
        <w:t>, p. 259) disquietingly identified as “the waste management model,” which deployed surveillance technologies and incapacitation policies that would “allow this population to be maintained securely at the lowest possible cost.” “Expensive techniques of discipline, training, and normalization are not warranted,” observed </w:t>
      </w:r>
      <w:hyperlink r:id="rId238" w:anchor="bibr69-0093854820913585" w:history="1">
        <w:r w:rsidRPr="00106B83">
          <w:rPr>
            <w:rFonts w:cs="Open Sans"/>
            <w:color w:val="046FF8"/>
            <w:kern w:val="0"/>
            <w:sz w:val="24"/>
            <w:u w:val="single"/>
            <w14:ligatures w14:val="none"/>
          </w:rPr>
          <w:t>Simon (1993)</w:t>
        </w:r>
      </w:hyperlink>
      <w:r w:rsidRPr="00106B83">
        <w:rPr>
          <w:rFonts w:cs="Open Sans"/>
          <w:color w:val="333333"/>
          <w:kern w:val="0"/>
          <w:sz w:val="24"/>
          <w14:ligatures w14:val="none"/>
        </w:rPr>
        <w:t>, “if the basic assumption is that there is no realistic potential to alter the offender’s status as toxic waste” (p. 259).</w:t>
      </w:r>
    </w:p>
    <w:p w14:paraId="19CC720E"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If we are indeed at a correctional turning point as some have argued (see, e.g., </w:t>
      </w:r>
      <w:hyperlink r:id="rId239" w:anchor="bibr14-0093854820913585" w:history="1">
        <w:r w:rsidRPr="00106B83">
          <w:rPr>
            <w:rFonts w:cs="Open Sans"/>
            <w:color w:val="046FF8"/>
            <w:kern w:val="0"/>
            <w:sz w:val="24"/>
            <w:u w:val="single"/>
            <w14:ligatures w14:val="none"/>
          </w:rPr>
          <w:t>Clear &amp; Frost, 2014</w:t>
        </w:r>
      </w:hyperlink>
      <w:r w:rsidRPr="00106B83">
        <w:rPr>
          <w:rFonts w:cs="Open Sans"/>
          <w:color w:val="333333"/>
          <w:kern w:val="0"/>
          <w:sz w:val="24"/>
          <w14:ligatures w14:val="none"/>
        </w:rPr>
        <w:t>; </w:t>
      </w:r>
      <w:hyperlink r:id="rId240" w:anchor="bibr59-0093854820913585" w:history="1">
        <w:r w:rsidRPr="00106B83">
          <w:rPr>
            <w:rFonts w:cs="Open Sans"/>
            <w:color w:val="046FF8"/>
            <w:kern w:val="0"/>
            <w:sz w:val="24"/>
            <w:u w:val="single"/>
            <w14:ligatures w14:val="none"/>
          </w:rPr>
          <w:t>Petersilia &amp; Cullen, 2015</w:t>
        </w:r>
      </w:hyperlink>
      <w:r w:rsidRPr="00106B83">
        <w:rPr>
          <w:rFonts w:cs="Open Sans"/>
          <w:color w:val="333333"/>
          <w:kern w:val="0"/>
          <w:sz w:val="24"/>
          <w14:ligatures w14:val="none"/>
        </w:rPr>
        <w:t>), then it is likely that the prevailing rhetoric about people who committed offenses has indeed changed—and can be documented through content analyses of political speeches and news reports and editorials. We should find as well that redeemability beliefs underlie important policy developments such as the now-widespread reentry movement that was initiated around 2004 (</w:t>
      </w:r>
      <w:hyperlink r:id="rId241" w:anchor="bibr37-0093854820913585" w:history="1">
        <w:r w:rsidRPr="00106B83">
          <w:rPr>
            <w:rFonts w:cs="Open Sans"/>
            <w:color w:val="046FF8"/>
            <w:kern w:val="0"/>
            <w:sz w:val="24"/>
            <w:u w:val="single"/>
            <w14:ligatures w14:val="none"/>
          </w:rPr>
          <w:t>Jonson &amp; Cullen, 2015</w:t>
        </w:r>
      </w:hyperlink>
      <w:r w:rsidRPr="00106B83">
        <w:rPr>
          <w:rFonts w:cs="Open Sans"/>
          <w:color w:val="333333"/>
          <w:kern w:val="0"/>
          <w:sz w:val="24"/>
          <w14:ligatures w14:val="none"/>
        </w:rPr>
        <w:t>; </w:t>
      </w:r>
      <w:hyperlink r:id="rId242" w:anchor="bibr49-0093854820913585" w:history="1">
        <w:r w:rsidRPr="00106B83">
          <w:rPr>
            <w:rFonts w:cs="Open Sans"/>
            <w:color w:val="046FF8"/>
            <w:kern w:val="0"/>
            <w:sz w:val="24"/>
            <w:u w:val="single"/>
            <w14:ligatures w14:val="none"/>
          </w:rPr>
          <w:t>Mears &amp; Cochran, 2015</w:t>
        </w:r>
      </w:hyperlink>
      <w:r w:rsidRPr="00106B83">
        <w:rPr>
          <w:rFonts w:cs="Open Sans"/>
          <w:color w:val="333333"/>
          <w:kern w:val="0"/>
          <w:sz w:val="24"/>
          <w14:ligatures w14:val="none"/>
        </w:rPr>
        <w:t>; see also </w:t>
      </w:r>
      <w:hyperlink r:id="rId243" w:anchor="bibr63-0093854820913585" w:history="1">
        <w:r w:rsidRPr="00106B83">
          <w:rPr>
            <w:rFonts w:cs="Open Sans"/>
            <w:color w:val="046FF8"/>
            <w:kern w:val="0"/>
            <w:sz w:val="24"/>
            <w:u w:val="single"/>
            <w14:ligatures w14:val="none"/>
          </w:rPr>
          <w:t>Rade et al., 2018</w:t>
        </w:r>
      </w:hyperlink>
      <w:r w:rsidRPr="00106B83">
        <w:rPr>
          <w:rFonts w:cs="Open Sans"/>
          <w:color w:val="333333"/>
          <w:kern w:val="0"/>
          <w:sz w:val="24"/>
          <w14:ligatures w14:val="none"/>
        </w:rPr>
        <w:t>). Consider, for example, the comments of then-governor of Ohio, Republican </w:t>
      </w:r>
      <w:hyperlink r:id="rId244" w:anchor="bibr38-0093854820913585" w:history="1">
        <w:r w:rsidRPr="00106B83">
          <w:rPr>
            <w:rFonts w:cs="Open Sans"/>
            <w:color w:val="046FF8"/>
            <w:kern w:val="0"/>
            <w:sz w:val="24"/>
            <w:u w:val="single"/>
            <w14:ligatures w14:val="none"/>
          </w:rPr>
          <w:t>John Kasich (2015)</w:t>
        </w:r>
      </w:hyperlink>
      <w:r w:rsidRPr="00106B83">
        <w:rPr>
          <w:rFonts w:cs="Open Sans"/>
          <w:color w:val="333333"/>
          <w:kern w:val="0"/>
          <w:sz w:val="24"/>
          <w14:ligatures w14:val="none"/>
        </w:rPr>
        <w:t> in which he was explaining why he had endorsed progressive policies (e.g., sentencing reform, addiction treatment, reduction in collateral consequences):</w:t>
      </w:r>
    </w:p>
    <w:p w14:paraId="53403549"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Look, redemption is real, second chances are real. We need to not only practice that individually, but we need to practice that collectively . . . We’re all in this together restoring a human being’s hope, opportunity, and purpose. It changes the world.</w:t>
      </w:r>
    </w:p>
    <w:p w14:paraId="6149262E" w14:textId="77777777" w:rsidR="00106B83" w:rsidRPr="00106B83" w:rsidRDefault="00106B83" w:rsidP="00106B83">
      <w:pPr>
        <w:rPr>
          <w:rFonts w:cs="Open Sans"/>
          <w:color w:val="333333"/>
          <w:kern w:val="0"/>
          <w:sz w:val="24"/>
          <w14:ligatures w14:val="none"/>
        </w:rPr>
      </w:pPr>
      <w:r w:rsidRPr="00106B83">
        <w:rPr>
          <w:rFonts w:cs="Open Sans"/>
          <w:color w:val="333333"/>
          <w:kern w:val="0"/>
          <w:sz w:val="24"/>
          <w14:ligatures w14:val="none"/>
        </w:rPr>
        <w:t>Finally, belief in redemption is not only related to punitiveness and support for rehabilitation, the correctional ideological orientations often probed in public opinion studies (</w:t>
      </w:r>
      <w:hyperlink r:id="rId245" w:anchor="bibr18-0093854820913585" w:history="1">
        <w:r w:rsidRPr="00106B83">
          <w:rPr>
            <w:rFonts w:cs="Open Sans"/>
            <w:color w:val="046FF8"/>
            <w:kern w:val="0"/>
            <w:sz w:val="24"/>
            <w:u w:val="single"/>
            <w14:ligatures w14:val="none"/>
          </w:rPr>
          <w:t>Cullen et al., 2000</w:t>
        </w:r>
      </w:hyperlink>
      <w:r w:rsidRPr="00106B83">
        <w:rPr>
          <w:rFonts w:cs="Open Sans"/>
          <w:color w:val="333333"/>
          <w:kern w:val="0"/>
          <w:sz w:val="24"/>
          <w14:ligatures w14:val="none"/>
        </w:rPr>
        <w:t>; </w:t>
      </w:r>
      <w:hyperlink r:id="rId246" w:anchor="bibr48-0093854820913585" w:history="1">
        <w:r w:rsidRPr="00106B83">
          <w:rPr>
            <w:rFonts w:cs="Open Sans"/>
            <w:color w:val="046FF8"/>
            <w:kern w:val="0"/>
            <w:sz w:val="24"/>
            <w:u w:val="single"/>
            <w14:ligatures w14:val="none"/>
          </w:rPr>
          <w:t>Maruna &amp; King, 2009</w:t>
        </w:r>
      </w:hyperlink>
      <w:r w:rsidRPr="00106B83">
        <w:rPr>
          <w:rFonts w:cs="Open Sans"/>
          <w:color w:val="333333"/>
          <w:kern w:val="0"/>
          <w:sz w:val="24"/>
          <w14:ligatures w14:val="none"/>
        </w:rPr>
        <w:t>). As shown in our analyses, this faith that people who committed offenses can change also leads to support for specific policies that would foster the inclusion, rather than the exclusion, of these individuals from society. We focused on ban-the-box, criminal record expungement, and the voting rights of people with a felony conviction. </w:t>
      </w:r>
      <w:hyperlink r:id="rId247" w:anchor="bibr45-0093854820913585" w:history="1">
        <w:r w:rsidRPr="00106B83">
          <w:rPr>
            <w:rFonts w:cs="Open Sans"/>
            <w:color w:val="046FF8"/>
            <w:kern w:val="0"/>
            <w:sz w:val="24"/>
            <w:u w:val="single"/>
            <w14:ligatures w14:val="none"/>
          </w:rPr>
          <w:t>Maruna (2001</w:t>
        </w:r>
      </w:hyperlink>
      <w:r w:rsidRPr="00106B83">
        <w:rPr>
          <w:rFonts w:cs="Open Sans"/>
          <w:color w:val="333333"/>
          <w:kern w:val="0"/>
          <w:sz w:val="24"/>
          <w14:ligatures w14:val="none"/>
        </w:rPr>
        <w:t>, </w:t>
      </w:r>
      <w:hyperlink r:id="rId248" w:anchor="bibr46-0093854820913585" w:history="1">
        <w:r w:rsidRPr="00106B83">
          <w:rPr>
            <w:rFonts w:cs="Open Sans"/>
            <w:color w:val="046FF8"/>
            <w:kern w:val="0"/>
            <w:sz w:val="24"/>
            <w:u w:val="single"/>
            <w14:ligatures w14:val="none"/>
          </w:rPr>
          <w:t>2011a</w:t>
        </w:r>
      </w:hyperlink>
      <w:r w:rsidRPr="00106B83">
        <w:rPr>
          <w:rFonts w:cs="Open Sans"/>
          <w:color w:val="333333"/>
          <w:kern w:val="0"/>
          <w:sz w:val="24"/>
          <w14:ligatures w14:val="none"/>
        </w:rPr>
        <w:t>, </w:t>
      </w:r>
      <w:hyperlink r:id="rId249" w:anchor="bibr47-0093854820913585" w:history="1">
        <w:r w:rsidRPr="00106B83">
          <w:rPr>
            <w:rFonts w:cs="Open Sans"/>
            <w:color w:val="046FF8"/>
            <w:kern w:val="0"/>
            <w:sz w:val="24"/>
            <w:u w:val="single"/>
            <w14:ligatures w14:val="none"/>
          </w:rPr>
          <w:t>2011b</w:t>
        </w:r>
      </w:hyperlink>
      <w:r w:rsidRPr="00106B83">
        <w:rPr>
          <w:rFonts w:cs="Open Sans"/>
          <w:color w:val="333333"/>
          <w:kern w:val="0"/>
          <w:sz w:val="24"/>
          <w14:ligatures w14:val="none"/>
        </w:rPr>
        <w:t>), however, has suggested a next step to this reform—“redemption rituals” or “rehabilitation ceremonies” (see also </w:t>
      </w:r>
      <w:hyperlink r:id="rId250" w:anchor="bibr21-0093854820913585" w:history="1">
        <w:r w:rsidRPr="00106B83">
          <w:rPr>
            <w:rFonts w:cs="Open Sans"/>
            <w:color w:val="046FF8"/>
            <w:kern w:val="0"/>
            <w:sz w:val="24"/>
            <w:u w:val="single"/>
            <w14:ligatures w14:val="none"/>
          </w:rPr>
          <w:t>Cullen et al., 2020</w:t>
        </w:r>
      </w:hyperlink>
      <w:r w:rsidRPr="00106B83">
        <w:rPr>
          <w:rFonts w:cs="Open Sans"/>
          <w:color w:val="333333"/>
          <w:kern w:val="0"/>
          <w:sz w:val="24"/>
          <w14:ligatures w14:val="none"/>
        </w:rPr>
        <w:t>). If public belief in redeemability can become more widespread and intense, then the ideological space would exist to create official ceremonies that would restore to people who committed offenses the legal rights of all American citizens. Thus, the goal would be to translate belief in redeemability into the correctional policy of redemption (</w:t>
      </w:r>
      <w:hyperlink r:id="rId251" w:anchor="bibr21-0093854820913585" w:history="1">
        <w:r w:rsidRPr="00106B83">
          <w:rPr>
            <w:rFonts w:cs="Open Sans"/>
            <w:color w:val="046FF8"/>
            <w:kern w:val="0"/>
            <w:sz w:val="24"/>
            <w:u w:val="single"/>
            <w14:ligatures w14:val="none"/>
          </w:rPr>
          <w:t>Cullen et al., 2020</w:t>
        </w:r>
      </w:hyperlink>
      <w:r w:rsidRPr="00106B83">
        <w:rPr>
          <w:rFonts w:cs="Open Sans"/>
          <w:color w:val="333333"/>
          <w:kern w:val="0"/>
          <w:sz w:val="24"/>
          <w14:ligatures w14:val="none"/>
        </w:rPr>
        <w:t>).</w:t>
      </w:r>
    </w:p>
    <w:p w14:paraId="4E4AABCB" w14:textId="77777777" w:rsidR="00106B83" w:rsidRPr="00106B83" w:rsidRDefault="00106B83" w:rsidP="00106B83">
      <w:pPr>
        <w:rPr>
          <w:rFonts w:ascii="Times New Roman" w:hAnsi="Times New Roman"/>
          <w:kern w:val="0"/>
          <w:sz w:val="24"/>
          <w14:ligatures w14:val="none"/>
        </w:rPr>
      </w:pPr>
    </w:p>
    <w:p w14:paraId="1CA32072" w14:textId="1D5B6233" w:rsidR="00760C6C" w:rsidRDefault="00760C6C" w:rsidP="007229EC"/>
    <w:sectPr w:rsidR="00760C6C" w:rsidSect="00102E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ECCB73" w14:textId="77777777" w:rsidR="00ED6880" w:rsidRDefault="00ED6880" w:rsidP="00DD7C61">
      <w:r>
        <w:separator/>
      </w:r>
    </w:p>
  </w:endnote>
  <w:endnote w:type="continuationSeparator" w:id="0">
    <w:p w14:paraId="67FB5C9F" w14:textId="77777777" w:rsidR="00ED6880" w:rsidRDefault="00ED6880" w:rsidP="00DD7C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88AFC0" w14:textId="77777777" w:rsidR="00ED6880" w:rsidRDefault="00ED6880" w:rsidP="00DD7C61">
      <w:r>
        <w:separator/>
      </w:r>
    </w:p>
  </w:footnote>
  <w:footnote w:type="continuationSeparator" w:id="0">
    <w:p w14:paraId="70F8F5AC" w14:textId="77777777" w:rsidR="00ED6880" w:rsidRDefault="00ED6880" w:rsidP="00DD7C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AB6B08"/>
    <w:multiLevelType w:val="multilevel"/>
    <w:tmpl w:val="D2BA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46CD1"/>
    <w:multiLevelType w:val="multilevel"/>
    <w:tmpl w:val="A322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F5B4F"/>
    <w:multiLevelType w:val="multilevel"/>
    <w:tmpl w:val="7B7A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A0207"/>
    <w:multiLevelType w:val="multilevel"/>
    <w:tmpl w:val="F99E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0C7078"/>
    <w:multiLevelType w:val="multilevel"/>
    <w:tmpl w:val="F4BA03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FA71A5"/>
    <w:multiLevelType w:val="multilevel"/>
    <w:tmpl w:val="405E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0E32C3"/>
    <w:multiLevelType w:val="multilevel"/>
    <w:tmpl w:val="659EB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7E35AB"/>
    <w:multiLevelType w:val="multilevel"/>
    <w:tmpl w:val="238883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554673">
    <w:abstractNumId w:val="3"/>
  </w:num>
  <w:num w:numId="2" w16cid:durableId="1841046520">
    <w:abstractNumId w:val="1"/>
  </w:num>
  <w:num w:numId="3" w16cid:durableId="1827748045">
    <w:abstractNumId w:val="6"/>
  </w:num>
  <w:num w:numId="4" w16cid:durableId="1217005565">
    <w:abstractNumId w:val="5"/>
  </w:num>
  <w:num w:numId="5" w16cid:durableId="1324697906">
    <w:abstractNumId w:val="2"/>
  </w:num>
  <w:num w:numId="6" w16cid:durableId="762578080">
    <w:abstractNumId w:val="4"/>
  </w:num>
  <w:num w:numId="7" w16cid:durableId="20933007">
    <w:abstractNumId w:val="0"/>
  </w:num>
  <w:num w:numId="8" w16cid:durableId="20455986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EF0"/>
    <w:rsid w:val="0000145B"/>
    <w:rsid w:val="00004B39"/>
    <w:rsid w:val="000160A0"/>
    <w:rsid w:val="000165B8"/>
    <w:rsid w:val="00022097"/>
    <w:rsid w:val="0002297E"/>
    <w:rsid w:val="000306ED"/>
    <w:rsid w:val="00030A8C"/>
    <w:rsid w:val="00037BF8"/>
    <w:rsid w:val="000567DA"/>
    <w:rsid w:val="00060CBE"/>
    <w:rsid w:val="0006430A"/>
    <w:rsid w:val="000666CE"/>
    <w:rsid w:val="000731A7"/>
    <w:rsid w:val="00073DEA"/>
    <w:rsid w:val="00076A45"/>
    <w:rsid w:val="00085C11"/>
    <w:rsid w:val="000C1731"/>
    <w:rsid w:val="000C49C5"/>
    <w:rsid w:val="000D060A"/>
    <w:rsid w:val="000D232F"/>
    <w:rsid w:val="000E0CC4"/>
    <w:rsid w:val="000E2273"/>
    <w:rsid w:val="000F2810"/>
    <w:rsid w:val="000F5217"/>
    <w:rsid w:val="000F7032"/>
    <w:rsid w:val="00102EC1"/>
    <w:rsid w:val="00106B83"/>
    <w:rsid w:val="00116A55"/>
    <w:rsid w:val="00124849"/>
    <w:rsid w:val="00125217"/>
    <w:rsid w:val="001348D5"/>
    <w:rsid w:val="00154191"/>
    <w:rsid w:val="001548D9"/>
    <w:rsid w:val="001549A9"/>
    <w:rsid w:val="001610D3"/>
    <w:rsid w:val="001632D4"/>
    <w:rsid w:val="00166993"/>
    <w:rsid w:val="0016729F"/>
    <w:rsid w:val="001A4786"/>
    <w:rsid w:val="001B2435"/>
    <w:rsid w:val="001C20E2"/>
    <w:rsid w:val="001C5DAA"/>
    <w:rsid w:val="001D0700"/>
    <w:rsid w:val="001D2BC2"/>
    <w:rsid w:val="001E7DDC"/>
    <w:rsid w:val="001F484E"/>
    <w:rsid w:val="001F499D"/>
    <w:rsid w:val="001F5B84"/>
    <w:rsid w:val="002054C9"/>
    <w:rsid w:val="00206533"/>
    <w:rsid w:val="002131AE"/>
    <w:rsid w:val="002207E4"/>
    <w:rsid w:val="00225F9F"/>
    <w:rsid w:val="00231B05"/>
    <w:rsid w:val="00233885"/>
    <w:rsid w:val="00246E5A"/>
    <w:rsid w:val="00250029"/>
    <w:rsid w:val="00256025"/>
    <w:rsid w:val="00264DA6"/>
    <w:rsid w:val="002679E9"/>
    <w:rsid w:val="00283586"/>
    <w:rsid w:val="00291F8D"/>
    <w:rsid w:val="002A12FD"/>
    <w:rsid w:val="002C3D1D"/>
    <w:rsid w:val="002C64FC"/>
    <w:rsid w:val="002D71A9"/>
    <w:rsid w:val="002E5A77"/>
    <w:rsid w:val="002F4102"/>
    <w:rsid w:val="002F6609"/>
    <w:rsid w:val="002F75ED"/>
    <w:rsid w:val="003118B9"/>
    <w:rsid w:val="00324D4D"/>
    <w:rsid w:val="003327B8"/>
    <w:rsid w:val="00332933"/>
    <w:rsid w:val="003368F2"/>
    <w:rsid w:val="003443C2"/>
    <w:rsid w:val="00347099"/>
    <w:rsid w:val="00347E04"/>
    <w:rsid w:val="003507D7"/>
    <w:rsid w:val="00351083"/>
    <w:rsid w:val="00352D4D"/>
    <w:rsid w:val="00353817"/>
    <w:rsid w:val="00373912"/>
    <w:rsid w:val="00375255"/>
    <w:rsid w:val="003766CF"/>
    <w:rsid w:val="0038172E"/>
    <w:rsid w:val="0038248B"/>
    <w:rsid w:val="00384A5A"/>
    <w:rsid w:val="003B6612"/>
    <w:rsid w:val="003B7CD3"/>
    <w:rsid w:val="003C585B"/>
    <w:rsid w:val="003D6392"/>
    <w:rsid w:val="004013E8"/>
    <w:rsid w:val="00416A5B"/>
    <w:rsid w:val="0042383C"/>
    <w:rsid w:val="0043020F"/>
    <w:rsid w:val="00441258"/>
    <w:rsid w:val="0044237B"/>
    <w:rsid w:val="0044568F"/>
    <w:rsid w:val="004608B6"/>
    <w:rsid w:val="00466402"/>
    <w:rsid w:val="0047276A"/>
    <w:rsid w:val="0047469F"/>
    <w:rsid w:val="004764FC"/>
    <w:rsid w:val="00485BD3"/>
    <w:rsid w:val="00485EAB"/>
    <w:rsid w:val="00490C4B"/>
    <w:rsid w:val="00491D89"/>
    <w:rsid w:val="00495B2D"/>
    <w:rsid w:val="00497078"/>
    <w:rsid w:val="004D030E"/>
    <w:rsid w:val="004D3AE3"/>
    <w:rsid w:val="004E610C"/>
    <w:rsid w:val="004F3657"/>
    <w:rsid w:val="004F7310"/>
    <w:rsid w:val="00503832"/>
    <w:rsid w:val="0050599A"/>
    <w:rsid w:val="00510D4A"/>
    <w:rsid w:val="00516431"/>
    <w:rsid w:val="005401C8"/>
    <w:rsid w:val="005433F6"/>
    <w:rsid w:val="00547C03"/>
    <w:rsid w:val="00553997"/>
    <w:rsid w:val="00555B93"/>
    <w:rsid w:val="00557ED0"/>
    <w:rsid w:val="00576352"/>
    <w:rsid w:val="00577E2E"/>
    <w:rsid w:val="00577FD1"/>
    <w:rsid w:val="0058497C"/>
    <w:rsid w:val="0059321D"/>
    <w:rsid w:val="00593A0A"/>
    <w:rsid w:val="00595AE1"/>
    <w:rsid w:val="005A3876"/>
    <w:rsid w:val="005B2708"/>
    <w:rsid w:val="005B672F"/>
    <w:rsid w:val="005B76A6"/>
    <w:rsid w:val="005C2C44"/>
    <w:rsid w:val="005C5DBE"/>
    <w:rsid w:val="005C602E"/>
    <w:rsid w:val="005E47DA"/>
    <w:rsid w:val="005F1525"/>
    <w:rsid w:val="00605073"/>
    <w:rsid w:val="00606737"/>
    <w:rsid w:val="00621765"/>
    <w:rsid w:val="0062203C"/>
    <w:rsid w:val="00624BCB"/>
    <w:rsid w:val="00625D0B"/>
    <w:rsid w:val="00637CDE"/>
    <w:rsid w:val="00653CC4"/>
    <w:rsid w:val="006651AB"/>
    <w:rsid w:val="00673452"/>
    <w:rsid w:val="00674FAC"/>
    <w:rsid w:val="006832AB"/>
    <w:rsid w:val="00692B49"/>
    <w:rsid w:val="006937A5"/>
    <w:rsid w:val="006B0AB9"/>
    <w:rsid w:val="006B5E11"/>
    <w:rsid w:val="006D28B6"/>
    <w:rsid w:val="006D55B4"/>
    <w:rsid w:val="006E1CDD"/>
    <w:rsid w:val="006E30FC"/>
    <w:rsid w:val="006F07DC"/>
    <w:rsid w:val="006F25D4"/>
    <w:rsid w:val="006F3BA0"/>
    <w:rsid w:val="006F4AB5"/>
    <w:rsid w:val="00703833"/>
    <w:rsid w:val="00706C42"/>
    <w:rsid w:val="007102EE"/>
    <w:rsid w:val="007144B9"/>
    <w:rsid w:val="00720E58"/>
    <w:rsid w:val="007229EC"/>
    <w:rsid w:val="007260E7"/>
    <w:rsid w:val="0074211B"/>
    <w:rsid w:val="00743F83"/>
    <w:rsid w:val="00747497"/>
    <w:rsid w:val="00760C6C"/>
    <w:rsid w:val="007612F8"/>
    <w:rsid w:val="007702B6"/>
    <w:rsid w:val="007844CF"/>
    <w:rsid w:val="0078459D"/>
    <w:rsid w:val="00790555"/>
    <w:rsid w:val="007916A0"/>
    <w:rsid w:val="00794768"/>
    <w:rsid w:val="00795A90"/>
    <w:rsid w:val="007A25B7"/>
    <w:rsid w:val="007A2BF8"/>
    <w:rsid w:val="007B5797"/>
    <w:rsid w:val="007C0F09"/>
    <w:rsid w:val="007C7BBD"/>
    <w:rsid w:val="007D03D6"/>
    <w:rsid w:val="007D343E"/>
    <w:rsid w:val="007D7B02"/>
    <w:rsid w:val="007E5AEA"/>
    <w:rsid w:val="007E7635"/>
    <w:rsid w:val="00841DEA"/>
    <w:rsid w:val="00857AE8"/>
    <w:rsid w:val="00865B41"/>
    <w:rsid w:val="00880953"/>
    <w:rsid w:val="00881069"/>
    <w:rsid w:val="00891166"/>
    <w:rsid w:val="00893E8C"/>
    <w:rsid w:val="008A58E6"/>
    <w:rsid w:val="008A5B66"/>
    <w:rsid w:val="008A7070"/>
    <w:rsid w:val="008B0337"/>
    <w:rsid w:val="008B6342"/>
    <w:rsid w:val="008C3CBC"/>
    <w:rsid w:val="008C4724"/>
    <w:rsid w:val="008C50C3"/>
    <w:rsid w:val="008D3EE4"/>
    <w:rsid w:val="008E1525"/>
    <w:rsid w:val="008E22CB"/>
    <w:rsid w:val="00913C5A"/>
    <w:rsid w:val="00916EF0"/>
    <w:rsid w:val="00931DCD"/>
    <w:rsid w:val="0093302D"/>
    <w:rsid w:val="009410B8"/>
    <w:rsid w:val="00947B45"/>
    <w:rsid w:val="0095054A"/>
    <w:rsid w:val="00960ABD"/>
    <w:rsid w:val="00967766"/>
    <w:rsid w:val="009804F0"/>
    <w:rsid w:val="009812A5"/>
    <w:rsid w:val="009A0B53"/>
    <w:rsid w:val="009A0BF3"/>
    <w:rsid w:val="009B6EF3"/>
    <w:rsid w:val="009C1374"/>
    <w:rsid w:val="009D5760"/>
    <w:rsid w:val="009D6EAD"/>
    <w:rsid w:val="009E7E8F"/>
    <w:rsid w:val="009F22C4"/>
    <w:rsid w:val="00A00D65"/>
    <w:rsid w:val="00A05511"/>
    <w:rsid w:val="00A10698"/>
    <w:rsid w:val="00A1104C"/>
    <w:rsid w:val="00A34086"/>
    <w:rsid w:val="00A379C8"/>
    <w:rsid w:val="00A52253"/>
    <w:rsid w:val="00A75828"/>
    <w:rsid w:val="00A85E28"/>
    <w:rsid w:val="00A901EA"/>
    <w:rsid w:val="00A927B8"/>
    <w:rsid w:val="00A93C35"/>
    <w:rsid w:val="00AA0BCC"/>
    <w:rsid w:val="00AA55C4"/>
    <w:rsid w:val="00AB1061"/>
    <w:rsid w:val="00AB6163"/>
    <w:rsid w:val="00AC19B6"/>
    <w:rsid w:val="00AC350B"/>
    <w:rsid w:val="00AD0D2E"/>
    <w:rsid w:val="00AD42DC"/>
    <w:rsid w:val="00AD7821"/>
    <w:rsid w:val="00AF1FDF"/>
    <w:rsid w:val="00AF316D"/>
    <w:rsid w:val="00AF3AC2"/>
    <w:rsid w:val="00AF62C0"/>
    <w:rsid w:val="00B156E9"/>
    <w:rsid w:val="00B20686"/>
    <w:rsid w:val="00B217A4"/>
    <w:rsid w:val="00B320A8"/>
    <w:rsid w:val="00B55BE7"/>
    <w:rsid w:val="00B64CBC"/>
    <w:rsid w:val="00B67599"/>
    <w:rsid w:val="00B7232B"/>
    <w:rsid w:val="00B93200"/>
    <w:rsid w:val="00B9430D"/>
    <w:rsid w:val="00B95652"/>
    <w:rsid w:val="00BA6294"/>
    <w:rsid w:val="00BB2F3D"/>
    <w:rsid w:val="00BC0458"/>
    <w:rsid w:val="00BC0A74"/>
    <w:rsid w:val="00BC2D30"/>
    <w:rsid w:val="00BD2212"/>
    <w:rsid w:val="00BE2FDD"/>
    <w:rsid w:val="00BE73A5"/>
    <w:rsid w:val="00BE764A"/>
    <w:rsid w:val="00BE79FD"/>
    <w:rsid w:val="00BF5AE9"/>
    <w:rsid w:val="00C209B7"/>
    <w:rsid w:val="00C23633"/>
    <w:rsid w:val="00C25278"/>
    <w:rsid w:val="00C45E8C"/>
    <w:rsid w:val="00C56164"/>
    <w:rsid w:val="00C712D3"/>
    <w:rsid w:val="00C81515"/>
    <w:rsid w:val="00C91C2D"/>
    <w:rsid w:val="00CA77B8"/>
    <w:rsid w:val="00CB7AB1"/>
    <w:rsid w:val="00CD10D5"/>
    <w:rsid w:val="00CE024C"/>
    <w:rsid w:val="00CE64D5"/>
    <w:rsid w:val="00CF4DC5"/>
    <w:rsid w:val="00CF7A60"/>
    <w:rsid w:val="00D0117F"/>
    <w:rsid w:val="00D03511"/>
    <w:rsid w:val="00D16AE2"/>
    <w:rsid w:val="00D25166"/>
    <w:rsid w:val="00D470C3"/>
    <w:rsid w:val="00D60814"/>
    <w:rsid w:val="00D60B04"/>
    <w:rsid w:val="00D7474C"/>
    <w:rsid w:val="00D81728"/>
    <w:rsid w:val="00DD7C61"/>
    <w:rsid w:val="00DE06C1"/>
    <w:rsid w:val="00DE1A73"/>
    <w:rsid w:val="00DE5831"/>
    <w:rsid w:val="00DE6841"/>
    <w:rsid w:val="00E01EE5"/>
    <w:rsid w:val="00E04209"/>
    <w:rsid w:val="00E1033B"/>
    <w:rsid w:val="00E11DC7"/>
    <w:rsid w:val="00E35368"/>
    <w:rsid w:val="00E375D3"/>
    <w:rsid w:val="00E431F3"/>
    <w:rsid w:val="00E451B4"/>
    <w:rsid w:val="00E46DAD"/>
    <w:rsid w:val="00E51994"/>
    <w:rsid w:val="00E51F30"/>
    <w:rsid w:val="00E61A6A"/>
    <w:rsid w:val="00E70FF2"/>
    <w:rsid w:val="00E72186"/>
    <w:rsid w:val="00E80012"/>
    <w:rsid w:val="00E94774"/>
    <w:rsid w:val="00E95DB7"/>
    <w:rsid w:val="00EA07E9"/>
    <w:rsid w:val="00EA2599"/>
    <w:rsid w:val="00EA27FF"/>
    <w:rsid w:val="00EA3D4B"/>
    <w:rsid w:val="00EA7C26"/>
    <w:rsid w:val="00ED2CCB"/>
    <w:rsid w:val="00ED6880"/>
    <w:rsid w:val="00ED7F81"/>
    <w:rsid w:val="00EE10DB"/>
    <w:rsid w:val="00EE5879"/>
    <w:rsid w:val="00EF17CA"/>
    <w:rsid w:val="00EF618E"/>
    <w:rsid w:val="00F046C6"/>
    <w:rsid w:val="00F104E9"/>
    <w:rsid w:val="00F1054A"/>
    <w:rsid w:val="00F2058F"/>
    <w:rsid w:val="00F249B8"/>
    <w:rsid w:val="00F31C7A"/>
    <w:rsid w:val="00F34DAD"/>
    <w:rsid w:val="00F40FCB"/>
    <w:rsid w:val="00F43D32"/>
    <w:rsid w:val="00F44820"/>
    <w:rsid w:val="00F46C73"/>
    <w:rsid w:val="00F51C6D"/>
    <w:rsid w:val="00F55614"/>
    <w:rsid w:val="00F6438C"/>
    <w:rsid w:val="00F80189"/>
    <w:rsid w:val="00F801FA"/>
    <w:rsid w:val="00F866D0"/>
    <w:rsid w:val="00F90406"/>
    <w:rsid w:val="00F92E6A"/>
    <w:rsid w:val="00F9429C"/>
    <w:rsid w:val="00FA468C"/>
    <w:rsid w:val="00FB02C3"/>
    <w:rsid w:val="00FC39A2"/>
    <w:rsid w:val="00FC3F08"/>
    <w:rsid w:val="00FD0E63"/>
    <w:rsid w:val="00FD72E4"/>
    <w:rsid w:val="00FE0C56"/>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1A92F"/>
  <w15:chartTrackingRefBased/>
  <w15:docId w15:val="{74667347-3BB6-4346-A0CE-77388750F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1">
    <w:name w:val="heading 1"/>
    <w:basedOn w:val="Normal"/>
    <w:next w:val="Normal"/>
    <w:link w:val="Heading1Char"/>
    <w:uiPriority w:val="9"/>
    <w:qFormat/>
    <w:rsid w:val="00916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unhideWhenUsed/>
    <w:qFormat/>
    <w:rsid w:val="00916EF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EF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16EF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16EF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16EF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16EF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16EF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916EF0"/>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916E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EF0"/>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16EF0"/>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16EF0"/>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16EF0"/>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16EF0"/>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16EF0"/>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916E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E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EF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E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E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6EF0"/>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916EF0"/>
    <w:rPr>
      <w:i/>
      <w:iCs/>
      <w:color w:val="0F4761" w:themeColor="accent1" w:themeShade="BF"/>
    </w:rPr>
  </w:style>
  <w:style w:type="paragraph" w:styleId="IntenseQuote">
    <w:name w:val="Intense Quote"/>
    <w:basedOn w:val="Normal"/>
    <w:next w:val="Normal"/>
    <w:link w:val="IntenseQuoteChar"/>
    <w:uiPriority w:val="30"/>
    <w:qFormat/>
    <w:rsid w:val="00916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EF0"/>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916EF0"/>
    <w:rPr>
      <w:b/>
      <w:bCs/>
      <w:smallCaps/>
      <w:color w:val="0F4761" w:themeColor="accent1" w:themeShade="BF"/>
      <w:spacing w:val="5"/>
    </w:rPr>
  </w:style>
  <w:style w:type="paragraph" w:customStyle="1" w:styleId="msonormal0">
    <w:name w:val="msonormal"/>
    <w:basedOn w:val="Normal"/>
    <w:rsid w:val="00916EF0"/>
    <w:pPr>
      <w:spacing w:before="100" w:beforeAutospacing="1" w:after="100" w:afterAutospacing="1"/>
    </w:pPr>
    <w:rPr>
      <w:rFonts w:ascii="Times New Roman" w:hAnsi="Times New Roman"/>
      <w:kern w:val="0"/>
      <w:sz w:val="24"/>
      <w14:ligatures w14:val="none"/>
    </w:rPr>
  </w:style>
  <w:style w:type="paragraph" w:styleId="NormalWeb">
    <w:name w:val="Normal (Web)"/>
    <w:basedOn w:val="Normal"/>
    <w:uiPriority w:val="99"/>
    <w:semiHidden/>
    <w:unhideWhenUsed/>
    <w:rsid w:val="00916EF0"/>
    <w:pPr>
      <w:spacing w:before="100" w:beforeAutospacing="1" w:after="100" w:afterAutospacing="1"/>
    </w:pPr>
    <w:rPr>
      <w:rFonts w:ascii="Times New Roman" w:hAnsi="Times New Roman"/>
      <w:kern w:val="0"/>
      <w:sz w:val="24"/>
      <w14:ligatures w14:val="none"/>
    </w:rPr>
  </w:style>
  <w:style w:type="character" w:styleId="Hyperlink">
    <w:name w:val="Hyperlink"/>
    <w:basedOn w:val="DefaultParagraphFont"/>
    <w:uiPriority w:val="99"/>
    <w:semiHidden/>
    <w:unhideWhenUsed/>
    <w:rsid w:val="00916EF0"/>
    <w:rPr>
      <w:color w:val="0000FF"/>
      <w:u w:val="single"/>
    </w:rPr>
  </w:style>
  <w:style w:type="character" w:styleId="FollowedHyperlink">
    <w:name w:val="FollowedHyperlink"/>
    <w:basedOn w:val="DefaultParagraphFont"/>
    <w:uiPriority w:val="99"/>
    <w:semiHidden/>
    <w:unhideWhenUsed/>
    <w:rsid w:val="00916EF0"/>
    <w:rPr>
      <w:color w:val="800080"/>
      <w:u w:val="single"/>
    </w:rPr>
  </w:style>
  <w:style w:type="character" w:customStyle="1" w:styleId="text">
    <w:name w:val="text"/>
    <w:basedOn w:val="DefaultParagraphFont"/>
    <w:rsid w:val="00916EF0"/>
  </w:style>
  <w:style w:type="character" w:customStyle="1" w:styleId="apple-converted-space">
    <w:name w:val="apple-converted-space"/>
    <w:basedOn w:val="DefaultParagraphFont"/>
    <w:rsid w:val="00916EF0"/>
  </w:style>
  <w:style w:type="character" w:customStyle="1" w:styleId="sr-only">
    <w:name w:val="sr-only"/>
    <w:basedOn w:val="DefaultParagraphFont"/>
    <w:rsid w:val="00916EF0"/>
  </w:style>
  <w:style w:type="paragraph" w:customStyle="1" w:styleId="p">
    <w:name w:val="p"/>
    <w:basedOn w:val="Normal"/>
    <w:rsid w:val="00916EF0"/>
    <w:pPr>
      <w:spacing w:before="100" w:beforeAutospacing="1" w:after="100" w:afterAutospacing="1"/>
    </w:pPr>
    <w:rPr>
      <w:rFonts w:ascii="Times New Roman" w:hAnsi="Times New Roman"/>
      <w:kern w:val="0"/>
      <w:sz w:val="24"/>
      <w14:ligatures w14:val="none"/>
    </w:rPr>
  </w:style>
  <w:style w:type="character" w:customStyle="1" w:styleId="show-for-sr">
    <w:name w:val="show-for-sr"/>
    <w:basedOn w:val="DefaultParagraphFont"/>
    <w:rsid w:val="00916EF0"/>
  </w:style>
  <w:style w:type="character" w:styleId="Emphasis">
    <w:name w:val="Emphasis"/>
    <w:basedOn w:val="DefaultParagraphFont"/>
    <w:uiPriority w:val="20"/>
    <w:qFormat/>
    <w:rsid w:val="00916EF0"/>
    <w:rPr>
      <w:i/>
      <w:iCs/>
    </w:rPr>
  </w:style>
  <w:style w:type="paragraph" w:customStyle="1" w:styleId="list-item">
    <w:name w:val="list-item"/>
    <w:basedOn w:val="Normal"/>
    <w:rsid w:val="00916EF0"/>
    <w:pPr>
      <w:spacing w:before="100" w:beforeAutospacing="1" w:after="100" w:afterAutospacing="1"/>
    </w:pPr>
    <w:rPr>
      <w:rFonts w:ascii="Times New Roman" w:hAnsi="Times New Roman"/>
      <w:kern w:val="0"/>
      <w:sz w:val="24"/>
      <w14:ligatures w14:val="none"/>
    </w:rPr>
  </w:style>
  <w:style w:type="character" w:customStyle="1" w:styleId="sc">
    <w:name w:val="sc"/>
    <w:basedOn w:val="DefaultParagraphFont"/>
    <w:rsid w:val="00916EF0"/>
  </w:style>
  <w:style w:type="character" w:customStyle="1" w:styleId="label">
    <w:name w:val="label"/>
    <w:basedOn w:val="DefaultParagraphFont"/>
    <w:rsid w:val="00916EF0"/>
  </w:style>
  <w:style w:type="paragraph" w:styleId="FootnoteText">
    <w:name w:val="footnote text"/>
    <w:basedOn w:val="Normal"/>
    <w:link w:val="FootnoteTextChar"/>
    <w:uiPriority w:val="99"/>
    <w:semiHidden/>
    <w:unhideWhenUsed/>
    <w:rsid w:val="00DD7C61"/>
    <w:rPr>
      <w:rFonts w:ascii="Times New Roman" w:hAnsi="Times New Roman"/>
      <w:kern w:val="0"/>
      <w:sz w:val="20"/>
      <w:szCs w:val="20"/>
      <w14:ligatures w14:val="none"/>
    </w:rPr>
  </w:style>
  <w:style w:type="character" w:customStyle="1" w:styleId="FootnoteTextChar">
    <w:name w:val="Footnote Text Char"/>
    <w:basedOn w:val="DefaultParagraphFont"/>
    <w:link w:val="FootnoteText"/>
    <w:uiPriority w:val="99"/>
    <w:semiHidden/>
    <w:rsid w:val="00DD7C61"/>
    <w:rPr>
      <w:rFonts w:ascii="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DD7C61"/>
    <w:rPr>
      <w:vertAlign w:val="superscript"/>
    </w:rPr>
  </w:style>
  <w:style w:type="paragraph" w:customStyle="1" w:styleId="whitespace-pre-wrap">
    <w:name w:val="whitespace-pre-wrap"/>
    <w:basedOn w:val="Normal"/>
    <w:rsid w:val="00DD7C61"/>
    <w:pPr>
      <w:spacing w:before="100" w:beforeAutospacing="1" w:after="100" w:afterAutospacing="1"/>
    </w:pPr>
    <w:rPr>
      <w:rFonts w:ascii="Times New Roman" w:hAnsi="Times New Roman"/>
      <w:kern w:val="0"/>
      <w:sz w:val="24"/>
      <w14:ligatures w14:val="none"/>
    </w:rPr>
  </w:style>
  <w:style w:type="character" w:styleId="CommentReference">
    <w:name w:val="annotation reference"/>
    <w:basedOn w:val="DefaultParagraphFont"/>
    <w:uiPriority w:val="99"/>
    <w:semiHidden/>
    <w:unhideWhenUsed/>
    <w:rsid w:val="00DD7C61"/>
    <w:rPr>
      <w:sz w:val="16"/>
      <w:szCs w:val="16"/>
    </w:rPr>
  </w:style>
  <w:style w:type="paragraph" w:customStyle="1" w:styleId="whitespace-normal">
    <w:name w:val="whitespace-normal"/>
    <w:basedOn w:val="Normal"/>
    <w:rsid w:val="00DD7C61"/>
    <w:pPr>
      <w:spacing w:before="100" w:beforeAutospacing="1" w:after="100" w:afterAutospacing="1"/>
    </w:pPr>
    <w:rPr>
      <w:rFonts w:ascii="Times New Roman" w:hAnsi="Times New Roman"/>
      <w:kern w:val="0"/>
      <w:sz w:val="24"/>
      <w14:ligatures w14:val="none"/>
    </w:rPr>
  </w:style>
  <w:style w:type="character" w:customStyle="1" w:styleId="heading">
    <w:name w:val="heading"/>
    <w:basedOn w:val="DefaultParagraphFont"/>
    <w:rsid w:val="00106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4288981">
      <w:bodyDiv w:val="1"/>
      <w:marLeft w:val="0"/>
      <w:marRight w:val="0"/>
      <w:marTop w:val="0"/>
      <w:marBottom w:val="0"/>
      <w:divBdr>
        <w:top w:val="none" w:sz="0" w:space="0" w:color="auto"/>
        <w:left w:val="none" w:sz="0" w:space="0" w:color="auto"/>
        <w:bottom w:val="none" w:sz="0" w:space="0" w:color="auto"/>
        <w:right w:val="none" w:sz="0" w:space="0" w:color="auto"/>
      </w:divBdr>
    </w:div>
    <w:div w:id="719282059">
      <w:bodyDiv w:val="1"/>
      <w:marLeft w:val="0"/>
      <w:marRight w:val="0"/>
      <w:marTop w:val="0"/>
      <w:marBottom w:val="0"/>
      <w:divBdr>
        <w:top w:val="none" w:sz="0" w:space="0" w:color="auto"/>
        <w:left w:val="none" w:sz="0" w:space="0" w:color="auto"/>
        <w:bottom w:val="none" w:sz="0" w:space="0" w:color="auto"/>
        <w:right w:val="none" w:sz="0" w:space="0" w:color="auto"/>
      </w:divBdr>
      <w:divsChild>
        <w:div w:id="1492673725">
          <w:marLeft w:val="0"/>
          <w:marRight w:val="0"/>
          <w:marTop w:val="0"/>
          <w:marBottom w:val="0"/>
          <w:divBdr>
            <w:top w:val="none" w:sz="0" w:space="0" w:color="auto"/>
            <w:left w:val="none" w:sz="0" w:space="0" w:color="auto"/>
            <w:bottom w:val="none" w:sz="0" w:space="0" w:color="auto"/>
            <w:right w:val="none" w:sz="0" w:space="0" w:color="auto"/>
          </w:divBdr>
          <w:divsChild>
            <w:div w:id="966862543">
              <w:marLeft w:val="0"/>
              <w:marRight w:val="0"/>
              <w:marTop w:val="0"/>
              <w:marBottom w:val="0"/>
              <w:divBdr>
                <w:top w:val="none" w:sz="0" w:space="0" w:color="auto"/>
                <w:left w:val="none" w:sz="0" w:space="0" w:color="auto"/>
                <w:bottom w:val="single" w:sz="6" w:space="0" w:color="CCCCCC"/>
                <w:right w:val="none" w:sz="0" w:space="0" w:color="auto"/>
              </w:divBdr>
              <w:divsChild>
                <w:div w:id="197374841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78503309">
          <w:marLeft w:val="0"/>
          <w:marRight w:val="0"/>
          <w:marTop w:val="0"/>
          <w:marBottom w:val="0"/>
          <w:divBdr>
            <w:top w:val="none" w:sz="0" w:space="0" w:color="auto"/>
            <w:left w:val="none" w:sz="0" w:space="0" w:color="auto"/>
            <w:bottom w:val="none" w:sz="0" w:space="0" w:color="auto"/>
            <w:right w:val="none" w:sz="0" w:space="0" w:color="auto"/>
          </w:divBdr>
        </w:div>
        <w:div w:id="292323105">
          <w:marLeft w:val="0"/>
          <w:marRight w:val="0"/>
          <w:marTop w:val="0"/>
          <w:marBottom w:val="120"/>
          <w:divBdr>
            <w:top w:val="none" w:sz="0" w:space="0" w:color="auto"/>
            <w:left w:val="none" w:sz="0" w:space="0" w:color="auto"/>
            <w:bottom w:val="none" w:sz="0" w:space="0" w:color="auto"/>
            <w:right w:val="none" w:sz="0" w:space="0" w:color="auto"/>
          </w:divBdr>
        </w:div>
        <w:div w:id="1230380347">
          <w:marLeft w:val="0"/>
          <w:marRight w:val="0"/>
          <w:marTop w:val="0"/>
          <w:marBottom w:val="120"/>
          <w:divBdr>
            <w:top w:val="none" w:sz="0" w:space="0" w:color="auto"/>
            <w:left w:val="none" w:sz="0" w:space="0" w:color="auto"/>
            <w:bottom w:val="none" w:sz="0" w:space="0" w:color="auto"/>
            <w:right w:val="none" w:sz="0" w:space="0" w:color="auto"/>
          </w:divBdr>
        </w:div>
        <w:div w:id="1766535174">
          <w:marLeft w:val="0"/>
          <w:marRight w:val="0"/>
          <w:marTop w:val="0"/>
          <w:marBottom w:val="120"/>
          <w:divBdr>
            <w:top w:val="none" w:sz="0" w:space="0" w:color="auto"/>
            <w:left w:val="none" w:sz="0" w:space="0" w:color="auto"/>
            <w:bottom w:val="none" w:sz="0" w:space="0" w:color="auto"/>
            <w:right w:val="none" w:sz="0" w:space="0" w:color="auto"/>
          </w:divBdr>
        </w:div>
        <w:div w:id="1523740512">
          <w:marLeft w:val="0"/>
          <w:marRight w:val="0"/>
          <w:marTop w:val="0"/>
          <w:marBottom w:val="120"/>
          <w:divBdr>
            <w:top w:val="none" w:sz="0" w:space="0" w:color="auto"/>
            <w:left w:val="none" w:sz="0" w:space="0" w:color="auto"/>
            <w:bottom w:val="none" w:sz="0" w:space="0" w:color="auto"/>
            <w:right w:val="none" w:sz="0" w:space="0" w:color="auto"/>
          </w:divBdr>
        </w:div>
        <w:div w:id="1418549946">
          <w:marLeft w:val="0"/>
          <w:marRight w:val="0"/>
          <w:marTop w:val="0"/>
          <w:marBottom w:val="120"/>
          <w:divBdr>
            <w:top w:val="none" w:sz="0" w:space="0" w:color="auto"/>
            <w:left w:val="none" w:sz="0" w:space="0" w:color="auto"/>
            <w:bottom w:val="none" w:sz="0" w:space="0" w:color="auto"/>
            <w:right w:val="none" w:sz="0" w:space="0" w:color="auto"/>
          </w:divBdr>
          <w:divsChild>
            <w:div w:id="7670458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425581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48774528">
          <w:marLeft w:val="0"/>
          <w:marRight w:val="0"/>
          <w:marTop w:val="0"/>
          <w:marBottom w:val="120"/>
          <w:divBdr>
            <w:top w:val="none" w:sz="0" w:space="0" w:color="auto"/>
            <w:left w:val="none" w:sz="0" w:space="0" w:color="auto"/>
            <w:bottom w:val="none" w:sz="0" w:space="0" w:color="auto"/>
            <w:right w:val="none" w:sz="0" w:space="0" w:color="auto"/>
          </w:divBdr>
        </w:div>
        <w:div w:id="986783540">
          <w:marLeft w:val="0"/>
          <w:marRight w:val="0"/>
          <w:marTop w:val="0"/>
          <w:marBottom w:val="120"/>
          <w:divBdr>
            <w:top w:val="none" w:sz="0" w:space="0" w:color="auto"/>
            <w:left w:val="none" w:sz="0" w:space="0" w:color="auto"/>
            <w:bottom w:val="none" w:sz="0" w:space="0" w:color="auto"/>
            <w:right w:val="none" w:sz="0" w:space="0" w:color="auto"/>
          </w:divBdr>
        </w:div>
        <w:div w:id="288557104">
          <w:marLeft w:val="0"/>
          <w:marRight w:val="0"/>
          <w:marTop w:val="0"/>
          <w:marBottom w:val="120"/>
          <w:divBdr>
            <w:top w:val="none" w:sz="0" w:space="0" w:color="auto"/>
            <w:left w:val="none" w:sz="0" w:space="0" w:color="auto"/>
            <w:bottom w:val="none" w:sz="0" w:space="0" w:color="auto"/>
            <w:right w:val="none" w:sz="0" w:space="0" w:color="auto"/>
          </w:divBdr>
        </w:div>
        <w:div w:id="298347135">
          <w:marLeft w:val="0"/>
          <w:marRight w:val="0"/>
          <w:marTop w:val="0"/>
          <w:marBottom w:val="120"/>
          <w:divBdr>
            <w:top w:val="none" w:sz="0" w:space="0" w:color="auto"/>
            <w:left w:val="none" w:sz="0" w:space="0" w:color="auto"/>
            <w:bottom w:val="none" w:sz="0" w:space="0" w:color="auto"/>
            <w:right w:val="none" w:sz="0" w:space="0" w:color="auto"/>
          </w:divBdr>
        </w:div>
        <w:div w:id="2012876954">
          <w:marLeft w:val="0"/>
          <w:marRight w:val="0"/>
          <w:marTop w:val="0"/>
          <w:marBottom w:val="120"/>
          <w:divBdr>
            <w:top w:val="none" w:sz="0" w:space="0" w:color="auto"/>
            <w:left w:val="none" w:sz="0" w:space="0" w:color="auto"/>
            <w:bottom w:val="none" w:sz="0" w:space="0" w:color="auto"/>
            <w:right w:val="none" w:sz="0" w:space="0" w:color="auto"/>
          </w:divBdr>
          <w:divsChild>
            <w:div w:id="69935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287780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82851569">
          <w:marLeft w:val="0"/>
          <w:marRight w:val="0"/>
          <w:marTop w:val="0"/>
          <w:marBottom w:val="120"/>
          <w:divBdr>
            <w:top w:val="none" w:sz="0" w:space="0" w:color="auto"/>
            <w:left w:val="none" w:sz="0" w:space="0" w:color="auto"/>
            <w:bottom w:val="none" w:sz="0" w:space="0" w:color="auto"/>
            <w:right w:val="none" w:sz="0" w:space="0" w:color="auto"/>
          </w:divBdr>
        </w:div>
        <w:div w:id="846601028">
          <w:marLeft w:val="0"/>
          <w:marRight w:val="0"/>
          <w:marTop w:val="0"/>
          <w:marBottom w:val="120"/>
          <w:divBdr>
            <w:top w:val="none" w:sz="0" w:space="0" w:color="auto"/>
            <w:left w:val="none" w:sz="0" w:space="0" w:color="auto"/>
            <w:bottom w:val="none" w:sz="0" w:space="0" w:color="auto"/>
            <w:right w:val="none" w:sz="0" w:space="0" w:color="auto"/>
          </w:divBdr>
        </w:div>
        <w:div w:id="2094887104">
          <w:marLeft w:val="0"/>
          <w:marRight w:val="0"/>
          <w:marTop w:val="0"/>
          <w:marBottom w:val="120"/>
          <w:divBdr>
            <w:top w:val="none" w:sz="0" w:space="0" w:color="auto"/>
            <w:left w:val="none" w:sz="0" w:space="0" w:color="auto"/>
            <w:bottom w:val="none" w:sz="0" w:space="0" w:color="auto"/>
            <w:right w:val="none" w:sz="0" w:space="0" w:color="auto"/>
          </w:divBdr>
        </w:div>
        <w:div w:id="427191740">
          <w:marLeft w:val="0"/>
          <w:marRight w:val="0"/>
          <w:marTop w:val="0"/>
          <w:marBottom w:val="120"/>
          <w:divBdr>
            <w:top w:val="none" w:sz="0" w:space="0" w:color="auto"/>
            <w:left w:val="none" w:sz="0" w:space="0" w:color="auto"/>
            <w:bottom w:val="none" w:sz="0" w:space="0" w:color="auto"/>
            <w:right w:val="none" w:sz="0" w:space="0" w:color="auto"/>
          </w:divBdr>
        </w:div>
        <w:div w:id="1883402268">
          <w:marLeft w:val="0"/>
          <w:marRight w:val="0"/>
          <w:marTop w:val="0"/>
          <w:marBottom w:val="120"/>
          <w:divBdr>
            <w:top w:val="none" w:sz="0" w:space="0" w:color="auto"/>
            <w:left w:val="none" w:sz="0" w:space="0" w:color="auto"/>
            <w:bottom w:val="none" w:sz="0" w:space="0" w:color="auto"/>
            <w:right w:val="none" w:sz="0" w:space="0" w:color="auto"/>
          </w:divBdr>
        </w:div>
        <w:div w:id="488442572">
          <w:marLeft w:val="0"/>
          <w:marRight w:val="0"/>
          <w:marTop w:val="0"/>
          <w:marBottom w:val="120"/>
          <w:divBdr>
            <w:top w:val="none" w:sz="0" w:space="0" w:color="auto"/>
            <w:left w:val="none" w:sz="0" w:space="0" w:color="auto"/>
            <w:bottom w:val="none" w:sz="0" w:space="0" w:color="auto"/>
            <w:right w:val="none" w:sz="0" w:space="0" w:color="auto"/>
          </w:divBdr>
        </w:div>
        <w:div w:id="972835095">
          <w:marLeft w:val="0"/>
          <w:marRight w:val="0"/>
          <w:marTop w:val="0"/>
          <w:marBottom w:val="240"/>
          <w:divBdr>
            <w:top w:val="none" w:sz="0" w:space="0" w:color="auto"/>
            <w:left w:val="none" w:sz="0" w:space="0" w:color="auto"/>
            <w:bottom w:val="none" w:sz="0" w:space="0" w:color="auto"/>
            <w:right w:val="none" w:sz="0" w:space="0" w:color="auto"/>
          </w:divBdr>
        </w:div>
        <w:div w:id="1137331640">
          <w:marLeft w:val="0"/>
          <w:marRight w:val="0"/>
          <w:marTop w:val="0"/>
          <w:marBottom w:val="120"/>
          <w:divBdr>
            <w:top w:val="none" w:sz="0" w:space="0" w:color="auto"/>
            <w:left w:val="none" w:sz="0" w:space="0" w:color="auto"/>
            <w:bottom w:val="none" w:sz="0" w:space="0" w:color="auto"/>
            <w:right w:val="none" w:sz="0" w:space="0" w:color="auto"/>
          </w:divBdr>
          <w:divsChild>
            <w:div w:id="19228351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53079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13003666">
          <w:marLeft w:val="0"/>
          <w:marRight w:val="0"/>
          <w:marTop w:val="0"/>
          <w:marBottom w:val="120"/>
          <w:divBdr>
            <w:top w:val="none" w:sz="0" w:space="0" w:color="auto"/>
            <w:left w:val="none" w:sz="0" w:space="0" w:color="auto"/>
            <w:bottom w:val="none" w:sz="0" w:space="0" w:color="auto"/>
            <w:right w:val="none" w:sz="0" w:space="0" w:color="auto"/>
          </w:divBdr>
        </w:div>
        <w:div w:id="109936435">
          <w:marLeft w:val="0"/>
          <w:marRight w:val="0"/>
          <w:marTop w:val="0"/>
          <w:marBottom w:val="120"/>
          <w:divBdr>
            <w:top w:val="none" w:sz="0" w:space="0" w:color="auto"/>
            <w:left w:val="none" w:sz="0" w:space="0" w:color="auto"/>
            <w:bottom w:val="none" w:sz="0" w:space="0" w:color="auto"/>
            <w:right w:val="none" w:sz="0" w:space="0" w:color="auto"/>
          </w:divBdr>
        </w:div>
        <w:div w:id="1063213300">
          <w:marLeft w:val="0"/>
          <w:marRight w:val="0"/>
          <w:marTop w:val="0"/>
          <w:marBottom w:val="120"/>
          <w:divBdr>
            <w:top w:val="none" w:sz="0" w:space="0" w:color="auto"/>
            <w:left w:val="none" w:sz="0" w:space="0" w:color="auto"/>
            <w:bottom w:val="none" w:sz="0" w:space="0" w:color="auto"/>
            <w:right w:val="none" w:sz="0" w:space="0" w:color="auto"/>
          </w:divBdr>
          <w:divsChild>
            <w:div w:id="15344614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434974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40161754">
          <w:marLeft w:val="0"/>
          <w:marRight w:val="0"/>
          <w:marTop w:val="0"/>
          <w:marBottom w:val="120"/>
          <w:divBdr>
            <w:top w:val="none" w:sz="0" w:space="0" w:color="auto"/>
            <w:left w:val="none" w:sz="0" w:space="0" w:color="auto"/>
            <w:bottom w:val="none" w:sz="0" w:space="0" w:color="auto"/>
            <w:right w:val="none" w:sz="0" w:space="0" w:color="auto"/>
          </w:divBdr>
        </w:div>
        <w:div w:id="626859485">
          <w:marLeft w:val="0"/>
          <w:marRight w:val="0"/>
          <w:marTop w:val="0"/>
          <w:marBottom w:val="120"/>
          <w:divBdr>
            <w:top w:val="none" w:sz="0" w:space="0" w:color="auto"/>
            <w:left w:val="none" w:sz="0" w:space="0" w:color="auto"/>
            <w:bottom w:val="none" w:sz="0" w:space="0" w:color="auto"/>
            <w:right w:val="none" w:sz="0" w:space="0" w:color="auto"/>
          </w:divBdr>
          <w:divsChild>
            <w:div w:id="3220454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407463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47650181">
          <w:marLeft w:val="0"/>
          <w:marRight w:val="0"/>
          <w:marTop w:val="0"/>
          <w:marBottom w:val="120"/>
          <w:divBdr>
            <w:top w:val="none" w:sz="0" w:space="0" w:color="auto"/>
            <w:left w:val="none" w:sz="0" w:space="0" w:color="auto"/>
            <w:bottom w:val="none" w:sz="0" w:space="0" w:color="auto"/>
            <w:right w:val="none" w:sz="0" w:space="0" w:color="auto"/>
          </w:divBdr>
        </w:div>
        <w:div w:id="1537623099">
          <w:marLeft w:val="0"/>
          <w:marRight w:val="0"/>
          <w:marTop w:val="0"/>
          <w:marBottom w:val="120"/>
          <w:divBdr>
            <w:top w:val="none" w:sz="0" w:space="0" w:color="auto"/>
            <w:left w:val="none" w:sz="0" w:space="0" w:color="auto"/>
            <w:bottom w:val="none" w:sz="0" w:space="0" w:color="auto"/>
            <w:right w:val="none" w:sz="0" w:space="0" w:color="auto"/>
          </w:divBdr>
        </w:div>
        <w:div w:id="635065787">
          <w:marLeft w:val="0"/>
          <w:marRight w:val="0"/>
          <w:marTop w:val="0"/>
          <w:marBottom w:val="120"/>
          <w:divBdr>
            <w:top w:val="none" w:sz="0" w:space="0" w:color="auto"/>
            <w:left w:val="none" w:sz="0" w:space="0" w:color="auto"/>
            <w:bottom w:val="none" w:sz="0" w:space="0" w:color="auto"/>
            <w:right w:val="none" w:sz="0" w:space="0" w:color="auto"/>
          </w:divBdr>
        </w:div>
        <w:div w:id="18893992">
          <w:marLeft w:val="0"/>
          <w:marRight w:val="0"/>
          <w:marTop w:val="0"/>
          <w:marBottom w:val="240"/>
          <w:divBdr>
            <w:top w:val="none" w:sz="0" w:space="0" w:color="auto"/>
            <w:left w:val="none" w:sz="0" w:space="0" w:color="auto"/>
            <w:bottom w:val="none" w:sz="0" w:space="0" w:color="auto"/>
            <w:right w:val="none" w:sz="0" w:space="0" w:color="auto"/>
          </w:divBdr>
        </w:div>
        <w:div w:id="1552183589">
          <w:marLeft w:val="0"/>
          <w:marRight w:val="0"/>
          <w:marTop w:val="0"/>
          <w:marBottom w:val="240"/>
          <w:divBdr>
            <w:top w:val="none" w:sz="0" w:space="0" w:color="auto"/>
            <w:left w:val="none" w:sz="0" w:space="0" w:color="auto"/>
            <w:bottom w:val="none" w:sz="0" w:space="0" w:color="auto"/>
            <w:right w:val="none" w:sz="0" w:space="0" w:color="auto"/>
          </w:divBdr>
        </w:div>
        <w:div w:id="863595491">
          <w:marLeft w:val="0"/>
          <w:marRight w:val="0"/>
          <w:marTop w:val="0"/>
          <w:marBottom w:val="120"/>
          <w:divBdr>
            <w:top w:val="none" w:sz="0" w:space="0" w:color="auto"/>
            <w:left w:val="none" w:sz="0" w:space="0" w:color="auto"/>
            <w:bottom w:val="none" w:sz="0" w:space="0" w:color="auto"/>
            <w:right w:val="none" w:sz="0" w:space="0" w:color="auto"/>
          </w:divBdr>
        </w:div>
        <w:div w:id="239102995">
          <w:marLeft w:val="0"/>
          <w:marRight w:val="0"/>
          <w:marTop w:val="0"/>
          <w:marBottom w:val="0"/>
          <w:divBdr>
            <w:top w:val="single" w:sz="6" w:space="0" w:color="F0F0F0"/>
            <w:left w:val="single" w:sz="6" w:space="0" w:color="F0F0F0"/>
            <w:bottom w:val="single" w:sz="6" w:space="0" w:color="F0F0F0"/>
            <w:right w:val="single" w:sz="6" w:space="0" w:color="F0F0F0"/>
          </w:divBdr>
          <w:divsChild>
            <w:div w:id="88700792">
              <w:marLeft w:val="0"/>
              <w:marRight w:val="0"/>
              <w:marTop w:val="0"/>
              <w:marBottom w:val="0"/>
              <w:divBdr>
                <w:top w:val="none" w:sz="0" w:space="0" w:color="auto"/>
                <w:left w:val="none" w:sz="0" w:space="0" w:color="auto"/>
                <w:bottom w:val="none" w:sz="0" w:space="0" w:color="auto"/>
                <w:right w:val="none" w:sz="0" w:space="0" w:color="auto"/>
              </w:divBdr>
            </w:div>
            <w:div w:id="2043244749">
              <w:marLeft w:val="0"/>
              <w:marRight w:val="0"/>
              <w:marTop w:val="0"/>
              <w:marBottom w:val="0"/>
              <w:divBdr>
                <w:top w:val="none" w:sz="0" w:space="0" w:color="auto"/>
                <w:left w:val="none" w:sz="0" w:space="0" w:color="auto"/>
                <w:bottom w:val="single" w:sz="6" w:space="0" w:color="F0F0F0"/>
                <w:right w:val="none" w:sz="0" w:space="0" w:color="auto"/>
              </w:divBdr>
              <w:divsChild>
                <w:div w:id="337200149">
                  <w:marLeft w:val="0"/>
                  <w:marRight w:val="0"/>
                  <w:marTop w:val="0"/>
                  <w:marBottom w:val="0"/>
                  <w:divBdr>
                    <w:top w:val="none" w:sz="0" w:space="0" w:color="auto"/>
                    <w:left w:val="none" w:sz="0" w:space="0" w:color="auto"/>
                    <w:bottom w:val="none" w:sz="0" w:space="0" w:color="auto"/>
                    <w:right w:val="none" w:sz="0" w:space="0" w:color="auto"/>
                  </w:divBdr>
                  <w:divsChild>
                    <w:div w:id="192572439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075125345">
          <w:marLeft w:val="0"/>
          <w:marRight w:val="0"/>
          <w:marTop w:val="0"/>
          <w:marBottom w:val="240"/>
          <w:divBdr>
            <w:top w:val="none" w:sz="0" w:space="0" w:color="auto"/>
            <w:left w:val="none" w:sz="0" w:space="0" w:color="auto"/>
            <w:bottom w:val="none" w:sz="0" w:space="0" w:color="auto"/>
            <w:right w:val="none" w:sz="0" w:space="0" w:color="auto"/>
          </w:divBdr>
        </w:div>
        <w:div w:id="1255357283">
          <w:marLeft w:val="0"/>
          <w:marRight w:val="0"/>
          <w:marTop w:val="0"/>
          <w:marBottom w:val="240"/>
          <w:divBdr>
            <w:top w:val="none" w:sz="0" w:space="0" w:color="auto"/>
            <w:left w:val="none" w:sz="0" w:space="0" w:color="auto"/>
            <w:bottom w:val="none" w:sz="0" w:space="0" w:color="auto"/>
            <w:right w:val="none" w:sz="0" w:space="0" w:color="auto"/>
          </w:divBdr>
        </w:div>
        <w:div w:id="1276131378">
          <w:marLeft w:val="0"/>
          <w:marRight w:val="0"/>
          <w:marTop w:val="0"/>
          <w:marBottom w:val="120"/>
          <w:divBdr>
            <w:top w:val="none" w:sz="0" w:space="0" w:color="auto"/>
            <w:left w:val="none" w:sz="0" w:space="0" w:color="auto"/>
            <w:bottom w:val="none" w:sz="0" w:space="0" w:color="auto"/>
            <w:right w:val="none" w:sz="0" w:space="0" w:color="auto"/>
          </w:divBdr>
        </w:div>
        <w:div w:id="202206996">
          <w:marLeft w:val="0"/>
          <w:marRight w:val="0"/>
          <w:marTop w:val="0"/>
          <w:marBottom w:val="0"/>
          <w:divBdr>
            <w:top w:val="single" w:sz="6" w:space="0" w:color="F0F0F0"/>
            <w:left w:val="single" w:sz="6" w:space="0" w:color="F0F0F0"/>
            <w:bottom w:val="single" w:sz="6" w:space="0" w:color="F0F0F0"/>
            <w:right w:val="single" w:sz="6" w:space="0" w:color="F0F0F0"/>
          </w:divBdr>
          <w:divsChild>
            <w:div w:id="15545074">
              <w:marLeft w:val="0"/>
              <w:marRight w:val="0"/>
              <w:marTop w:val="0"/>
              <w:marBottom w:val="0"/>
              <w:divBdr>
                <w:top w:val="none" w:sz="0" w:space="0" w:color="auto"/>
                <w:left w:val="none" w:sz="0" w:space="0" w:color="auto"/>
                <w:bottom w:val="none" w:sz="0" w:space="0" w:color="auto"/>
                <w:right w:val="none" w:sz="0" w:space="0" w:color="auto"/>
              </w:divBdr>
            </w:div>
            <w:div w:id="44180242">
              <w:marLeft w:val="0"/>
              <w:marRight w:val="0"/>
              <w:marTop w:val="0"/>
              <w:marBottom w:val="0"/>
              <w:divBdr>
                <w:top w:val="none" w:sz="0" w:space="0" w:color="auto"/>
                <w:left w:val="none" w:sz="0" w:space="0" w:color="auto"/>
                <w:bottom w:val="single" w:sz="6" w:space="0" w:color="F0F0F0"/>
                <w:right w:val="none" w:sz="0" w:space="0" w:color="auto"/>
              </w:divBdr>
              <w:divsChild>
                <w:div w:id="679160478">
                  <w:marLeft w:val="0"/>
                  <w:marRight w:val="0"/>
                  <w:marTop w:val="0"/>
                  <w:marBottom w:val="0"/>
                  <w:divBdr>
                    <w:top w:val="none" w:sz="0" w:space="0" w:color="auto"/>
                    <w:left w:val="none" w:sz="0" w:space="0" w:color="auto"/>
                    <w:bottom w:val="none" w:sz="0" w:space="0" w:color="auto"/>
                    <w:right w:val="none" w:sz="0" w:space="0" w:color="auto"/>
                  </w:divBdr>
                  <w:divsChild>
                    <w:div w:id="36098356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995179380">
          <w:marLeft w:val="0"/>
          <w:marRight w:val="0"/>
          <w:marTop w:val="0"/>
          <w:marBottom w:val="120"/>
          <w:divBdr>
            <w:top w:val="none" w:sz="0" w:space="0" w:color="auto"/>
            <w:left w:val="none" w:sz="0" w:space="0" w:color="auto"/>
            <w:bottom w:val="none" w:sz="0" w:space="0" w:color="auto"/>
            <w:right w:val="none" w:sz="0" w:space="0" w:color="auto"/>
          </w:divBdr>
        </w:div>
        <w:div w:id="1978414963">
          <w:marLeft w:val="0"/>
          <w:marRight w:val="0"/>
          <w:marTop w:val="0"/>
          <w:marBottom w:val="0"/>
          <w:divBdr>
            <w:top w:val="single" w:sz="6" w:space="0" w:color="F0F0F0"/>
            <w:left w:val="single" w:sz="6" w:space="0" w:color="F0F0F0"/>
            <w:bottom w:val="single" w:sz="6" w:space="0" w:color="F0F0F0"/>
            <w:right w:val="single" w:sz="6" w:space="0" w:color="F0F0F0"/>
          </w:divBdr>
          <w:divsChild>
            <w:div w:id="1008558044">
              <w:marLeft w:val="0"/>
              <w:marRight w:val="0"/>
              <w:marTop w:val="0"/>
              <w:marBottom w:val="0"/>
              <w:divBdr>
                <w:top w:val="none" w:sz="0" w:space="0" w:color="auto"/>
                <w:left w:val="none" w:sz="0" w:space="0" w:color="auto"/>
                <w:bottom w:val="none" w:sz="0" w:space="0" w:color="auto"/>
                <w:right w:val="none" w:sz="0" w:space="0" w:color="auto"/>
              </w:divBdr>
            </w:div>
            <w:div w:id="1599830655">
              <w:marLeft w:val="0"/>
              <w:marRight w:val="0"/>
              <w:marTop w:val="0"/>
              <w:marBottom w:val="0"/>
              <w:divBdr>
                <w:top w:val="none" w:sz="0" w:space="0" w:color="auto"/>
                <w:left w:val="none" w:sz="0" w:space="0" w:color="auto"/>
                <w:bottom w:val="single" w:sz="6" w:space="0" w:color="F0F0F0"/>
                <w:right w:val="none" w:sz="0" w:space="0" w:color="auto"/>
              </w:divBdr>
              <w:divsChild>
                <w:div w:id="1623806444">
                  <w:marLeft w:val="0"/>
                  <w:marRight w:val="0"/>
                  <w:marTop w:val="0"/>
                  <w:marBottom w:val="0"/>
                  <w:divBdr>
                    <w:top w:val="none" w:sz="0" w:space="0" w:color="auto"/>
                    <w:left w:val="none" w:sz="0" w:space="0" w:color="auto"/>
                    <w:bottom w:val="none" w:sz="0" w:space="0" w:color="auto"/>
                    <w:right w:val="none" w:sz="0" w:space="0" w:color="auto"/>
                  </w:divBdr>
                  <w:divsChild>
                    <w:div w:id="58400197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438254797">
          <w:marLeft w:val="0"/>
          <w:marRight w:val="0"/>
          <w:marTop w:val="0"/>
          <w:marBottom w:val="240"/>
          <w:divBdr>
            <w:top w:val="none" w:sz="0" w:space="0" w:color="auto"/>
            <w:left w:val="none" w:sz="0" w:space="0" w:color="auto"/>
            <w:bottom w:val="none" w:sz="0" w:space="0" w:color="auto"/>
            <w:right w:val="none" w:sz="0" w:space="0" w:color="auto"/>
          </w:divBdr>
        </w:div>
        <w:div w:id="2093769054">
          <w:marLeft w:val="0"/>
          <w:marRight w:val="0"/>
          <w:marTop w:val="0"/>
          <w:marBottom w:val="120"/>
          <w:divBdr>
            <w:top w:val="none" w:sz="0" w:space="0" w:color="auto"/>
            <w:left w:val="none" w:sz="0" w:space="0" w:color="auto"/>
            <w:bottom w:val="none" w:sz="0" w:space="0" w:color="auto"/>
            <w:right w:val="none" w:sz="0" w:space="0" w:color="auto"/>
          </w:divBdr>
        </w:div>
        <w:div w:id="189268319">
          <w:marLeft w:val="0"/>
          <w:marRight w:val="0"/>
          <w:marTop w:val="0"/>
          <w:marBottom w:val="120"/>
          <w:divBdr>
            <w:top w:val="none" w:sz="0" w:space="0" w:color="auto"/>
            <w:left w:val="none" w:sz="0" w:space="0" w:color="auto"/>
            <w:bottom w:val="none" w:sz="0" w:space="0" w:color="auto"/>
            <w:right w:val="none" w:sz="0" w:space="0" w:color="auto"/>
          </w:divBdr>
        </w:div>
        <w:div w:id="1412657382">
          <w:marLeft w:val="0"/>
          <w:marRight w:val="0"/>
          <w:marTop w:val="0"/>
          <w:marBottom w:val="0"/>
          <w:divBdr>
            <w:top w:val="single" w:sz="6" w:space="0" w:color="F0F0F0"/>
            <w:left w:val="single" w:sz="6" w:space="0" w:color="F0F0F0"/>
            <w:bottom w:val="single" w:sz="6" w:space="0" w:color="F0F0F0"/>
            <w:right w:val="single" w:sz="6" w:space="0" w:color="F0F0F0"/>
          </w:divBdr>
          <w:divsChild>
            <w:div w:id="1523782229">
              <w:marLeft w:val="0"/>
              <w:marRight w:val="0"/>
              <w:marTop w:val="0"/>
              <w:marBottom w:val="0"/>
              <w:divBdr>
                <w:top w:val="none" w:sz="0" w:space="0" w:color="auto"/>
                <w:left w:val="none" w:sz="0" w:space="0" w:color="auto"/>
                <w:bottom w:val="none" w:sz="0" w:space="0" w:color="auto"/>
                <w:right w:val="none" w:sz="0" w:space="0" w:color="auto"/>
              </w:divBdr>
            </w:div>
            <w:div w:id="932277815">
              <w:marLeft w:val="0"/>
              <w:marRight w:val="0"/>
              <w:marTop w:val="0"/>
              <w:marBottom w:val="0"/>
              <w:divBdr>
                <w:top w:val="none" w:sz="0" w:space="0" w:color="auto"/>
                <w:left w:val="none" w:sz="0" w:space="0" w:color="auto"/>
                <w:bottom w:val="single" w:sz="6" w:space="0" w:color="F0F0F0"/>
                <w:right w:val="none" w:sz="0" w:space="0" w:color="auto"/>
              </w:divBdr>
              <w:divsChild>
                <w:div w:id="222298874">
                  <w:marLeft w:val="0"/>
                  <w:marRight w:val="0"/>
                  <w:marTop w:val="0"/>
                  <w:marBottom w:val="0"/>
                  <w:divBdr>
                    <w:top w:val="none" w:sz="0" w:space="0" w:color="auto"/>
                    <w:left w:val="none" w:sz="0" w:space="0" w:color="auto"/>
                    <w:bottom w:val="none" w:sz="0" w:space="0" w:color="auto"/>
                    <w:right w:val="none" w:sz="0" w:space="0" w:color="auto"/>
                  </w:divBdr>
                  <w:divsChild>
                    <w:div w:id="122429644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492142083">
          <w:marLeft w:val="0"/>
          <w:marRight w:val="0"/>
          <w:marTop w:val="0"/>
          <w:marBottom w:val="120"/>
          <w:divBdr>
            <w:top w:val="none" w:sz="0" w:space="0" w:color="auto"/>
            <w:left w:val="none" w:sz="0" w:space="0" w:color="auto"/>
            <w:bottom w:val="none" w:sz="0" w:space="0" w:color="auto"/>
            <w:right w:val="none" w:sz="0" w:space="0" w:color="auto"/>
          </w:divBdr>
        </w:div>
        <w:div w:id="588542441">
          <w:marLeft w:val="0"/>
          <w:marRight w:val="0"/>
          <w:marTop w:val="0"/>
          <w:marBottom w:val="0"/>
          <w:divBdr>
            <w:top w:val="single" w:sz="6" w:space="0" w:color="F0F0F0"/>
            <w:left w:val="single" w:sz="6" w:space="0" w:color="F0F0F0"/>
            <w:bottom w:val="single" w:sz="6" w:space="0" w:color="F0F0F0"/>
            <w:right w:val="single" w:sz="6" w:space="0" w:color="F0F0F0"/>
          </w:divBdr>
          <w:divsChild>
            <w:div w:id="206719098">
              <w:marLeft w:val="0"/>
              <w:marRight w:val="0"/>
              <w:marTop w:val="0"/>
              <w:marBottom w:val="0"/>
              <w:divBdr>
                <w:top w:val="none" w:sz="0" w:space="0" w:color="auto"/>
                <w:left w:val="none" w:sz="0" w:space="0" w:color="auto"/>
                <w:bottom w:val="none" w:sz="0" w:space="0" w:color="auto"/>
                <w:right w:val="none" w:sz="0" w:space="0" w:color="auto"/>
              </w:divBdr>
            </w:div>
            <w:div w:id="975572000">
              <w:marLeft w:val="0"/>
              <w:marRight w:val="0"/>
              <w:marTop w:val="0"/>
              <w:marBottom w:val="0"/>
              <w:divBdr>
                <w:top w:val="none" w:sz="0" w:space="0" w:color="auto"/>
                <w:left w:val="none" w:sz="0" w:space="0" w:color="auto"/>
                <w:bottom w:val="single" w:sz="6" w:space="0" w:color="F0F0F0"/>
                <w:right w:val="none" w:sz="0" w:space="0" w:color="auto"/>
              </w:divBdr>
              <w:divsChild>
                <w:div w:id="1069838882">
                  <w:marLeft w:val="0"/>
                  <w:marRight w:val="0"/>
                  <w:marTop w:val="0"/>
                  <w:marBottom w:val="0"/>
                  <w:divBdr>
                    <w:top w:val="none" w:sz="0" w:space="0" w:color="auto"/>
                    <w:left w:val="none" w:sz="0" w:space="0" w:color="auto"/>
                    <w:bottom w:val="none" w:sz="0" w:space="0" w:color="auto"/>
                    <w:right w:val="none" w:sz="0" w:space="0" w:color="auto"/>
                  </w:divBdr>
                  <w:divsChild>
                    <w:div w:id="174348659">
                      <w:marLeft w:val="0"/>
                      <w:marRight w:val="0"/>
                      <w:marTop w:val="0"/>
                      <w:marBottom w:val="240"/>
                      <w:divBdr>
                        <w:top w:val="none" w:sz="0" w:space="0" w:color="auto"/>
                        <w:left w:val="none" w:sz="0" w:space="0" w:color="auto"/>
                        <w:bottom w:val="none" w:sz="0" w:space="0" w:color="auto"/>
                        <w:right w:val="none" w:sz="0" w:space="0" w:color="auto"/>
                      </w:divBdr>
                    </w:div>
                  </w:divsChild>
                </w:div>
                <w:div w:id="2143961411">
                  <w:marLeft w:val="0"/>
                  <w:marRight w:val="0"/>
                  <w:marTop w:val="0"/>
                  <w:marBottom w:val="0"/>
                  <w:divBdr>
                    <w:top w:val="none" w:sz="0" w:space="0" w:color="auto"/>
                    <w:left w:val="none" w:sz="0" w:space="0" w:color="auto"/>
                    <w:bottom w:val="none" w:sz="0" w:space="0" w:color="auto"/>
                    <w:right w:val="none" w:sz="0" w:space="0" w:color="auto"/>
                  </w:divBdr>
                  <w:divsChild>
                    <w:div w:id="53728294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456874592">
          <w:marLeft w:val="0"/>
          <w:marRight w:val="0"/>
          <w:marTop w:val="0"/>
          <w:marBottom w:val="120"/>
          <w:divBdr>
            <w:top w:val="none" w:sz="0" w:space="0" w:color="auto"/>
            <w:left w:val="none" w:sz="0" w:space="0" w:color="auto"/>
            <w:bottom w:val="none" w:sz="0" w:space="0" w:color="auto"/>
            <w:right w:val="none" w:sz="0" w:space="0" w:color="auto"/>
          </w:divBdr>
        </w:div>
        <w:div w:id="1089496970">
          <w:marLeft w:val="0"/>
          <w:marRight w:val="0"/>
          <w:marTop w:val="0"/>
          <w:marBottom w:val="120"/>
          <w:divBdr>
            <w:top w:val="none" w:sz="0" w:space="0" w:color="auto"/>
            <w:left w:val="none" w:sz="0" w:space="0" w:color="auto"/>
            <w:bottom w:val="none" w:sz="0" w:space="0" w:color="auto"/>
            <w:right w:val="none" w:sz="0" w:space="0" w:color="auto"/>
          </w:divBdr>
        </w:div>
        <w:div w:id="1081366621">
          <w:marLeft w:val="0"/>
          <w:marRight w:val="0"/>
          <w:marTop w:val="0"/>
          <w:marBottom w:val="120"/>
          <w:divBdr>
            <w:top w:val="none" w:sz="0" w:space="0" w:color="auto"/>
            <w:left w:val="none" w:sz="0" w:space="0" w:color="auto"/>
            <w:bottom w:val="none" w:sz="0" w:space="0" w:color="auto"/>
            <w:right w:val="none" w:sz="0" w:space="0" w:color="auto"/>
          </w:divBdr>
        </w:div>
        <w:div w:id="153184097">
          <w:marLeft w:val="0"/>
          <w:marRight w:val="0"/>
          <w:marTop w:val="0"/>
          <w:marBottom w:val="120"/>
          <w:divBdr>
            <w:top w:val="none" w:sz="0" w:space="0" w:color="auto"/>
            <w:left w:val="none" w:sz="0" w:space="0" w:color="auto"/>
            <w:bottom w:val="none" w:sz="0" w:space="0" w:color="auto"/>
            <w:right w:val="none" w:sz="0" w:space="0" w:color="auto"/>
          </w:divBdr>
        </w:div>
        <w:div w:id="223877779">
          <w:marLeft w:val="0"/>
          <w:marRight w:val="0"/>
          <w:marTop w:val="0"/>
          <w:marBottom w:val="120"/>
          <w:divBdr>
            <w:top w:val="none" w:sz="0" w:space="0" w:color="auto"/>
            <w:left w:val="none" w:sz="0" w:space="0" w:color="auto"/>
            <w:bottom w:val="none" w:sz="0" w:space="0" w:color="auto"/>
            <w:right w:val="none" w:sz="0" w:space="0" w:color="auto"/>
          </w:divBdr>
        </w:div>
        <w:div w:id="194318173">
          <w:marLeft w:val="0"/>
          <w:marRight w:val="0"/>
          <w:marTop w:val="0"/>
          <w:marBottom w:val="120"/>
          <w:divBdr>
            <w:top w:val="none" w:sz="0" w:space="0" w:color="auto"/>
            <w:left w:val="none" w:sz="0" w:space="0" w:color="auto"/>
            <w:bottom w:val="none" w:sz="0" w:space="0" w:color="auto"/>
            <w:right w:val="none" w:sz="0" w:space="0" w:color="auto"/>
          </w:divBdr>
        </w:div>
        <w:div w:id="1615821918">
          <w:marLeft w:val="0"/>
          <w:marRight w:val="0"/>
          <w:marTop w:val="0"/>
          <w:marBottom w:val="120"/>
          <w:divBdr>
            <w:top w:val="none" w:sz="0" w:space="0" w:color="auto"/>
            <w:left w:val="none" w:sz="0" w:space="0" w:color="auto"/>
            <w:bottom w:val="none" w:sz="0" w:space="0" w:color="auto"/>
            <w:right w:val="none" w:sz="0" w:space="0" w:color="auto"/>
          </w:divBdr>
        </w:div>
        <w:div w:id="1425107478">
          <w:marLeft w:val="0"/>
          <w:marRight w:val="0"/>
          <w:marTop w:val="0"/>
          <w:marBottom w:val="120"/>
          <w:divBdr>
            <w:top w:val="none" w:sz="0" w:space="0" w:color="auto"/>
            <w:left w:val="none" w:sz="0" w:space="0" w:color="auto"/>
            <w:bottom w:val="none" w:sz="0" w:space="0" w:color="auto"/>
            <w:right w:val="none" w:sz="0" w:space="0" w:color="auto"/>
          </w:divBdr>
        </w:div>
        <w:div w:id="713847274">
          <w:marLeft w:val="0"/>
          <w:marRight w:val="0"/>
          <w:marTop w:val="0"/>
          <w:marBottom w:val="120"/>
          <w:divBdr>
            <w:top w:val="none" w:sz="0" w:space="0" w:color="auto"/>
            <w:left w:val="none" w:sz="0" w:space="0" w:color="auto"/>
            <w:bottom w:val="none" w:sz="0" w:space="0" w:color="auto"/>
            <w:right w:val="none" w:sz="0" w:space="0" w:color="auto"/>
          </w:divBdr>
          <w:divsChild>
            <w:div w:id="16017659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57611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896209315">
          <w:marLeft w:val="0"/>
          <w:marRight w:val="0"/>
          <w:marTop w:val="0"/>
          <w:marBottom w:val="240"/>
          <w:divBdr>
            <w:top w:val="none" w:sz="0" w:space="0" w:color="auto"/>
            <w:left w:val="none" w:sz="0" w:space="0" w:color="auto"/>
            <w:bottom w:val="none" w:sz="0" w:space="0" w:color="auto"/>
            <w:right w:val="none" w:sz="0" w:space="0" w:color="auto"/>
          </w:divBdr>
        </w:div>
      </w:divsChild>
    </w:div>
    <w:div w:id="1702776701">
      <w:bodyDiv w:val="1"/>
      <w:marLeft w:val="0"/>
      <w:marRight w:val="0"/>
      <w:marTop w:val="0"/>
      <w:marBottom w:val="0"/>
      <w:divBdr>
        <w:top w:val="none" w:sz="0" w:space="0" w:color="auto"/>
        <w:left w:val="none" w:sz="0" w:space="0" w:color="auto"/>
        <w:bottom w:val="none" w:sz="0" w:space="0" w:color="auto"/>
        <w:right w:val="none" w:sz="0" w:space="0" w:color="auto"/>
      </w:divBdr>
      <w:divsChild>
        <w:div w:id="1676417908">
          <w:marLeft w:val="0"/>
          <w:marRight w:val="0"/>
          <w:marTop w:val="0"/>
          <w:marBottom w:val="225"/>
          <w:divBdr>
            <w:top w:val="none" w:sz="0" w:space="0" w:color="auto"/>
            <w:left w:val="none" w:sz="0" w:space="0" w:color="auto"/>
            <w:bottom w:val="none" w:sz="0" w:space="0" w:color="auto"/>
            <w:right w:val="none" w:sz="0" w:space="0" w:color="auto"/>
          </w:divBdr>
          <w:divsChild>
            <w:div w:id="1583486510">
              <w:marLeft w:val="0"/>
              <w:marRight w:val="0"/>
              <w:marTop w:val="0"/>
              <w:marBottom w:val="0"/>
              <w:divBdr>
                <w:top w:val="none" w:sz="0" w:space="0" w:color="auto"/>
                <w:left w:val="none" w:sz="0" w:space="0" w:color="auto"/>
                <w:bottom w:val="none" w:sz="0" w:space="0" w:color="auto"/>
                <w:right w:val="none" w:sz="0" w:space="0" w:color="auto"/>
              </w:divBdr>
              <w:divsChild>
                <w:div w:id="1370840617">
                  <w:marLeft w:val="0"/>
                  <w:marRight w:val="0"/>
                  <w:marTop w:val="0"/>
                  <w:marBottom w:val="0"/>
                  <w:divBdr>
                    <w:top w:val="none" w:sz="0" w:space="0" w:color="auto"/>
                    <w:left w:val="none" w:sz="0" w:space="0" w:color="auto"/>
                    <w:bottom w:val="none" w:sz="0" w:space="0" w:color="auto"/>
                    <w:right w:val="none" w:sz="0" w:space="0" w:color="auto"/>
                  </w:divBdr>
                  <w:divsChild>
                    <w:div w:id="1587035533">
                      <w:marLeft w:val="0"/>
                      <w:marRight w:val="0"/>
                      <w:marTop w:val="0"/>
                      <w:marBottom w:val="0"/>
                      <w:divBdr>
                        <w:top w:val="none" w:sz="0" w:space="0" w:color="auto"/>
                        <w:left w:val="none" w:sz="0" w:space="0" w:color="auto"/>
                        <w:bottom w:val="none" w:sz="0" w:space="0" w:color="auto"/>
                        <w:right w:val="none" w:sz="0" w:space="0" w:color="auto"/>
                      </w:divBdr>
                      <w:divsChild>
                        <w:div w:id="97166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924824">
          <w:marLeft w:val="0"/>
          <w:marRight w:val="0"/>
          <w:marTop w:val="0"/>
          <w:marBottom w:val="0"/>
          <w:divBdr>
            <w:top w:val="none" w:sz="0" w:space="0" w:color="auto"/>
            <w:left w:val="none" w:sz="0" w:space="0" w:color="auto"/>
            <w:bottom w:val="single" w:sz="6" w:space="0" w:color="E8E8E8"/>
            <w:right w:val="none" w:sz="0" w:space="0" w:color="auto"/>
          </w:divBdr>
        </w:div>
        <w:div w:id="1286812978">
          <w:marLeft w:val="0"/>
          <w:marRight w:val="0"/>
          <w:marTop w:val="0"/>
          <w:marBottom w:val="0"/>
          <w:divBdr>
            <w:top w:val="none" w:sz="0" w:space="0" w:color="auto"/>
            <w:left w:val="none" w:sz="0" w:space="0" w:color="auto"/>
            <w:bottom w:val="single" w:sz="6" w:space="0" w:color="E8E8E8"/>
            <w:right w:val="none" w:sz="0" w:space="0" w:color="auto"/>
          </w:divBdr>
          <w:divsChild>
            <w:div w:id="2053261983">
              <w:marLeft w:val="0"/>
              <w:marRight w:val="0"/>
              <w:marTop w:val="0"/>
              <w:marBottom w:val="0"/>
              <w:divBdr>
                <w:top w:val="none" w:sz="0" w:space="0" w:color="auto"/>
                <w:left w:val="none" w:sz="0" w:space="0" w:color="auto"/>
                <w:bottom w:val="none" w:sz="0" w:space="0" w:color="auto"/>
                <w:right w:val="none" w:sz="0" w:space="0" w:color="auto"/>
              </w:divBdr>
            </w:div>
            <w:div w:id="1570262357">
              <w:marLeft w:val="0"/>
              <w:marRight w:val="0"/>
              <w:marTop w:val="0"/>
              <w:marBottom w:val="0"/>
              <w:divBdr>
                <w:top w:val="none" w:sz="0" w:space="0" w:color="auto"/>
                <w:left w:val="none" w:sz="0" w:space="0" w:color="auto"/>
                <w:bottom w:val="none" w:sz="0" w:space="0" w:color="auto"/>
                <w:right w:val="none" w:sz="0" w:space="0" w:color="auto"/>
              </w:divBdr>
              <w:divsChild>
                <w:div w:id="120956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1935">
          <w:marLeft w:val="0"/>
          <w:marRight w:val="0"/>
          <w:marTop w:val="0"/>
          <w:marBottom w:val="0"/>
          <w:divBdr>
            <w:top w:val="none" w:sz="0" w:space="0" w:color="auto"/>
            <w:left w:val="none" w:sz="0" w:space="0" w:color="auto"/>
            <w:bottom w:val="single" w:sz="6" w:space="0" w:color="E8E8E8"/>
            <w:right w:val="none" w:sz="0" w:space="0" w:color="auto"/>
          </w:divBdr>
          <w:divsChild>
            <w:div w:id="1224557578">
              <w:marLeft w:val="0"/>
              <w:marRight w:val="0"/>
              <w:marTop w:val="0"/>
              <w:marBottom w:val="0"/>
              <w:divBdr>
                <w:top w:val="none" w:sz="0" w:space="0" w:color="auto"/>
                <w:left w:val="none" w:sz="0" w:space="0" w:color="auto"/>
                <w:bottom w:val="none" w:sz="0" w:space="0" w:color="auto"/>
                <w:right w:val="none" w:sz="0" w:space="0" w:color="auto"/>
              </w:divBdr>
            </w:div>
          </w:divsChild>
        </w:div>
        <w:div w:id="155809753">
          <w:marLeft w:val="0"/>
          <w:marRight w:val="0"/>
          <w:marTop w:val="300"/>
          <w:marBottom w:val="0"/>
          <w:divBdr>
            <w:top w:val="none" w:sz="0" w:space="0" w:color="auto"/>
            <w:left w:val="none" w:sz="0" w:space="0" w:color="auto"/>
            <w:bottom w:val="none" w:sz="0" w:space="0" w:color="auto"/>
            <w:right w:val="none" w:sz="0" w:space="0" w:color="auto"/>
          </w:divBdr>
          <w:divsChild>
            <w:div w:id="2113670472">
              <w:marLeft w:val="0"/>
              <w:marRight w:val="0"/>
              <w:marTop w:val="0"/>
              <w:marBottom w:val="0"/>
              <w:divBdr>
                <w:top w:val="none" w:sz="0" w:space="0" w:color="auto"/>
                <w:left w:val="none" w:sz="0" w:space="0" w:color="auto"/>
                <w:bottom w:val="none" w:sz="0" w:space="0" w:color="auto"/>
                <w:right w:val="none" w:sz="0" w:space="0" w:color="auto"/>
              </w:divBdr>
              <w:divsChild>
                <w:div w:id="1242569897">
                  <w:marLeft w:val="0"/>
                  <w:marRight w:val="0"/>
                  <w:marTop w:val="0"/>
                  <w:marBottom w:val="0"/>
                  <w:divBdr>
                    <w:top w:val="none" w:sz="0" w:space="0" w:color="auto"/>
                    <w:left w:val="none" w:sz="0" w:space="0" w:color="auto"/>
                    <w:bottom w:val="none" w:sz="0" w:space="0" w:color="auto"/>
                    <w:right w:val="none" w:sz="0" w:space="0" w:color="auto"/>
                  </w:divBdr>
                  <w:divsChild>
                    <w:div w:id="339938043">
                      <w:marLeft w:val="0"/>
                      <w:marRight w:val="0"/>
                      <w:marTop w:val="0"/>
                      <w:marBottom w:val="0"/>
                      <w:divBdr>
                        <w:top w:val="none" w:sz="0" w:space="0" w:color="auto"/>
                        <w:left w:val="none" w:sz="0" w:space="0" w:color="auto"/>
                        <w:bottom w:val="none" w:sz="0" w:space="0" w:color="auto"/>
                        <w:right w:val="none" w:sz="0" w:space="0" w:color="auto"/>
                      </w:divBdr>
                      <w:divsChild>
                        <w:div w:id="1220826851">
                          <w:marLeft w:val="0"/>
                          <w:marRight w:val="0"/>
                          <w:marTop w:val="0"/>
                          <w:marBottom w:val="0"/>
                          <w:divBdr>
                            <w:top w:val="none" w:sz="0" w:space="0" w:color="auto"/>
                            <w:left w:val="none" w:sz="0" w:space="0" w:color="auto"/>
                            <w:bottom w:val="none" w:sz="0" w:space="0" w:color="auto"/>
                            <w:right w:val="none" w:sz="0" w:space="0" w:color="auto"/>
                          </w:divBdr>
                        </w:div>
                        <w:div w:id="1953438646">
                          <w:marLeft w:val="0"/>
                          <w:marRight w:val="0"/>
                          <w:marTop w:val="0"/>
                          <w:marBottom w:val="0"/>
                          <w:divBdr>
                            <w:top w:val="none" w:sz="0" w:space="0" w:color="auto"/>
                            <w:left w:val="none" w:sz="0" w:space="0" w:color="auto"/>
                            <w:bottom w:val="none" w:sz="0" w:space="0" w:color="auto"/>
                            <w:right w:val="none" w:sz="0" w:space="0" w:color="auto"/>
                          </w:divBdr>
                        </w:div>
                        <w:div w:id="1444571130">
                          <w:marLeft w:val="0"/>
                          <w:marRight w:val="0"/>
                          <w:marTop w:val="0"/>
                          <w:marBottom w:val="0"/>
                          <w:divBdr>
                            <w:top w:val="none" w:sz="0" w:space="0" w:color="auto"/>
                            <w:left w:val="none" w:sz="0" w:space="0" w:color="auto"/>
                            <w:bottom w:val="none" w:sz="0" w:space="0" w:color="auto"/>
                            <w:right w:val="none" w:sz="0" w:space="0" w:color="auto"/>
                          </w:divBdr>
                          <w:divsChild>
                            <w:div w:id="1968655990">
                              <w:marLeft w:val="0"/>
                              <w:marRight w:val="0"/>
                              <w:marTop w:val="0"/>
                              <w:marBottom w:val="0"/>
                              <w:divBdr>
                                <w:top w:val="none" w:sz="0" w:space="0" w:color="auto"/>
                                <w:left w:val="none" w:sz="0" w:space="0" w:color="auto"/>
                                <w:bottom w:val="none" w:sz="0" w:space="0" w:color="auto"/>
                                <w:right w:val="none" w:sz="0" w:space="0" w:color="auto"/>
                              </w:divBdr>
                            </w:div>
                            <w:div w:id="641733636">
                              <w:marLeft w:val="0"/>
                              <w:marRight w:val="0"/>
                              <w:marTop w:val="0"/>
                              <w:marBottom w:val="0"/>
                              <w:divBdr>
                                <w:top w:val="none" w:sz="0" w:space="0" w:color="auto"/>
                                <w:left w:val="none" w:sz="0" w:space="0" w:color="auto"/>
                                <w:bottom w:val="none" w:sz="0" w:space="0" w:color="auto"/>
                                <w:right w:val="none" w:sz="0" w:space="0" w:color="auto"/>
                              </w:divBdr>
                            </w:div>
                            <w:div w:id="1521241182">
                              <w:marLeft w:val="0"/>
                              <w:marRight w:val="0"/>
                              <w:marTop w:val="0"/>
                              <w:marBottom w:val="0"/>
                              <w:divBdr>
                                <w:top w:val="none" w:sz="0" w:space="0" w:color="auto"/>
                                <w:left w:val="none" w:sz="0" w:space="0" w:color="auto"/>
                                <w:bottom w:val="none" w:sz="0" w:space="0" w:color="auto"/>
                                <w:right w:val="none" w:sz="0" w:space="0" w:color="auto"/>
                              </w:divBdr>
                            </w:div>
                          </w:divsChild>
                        </w:div>
                        <w:div w:id="2017264943">
                          <w:marLeft w:val="0"/>
                          <w:marRight w:val="0"/>
                          <w:marTop w:val="0"/>
                          <w:marBottom w:val="0"/>
                          <w:divBdr>
                            <w:top w:val="none" w:sz="0" w:space="0" w:color="auto"/>
                            <w:left w:val="none" w:sz="0" w:space="0" w:color="auto"/>
                            <w:bottom w:val="none" w:sz="0" w:space="0" w:color="auto"/>
                            <w:right w:val="none" w:sz="0" w:space="0" w:color="auto"/>
                          </w:divBdr>
                          <w:divsChild>
                            <w:div w:id="1261526806">
                              <w:marLeft w:val="0"/>
                              <w:marRight w:val="0"/>
                              <w:marTop w:val="240"/>
                              <w:marBottom w:val="240"/>
                              <w:divBdr>
                                <w:top w:val="none" w:sz="0" w:space="0" w:color="auto"/>
                                <w:left w:val="none" w:sz="0" w:space="0" w:color="auto"/>
                                <w:bottom w:val="none" w:sz="0" w:space="0" w:color="auto"/>
                                <w:right w:val="none" w:sz="0" w:space="0" w:color="auto"/>
                              </w:divBdr>
                              <w:divsChild>
                                <w:div w:id="400032201">
                                  <w:marLeft w:val="0"/>
                                  <w:marRight w:val="0"/>
                                  <w:marTop w:val="0"/>
                                  <w:marBottom w:val="0"/>
                                  <w:divBdr>
                                    <w:top w:val="none" w:sz="0" w:space="0" w:color="auto"/>
                                    <w:left w:val="none" w:sz="0" w:space="0" w:color="auto"/>
                                    <w:bottom w:val="none" w:sz="0" w:space="0" w:color="auto"/>
                                    <w:right w:val="none" w:sz="0" w:space="0" w:color="auto"/>
                                  </w:divBdr>
                                </w:div>
                                <w:div w:id="276764576">
                                  <w:marLeft w:val="0"/>
                                  <w:marRight w:val="300"/>
                                  <w:marTop w:val="0"/>
                                  <w:marBottom w:val="0"/>
                                  <w:divBdr>
                                    <w:top w:val="none" w:sz="0" w:space="0" w:color="auto"/>
                                    <w:left w:val="none" w:sz="0" w:space="0" w:color="auto"/>
                                    <w:bottom w:val="none" w:sz="0" w:space="0" w:color="auto"/>
                                    <w:right w:val="none" w:sz="0" w:space="0" w:color="auto"/>
                                  </w:divBdr>
                                </w:div>
                                <w:div w:id="176842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8987">
                          <w:marLeft w:val="0"/>
                          <w:marRight w:val="0"/>
                          <w:marTop w:val="0"/>
                          <w:marBottom w:val="0"/>
                          <w:divBdr>
                            <w:top w:val="none" w:sz="0" w:space="0" w:color="auto"/>
                            <w:left w:val="none" w:sz="0" w:space="0" w:color="auto"/>
                            <w:bottom w:val="none" w:sz="0" w:space="0" w:color="auto"/>
                            <w:right w:val="none" w:sz="0" w:space="0" w:color="auto"/>
                          </w:divBdr>
                          <w:divsChild>
                            <w:div w:id="1239826525">
                              <w:marLeft w:val="0"/>
                              <w:marRight w:val="0"/>
                              <w:marTop w:val="240"/>
                              <w:marBottom w:val="240"/>
                              <w:divBdr>
                                <w:top w:val="none" w:sz="0" w:space="0" w:color="auto"/>
                                <w:left w:val="none" w:sz="0" w:space="0" w:color="auto"/>
                                <w:bottom w:val="none" w:sz="0" w:space="0" w:color="auto"/>
                                <w:right w:val="none" w:sz="0" w:space="0" w:color="auto"/>
                              </w:divBdr>
                              <w:divsChild>
                                <w:div w:id="1453205133">
                                  <w:marLeft w:val="0"/>
                                  <w:marRight w:val="0"/>
                                  <w:marTop w:val="0"/>
                                  <w:marBottom w:val="0"/>
                                  <w:divBdr>
                                    <w:top w:val="none" w:sz="0" w:space="0" w:color="auto"/>
                                    <w:left w:val="none" w:sz="0" w:space="0" w:color="auto"/>
                                    <w:bottom w:val="none" w:sz="0" w:space="0" w:color="auto"/>
                                    <w:right w:val="none" w:sz="0" w:space="0" w:color="auto"/>
                                  </w:divBdr>
                                </w:div>
                                <w:div w:id="1934704792">
                                  <w:marLeft w:val="0"/>
                                  <w:marRight w:val="300"/>
                                  <w:marTop w:val="0"/>
                                  <w:marBottom w:val="0"/>
                                  <w:divBdr>
                                    <w:top w:val="none" w:sz="0" w:space="0" w:color="auto"/>
                                    <w:left w:val="none" w:sz="0" w:space="0" w:color="auto"/>
                                    <w:bottom w:val="none" w:sz="0" w:space="0" w:color="auto"/>
                                    <w:right w:val="none" w:sz="0" w:space="0" w:color="auto"/>
                                  </w:divBdr>
                                </w:div>
                                <w:div w:id="496188952">
                                  <w:marLeft w:val="0"/>
                                  <w:marRight w:val="0"/>
                                  <w:marTop w:val="0"/>
                                  <w:marBottom w:val="0"/>
                                  <w:divBdr>
                                    <w:top w:val="none" w:sz="0" w:space="0" w:color="auto"/>
                                    <w:left w:val="none" w:sz="0" w:space="0" w:color="auto"/>
                                    <w:bottom w:val="none" w:sz="0" w:space="0" w:color="auto"/>
                                    <w:right w:val="none" w:sz="0" w:space="0" w:color="auto"/>
                                  </w:divBdr>
                                </w:div>
                              </w:divsChild>
                            </w:div>
                            <w:div w:id="564921269">
                              <w:marLeft w:val="0"/>
                              <w:marRight w:val="0"/>
                              <w:marTop w:val="240"/>
                              <w:marBottom w:val="240"/>
                              <w:divBdr>
                                <w:top w:val="none" w:sz="0" w:space="0" w:color="auto"/>
                                <w:left w:val="none" w:sz="0" w:space="0" w:color="auto"/>
                                <w:bottom w:val="none" w:sz="0" w:space="0" w:color="auto"/>
                                <w:right w:val="none" w:sz="0" w:space="0" w:color="auto"/>
                              </w:divBdr>
                              <w:divsChild>
                                <w:div w:id="1187599259">
                                  <w:marLeft w:val="0"/>
                                  <w:marRight w:val="0"/>
                                  <w:marTop w:val="0"/>
                                  <w:marBottom w:val="0"/>
                                  <w:divBdr>
                                    <w:top w:val="none" w:sz="0" w:space="0" w:color="auto"/>
                                    <w:left w:val="none" w:sz="0" w:space="0" w:color="auto"/>
                                    <w:bottom w:val="none" w:sz="0" w:space="0" w:color="auto"/>
                                    <w:right w:val="none" w:sz="0" w:space="0" w:color="auto"/>
                                  </w:divBdr>
                                </w:div>
                                <w:div w:id="2093622784">
                                  <w:marLeft w:val="0"/>
                                  <w:marRight w:val="300"/>
                                  <w:marTop w:val="0"/>
                                  <w:marBottom w:val="0"/>
                                  <w:divBdr>
                                    <w:top w:val="none" w:sz="0" w:space="0" w:color="auto"/>
                                    <w:left w:val="none" w:sz="0" w:space="0" w:color="auto"/>
                                    <w:bottom w:val="none" w:sz="0" w:space="0" w:color="auto"/>
                                    <w:right w:val="none" w:sz="0" w:space="0" w:color="auto"/>
                                  </w:divBdr>
                                </w:div>
                                <w:div w:id="1384913339">
                                  <w:marLeft w:val="0"/>
                                  <w:marRight w:val="0"/>
                                  <w:marTop w:val="0"/>
                                  <w:marBottom w:val="0"/>
                                  <w:divBdr>
                                    <w:top w:val="none" w:sz="0" w:space="0" w:color="auto"/>
                                    <w:left w:val="none" w:sz="0" w:space="0" w:color="auto"/>
                                    <w:bottom w:val="none" w:sz="0" w:space="0" w:color="auto"/>
                                    <w:right w:val="none" w:sz="0" w:space="0" w:color="auto"/>
                                  </w:divBdr>
                                </w:div>
                              </w:divsChild>
                            </w:div>
                            <w:div w:id="1691178786">
                              <w:marLeft w:val="0"/>
                              <w:marRight w:val="0"/>
                              <w:marTop w:val="0"/>
                              <w:marBottom w:val="0"/>
                              <w:divBdr>
                                <w:top w:val="none" w:sz="0" w:space="0" w:color="auto"/>
                                <w:left w:val="none" w:sz="0" w:space="0" w:color="auto"/>
                                <w:bottom w:val="none" w:sz="0" w:space="0" w:color="auto"/>
                                <w:right w:val="none" w:sz="0" w:space="0" w:color="auto"/>
                              </w:divBdr>
                              <w:divsChild>
                                <w:div w:id="1362439913">
                                  <w:marLeft w:val="0"/>
                                  <w:marRight w:val="0"/>
                                  <w:marTop w:val="240"/>
                                  <w:marBottom w:val="240"/>
                                  <w:divBdr>
                                    <w:top w:val="none" w:sz="0" w:space="0" w:color="auto"/>
                                    <w:left w:val="none" w:sz="0" w:space="0" w:color="auto"/>
                                    <w:bottom w:val="none" w:sz="0" w:space="0" w:color="auto"/>
                                    <w:right w:val="none" w:sz="0" w:space="0" w:color="auto"/>
                                  </w:divBdr>
                                  <w:divsChild>
                                    <w:div w:id="1286303746">
                                      <w:marLeft w:val="0"/>
                                      <w:marRight w:val="300"/>
                                      <w:marTop w:val="0"/>
                                      <w:marBottom w:val="0"/>
                                      <w:divBdr>
                                        <w:top w:val="none" w:sz="0" w:space="0" w:color="auto"/>
                                        <w:left w:val="none" w:sz="0" w:space="0" w:color="auto"/>
                                        <w:bottom w:val="none" w:sz="0" w:space="0" w:color="auto"/>
                                        <w:right w:val="none" w:sz="0" w:space="0" w:color="auto"/>
                                      </w:divBdr>
                                    </w:div>
                                    <w:div w:id="836070860">
                                      <w:marLeft w:val="0"/>
                                      <w:marRight w:val="0"/>
                                      <w:marTop w:val="0"/>
                                      <w:marBottom w:val="0"/>
                                      <w:divBdr>
                                        <w:top w:val="none" w:sz="0" w:space="0" w:color="auto"/>
                                        <w:left w:val="none" w:sz="0" w:space="0" w:color="auto"/>
                                        <w:bottom w:val="none" w:sz="0" w:space="0" w:color="auto"/>
                                        <w:right w:val="none" w:sz="0" w:space="0" w:color="auto"/>
                                      </w:divBdr>
                                    </w:div>
                                  </w:divsChild>
                                </w:div>
                                <w:div w:id="1002078049">
                                  <w:marLeft w:val="0"/>
                                  <w:marRight w:val="0"/>
                                  <w:marTop w:val="240"/>
                                  <w:marBottom w:val="240"/>
                                  <w:divBdr>
                                    <w:top w:val="none" w:sz="0" w:space="0" w:color="auto"/>
                                    <w:left w:val="none" w:sz="0" w:space="0" w:color="auto"/>
                                    <w:bottom w:val="none" w:sz="0" w:space="0" w:color="auto"/>
                                    <w:right w:val="none" w:sz="0" w:space="0" w:color="auto"/>
                                  </w:divBdr>
                                  <w:divsChild>
                                    <w:div w:id="654845779">
                                      <w:marLeft w:val="0"/>
                                      <w:marRight w:val="300"/>
                                      <w:marTop w:val="0"/>
                                      <w:marBottom w:val="0"/>
                                      <w:divBdr>
                                        <w:top w:val="none" w:sz="0" w:space="0" w:color="auto"/>
                                        <w:left w:val="none" w:sz="0" w:space="0" w:color="auto"/>
                                        <w:bottom w:val="none" w:sz="0" w:space="0" w:color="auto"/>
                                        <w:right w:val="none" w:sz="0" w:space="0" w:color="auto"/>
                                      </w:divBdr>
                                    </w:div>
                                    <w:div w:id="101680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44246">
                              <w:marLeft w:val="0"/>
                              <w:marRight w:val="0"/>
                              <w:marTop w:val="0"/>
                              <w:marBottom w:val="0"/>
                              <w:divBdr>
                                <w:top w:val="none" w:sz="0" w:space="0" w:color="auto"/>
                                <w:left w:val="none" w:sz="0" w:space="0" w:color="auto"/>
                                <w:bottom w:val="none" w:sz="0" w:space="0" w:color="auto"/>
                                <w:right w:val="none" w:sz="0" w:space="0" w:color="auto"/>
                              </w:divBdr>
                              <w:divsChild>
                                <w:div w:id="433132629">
                                  <w:marLeft w:val="0"/>
                                  <w:marRight w:val="0"/>
                                  <w:marTop w:val="240"/>
                                  <w:marBottom w:val="240"/>
                                  <w:divBdr>
                                    <w:top w:val="none" w:sz="0" w:space="0" w:color="auto"/>
                                    <w:left w:val="none" w:sz="0" w:space="0" w:color="auto"/>
                                    <w:bottom w:val="none" w:sz="0" w:space="0" w:color="auto"/>
                                    <w:right w:val="none" w:sz="0" w:space="0" w:color="auto"/>
                                  </w:divBdr>
                                  <w:divsChild>
                                    <w:div w:id="1283995096">
                                      <w:marLeft w:val="0"/>
                                      <w:marRight w:val="300"/>
                                      <w:marTop w:val="0"/>
                                      <w:marBottom w:val="0"/>
                                      <w:divBdr>
                                        <w:top w:val="none" w:sz="0" w:space="0" w:color="auto"/>
                                        <w:left w:val="none" w:sz="0" w:space="0" w:color="auto"/>
                                        <w:bottom w:val="none" w:sz="0" w:space="0" w:color="auto"/>
                                        <w:right w:val="none" w:sz="0" w:space="0" w:color="auto"/>
                                      </w:divBdr>
                                    </w:div>
                                    <w:div w:id="1089543054">
                                      <w:marLeft w:val="0"/>
                                      <w:marRight w:val="0"/>
                                      <w:marTop w:val="0"/>
                                      <w:marBottom w:val="0"/>
                                      <w:divBdr>
                                        <w:top w:val="none" w:sz="0" w:space="0" w:color="auto"/>
                                        <w:left w:val="none" w:sz="0" w:space="0" w:color="auto"/>
                                        <w:bottom w:val="none" w:sz="0" w:space="0" w:color="auto"/>
                                        <w:right w:val="none" w:sz="0" w:space="0" w:color="auto"/>
                                      </w:divBdr>
                                    </w:div>
                                  </w:divsChild>
                                </w:div>
                                <w:div w:id="1274556240">
                                  <w:marLeft w:val="0"/>
                                  <w:marRight w:val="0"/>
                                  <w:marTop w:val="240"/>
                                  <w:marBottom w:val="240"/>
                                  <w:divBdr>
                                    <w:top w:val="none" w:sz="0" w:space="0" w:color="auto"/>
                                    <w:left w:val="none" w:sz="0" w:space="0" w:color="auto"/>
                                    <w:bottom w:val="none" w:sz="0" w:space="0" w:color="auto"/>
                                    <w:right w:val="none" w:sz="0" w:space="0" w:color="auto"/>
                                  </w:divBdr>
                                  <w:divsChild>
                                    <w:div w:id="167064231">
                                      <w:marLeft w:val="0"/>
                                      <w:marRight w:val="300"/>
                                      <w:marTop w:val="0"/>
                                      <w:marBottom w:val="0"/>
                                      <w:divBdr>
                                        <w:top w:val="none" w:sz="0" w:space="0" w:color="auto"/>
                                        <w:left w:val="none" w:sz="0" w:space="0" w:color="auto"/>
                                        <w:bottom w:val="none" w:sz="0" w:space="0" w:color="auto"/>
                                        <w:right w:val="none" w:sz="0" w:space="0" w:color="auto"/>
                                      </w:divBdr>
                                    </w:div>
                                    <w:div w:id="1302923460">
                                      <w:marLeft w:val="0"/>
                                      <w:marRight w:val="0"/>
                                      <w:marTop w:val="0"/>
                                      <w:marBottom w:val="0"/>
                                      <w:divBdr>
                                        <w:top w:val="none" w:sz="0" w:space="0" w:color="auto"/>
                                        <w:left w:val="none" w:sz="0" w:space="0" w:color="auto"/>
                                        <w:bottom w:val="none" w:sz="0" w:space="0" w:color="auto"/>
                                        <w:right w:val="none" w:sz="0" w:space="0" w:color="auto"/>
                                      </w:divBdr>
                                    </w:div>
                                  </w:divsChild>
                                </w:div>
                                <w:div w:id="527571804">
                                  <w:marLeft w:val="0"/>
                                  <w:marRight w:val="0"/>
                                  <w:marTop w:val="240"/>
                                  <w:marBottom w:val="240"/>
                                  <w:divBdr>
                                    <w:top w:val="none" w:sz="0" w:space="0" w:color="auto"/>
                                    <w:left w:val="none" w:sz="0" w:space="0" w:color="auto"/>
                                    <w:bottom w:val="none" w:sz="0" w:space="0" w:color="auto"/>
                                    <w:right w:val="none" w:sz="0" w:space="0" w:color="auto"/>
                                  </w:divBdr>
                                  <w:divsChild>
                                    <w:div w:id="947856114">
                                      <w:marLeft w:val="0"/>
                                      <w:marRight w:val="0"/>
                                      <w:marTop w:val="0"/>
                                      <w:marBottom w:val="0"/>
                                      <w:divBdr>
                                        <w:top w:val="none" w:sz="0" w:space="0" w:color="auto"/>
                                        <w:left w:val="none" w:sz="0" w:space="0" w:color="auto"/>
                                        <w:bottom w:val="none" w:sz="0" w:space="0" w:color="auto"/>
                                        <w:right w:val="none" w:sz="0" w:space="0" w:color="auto"/>
                                      </w:divBdr>
                                    </w:div>
                                    <w:div w:id="1077436476">
                                      <w:marLeft w:val="0"/>
                                      <w:marRight w:val="300"/>
                                      <w:marTop w:val="0"/>
                                      <w:marBottom w:val="0"/>
                                      <w:divBdr>
                                        <w:top w:val="none" w:sz="0" w:space="0" w:color="auto"/>
                                        <w:left w:val="none" w:sz="0" w:space="0" w:color="auto"/>
                                        <w:bottom w:val="none" w:sz="0" w:space="0" w:color="auto"/>
                                        <w:right w:val="none" w:sz="0" w:space="0" w:color="auto"/>
                                      </w:divBdr>
                                    </w:div>
                                    <w:div w:id="9694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051415">
                              <w:marLeft w:val="0"/>
                              <w:marRight w:val="0"/>
                              <w:marTop w:val="0"/>
                              <w:marBottom w:val="0"/>
                              <w:divBdr>
                                <w:top w:val="none" w:sz="0" w:space="0" w:color="auto"/>
                                <w:left w:val="none" w:sz="0" w:space="0" w:color="auto"/>
                                <w:bottom w:val="none" w:sz="0" w:space="0" w:color="auto"/>
                                <w:right w:val="none" w:sz="0" w:space="0" w:color="auto"/>
                              </w:divBdr>
                              <w:divsChild>
                                <w:div w:id="275410667">
                                  <w:marLeft w:val="0"/>
                                  <w:marRight w:val="0"/>
                                  <w:marTop w:val="240"/>
                                  <w:marBottom w:val="240"/>
                                  <w:divBdr>
                                    <w:top w:val="none" w:sz="0" w:space="0" w:color="auto"/>
                                    <w:left w:val="none" w:sz="0" w:space="0" w:color="auto"/>
                                    <w:bottom w:val="none" w:sz="0" w:space="0" w:color="auto"/>
                                    <w:right w:val="none" w:sz="0" w:space="0" w:color="auto"/>
                                  </w:divBdr>
                                  <w:divsChild>
                                    <w:div w:id="1867786634">
                                      <w:marLeft w:val="0"/>
                                      <w:marRight w:val="300"/>
                                      <w:marTop w:val="0"/>
                                      <w:marBottom w:val="0"/>
                                      <w:divBdr>
                                        <w:top w:val="none" w:sz="0" w:space="0" w:color="auto"/>
                                        <w:left w:val="none" w:sz="0" w:space="0" w:color="auto"/>
                                        <w:bottom w:val="none" w:sz="0" w:space="0" w:color="auto"/>
                                        <w:right w:val="none" w:sz="0" w:space="0" w:color="auto"/>
                                      </w:divBdr>
                                    </w:div>
                                    <w:div w:id="948898617">
                                      <w:marLeft w:val="0"/>
                                      <w:marRight w:val="0"/>
                                      <w:marTop w:val="0"/>
                                      <w:marBottom w:val="0"/>
                                      <w:divBdr>
                                        <w:top w:val="none" w:sz="0" w:space="0" w:color="auto"/>
                                        <w:left w:val="none" w:sz="0" w:space="0" w:color="auto"/>
                                        <w:bottom w:val="none" w:sz="0" w:space="0" w:color="auto"/>
                                        <w:right w:val="none" w:sz="0" w:space="0" w:color="auto"/>
                                      </w:divBdr>
                                    </w:div>
                                  </w:divsChild>
                                </w:div>
                                <w:div w:id="986861845">
                                  <w:marLeft w:val="0"/>
                                  <w:marRight w:val="0"/>
                                  <w:marTop w:val="240"/>
                                  <w:marBottom w:val="240"/>
                                  <w:divBdr>
                                    <w:top w:val="none" w:sz="0" w:space="0" w:color="auto"/>
                                    <w:left w:val="none" w:sz="0" w:space="0" w:color="auto"/>
                                    <w:bottom w:val="none" w:sz="0" w:space="0" w:color="auto"/>
                                    <w:right w:val="none" w:sz="0" w:space="0" w:color="auto"/>
                                  </w:divBdr>
                                  <w:divsChild>
                                    <w:div w:id="1759135971">
                                      <w:marLeft w:val="0"/>
                                      <w:marRight w:val="300"/>
                                      <w:marTop w:val="0"/>
                                      <w:marBottom w:val="0"/>
                                      <w:divBdr>
                                        <w:top w:val="none" w:sz="0" w:space="0" w:color="auto"/>
                                        <w:left w:val="none" w:sz="0" w:space="0" w:color="auto"/>
                                        <w:bottom w:val="none" w:sz="0" w:space="0" w:color="auto"/>
                                        <w:right w:val="none" w:sz="0" w:space="0" w:color="auto"/>
                                      </w:divBdr>
                                    </w:div>
                                    <w:div w:id="136822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417585">
                              <w:marLeft w:val="0"/>
                              <w:marRight w:val="0"/>
                              <w:marTop w:val="0"/>
                              <w:marBottom w:val="0"/>
                              <w:divBdr>
                                <w:top w:val="none" w:sz="0" w:space="0" w:color="auto"/>
                                <w:left w:val="none" w:sz="0" w:space="0" w:color="auto"/>
                                <w:bottom w:val="none" w:sz="0" w:space="0" w:color="auto"/>
                                <w:right w:val="none" w:sz="0" w:space="0" w:color="auto"/>
                              </w:divBdr>
                            </w:div>
                          </w:divsChild>
                        </w:div>
                        <w:div w:id="1865904908">
                          <w:marLeft w:val="0"/>
                          <w:marRight w:val="0"/>
                          <w:marTop w:val="0"/>
                          <w:marBottom w:val="0"/>
                          <w:divBdr>
                            <w:top w:val="none" w:sz="0" w:space="0" w:color="auto"/>
                            <w:left w:val="none" w:sz="0" w:space="0" w:color="auto"/>
                            <w:bottom w:val="none" w:sz="0" w:space="0" w:color="auto"/>
                            <w:right w:val="none" w:sz="0" w:space="0" w:color="auto"/>
                          </w:divBdr>
                        </w:div>
                        <w:div w:id="133853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journals.sagepub.com/doi/full/10.1177/0093854820913585" TargetMode="External"/><Relationship Id="rId21" Type="http://schemas.openxmlformats.org/officeDocument/2006/relationships/hyperlink" Target="https://journals.sagepub.com/doi/full/10.1177/0093854820913585" TargetMode="External"/><Relationship Id="rId42" Type="http://schemas.openxmlformats.org/officeDocument/2006/relationships/hyperlink" Target="https://journals.sagepub.com/doi/full/10.1177/0093854820913585" TargetMode="External"/><Relationship Id="rId63" Type="http://schemas.openxmlformats.org/officeDocument/2006/relationships/hyperlink" Target="https://journals.sagepub.com/doi/full/10.1177/0093854820913585" TargetMode="External"/><Relationship Id="rId84" Type="http://schemas.openxmlformats.org/officeDocument/2006/relationships/hyperlink" Target="https://journals.sagepub.com/doi/full/10.1177/0093854820913585" TargetMode="External"/><Relationship Id="rId138" Type="http://schemas.openxmlformats.org/officeDocument/2006/relationships/hyperlink" Target="https://journals.sagepub.com/doi/full/10.1177/0093854820913585" TargetMode="External"/><Relationship Id="rId159" Type="http://schemas.openxmlformats.org/officeDocument/2006/relationships/hyperlink" Target="https://journals.sagepub.com/doi/full/10.1177/0093854820913585" TargetMode="External"/><Relationship Id="rId170" Type="http://schemas.openxmlformats.org/officeDocument/2006/relationships/hyperlink" Target="https://journals.sagepub.com/doi/full/10.1177/0093854820913585" TargetMode="External"/><Relationship Id="rId191" Type="http://schemas.openxmlformats.org/officeDocument/2006/relationships/hyperlink" Target="https://journals.sagepub.com/doi/full/10.1177/0093854820913585" TargetMode="External"/><Relationship Id="rId205" Type="http://schemas.openxmlformats.org/officeDocument/2006/relationships/hyperlink" Target="https://journals.sagepub.com/doi/full/10.1177/0093854820913585" TargetMode="External"/><Relationship Id="rId226" Type="http://schemas.openxmlformats.org/officeDocument/2006/relationships/hyperlink" Target="https://journals.sagepub.com/doi/full/10.1177/0093854820913585" TargetMode="External"/><Relationship Id="rId247" Type="http://schemas.openxmlformats.org/officeDocument/2006/relationships/hyperlink" Target="https://journals.sagepub.com/doi/full/10.1177/0093854820913585" TargetMode="External"/><Relationship Id="rId107" Type="http://schemas.openxmlformats.org/officeDocument/2006/relationships/hyperlink" Target="https://journals.sagepub.com/doi/full/10.1177/0093854820913585" TargetMode="External"/><Relationship Id="rId11" Type="http://schemas.openxmlformats.org/officeDocument/2006/relationships/hyperlink" Target="https://journals.sagepub.com/doi/full/10.1177/0093854820913585" TargetMode="External"/><Relationship Id="rId32" Type="http://schemas.openxmlformats.org/officeDocument/2006/relationships/hyperlink" Target="https://journals.sagepub.com/doi/full/10.1177/0093854820913585" TargetMode="External"/><Relationship Id="rId53" Type="http://schemas.openxmlformats.org/officeDocument/2006/relationships/hyperlink" Target="https://journals.sagepub.com/doi/full/10.1177/0093854820913585" TargetMode="External"/><Relationship Id="rId74" Type="http://schemas.openxmlformats.org/officeDocument/2006/relationships/hyperlink" Target="https://journals.sagepub.com/doi/full/10.1177/0093854820913585" TargetMode="External"/><Relationship Id="rId128" Type="http://schemas.openxmlformats.org/officeDocument/2006/relationships/hyperlink" Target="https://journals.sagepub.com/doi/full/10.1177/0093854820913585" TargetMode="External"/><Relationship Id="rId149" Type="http://schemas.openxmlformats.org/officeDocument/2006/relationships/hyperlink" Target="https://journals.sagepub.com/doi/full/10.1177/0093854820913585" TargetMode="External"/><Relationship Id="rId5" Type="http://schemas.openxmlformats.org/officeDocument/2006/relationships/footnotes" Target="footnotes.xml"/><Relationship Id="rId95" Type="http://schemas.openxmlformats.org/officeDocument/2006/relationships/hyperlink" Target="https://journals.sagepub.com/doi/full/10.1177/0093854820913585" TargetMode="External"/><Relationship Id="rId160" Type="http://schemas.openxmlformats.org/officeDocument/2006/relationships/hyperlink" Target="https://journals.sagepub.com/doi/full/10.1177/0093854820913585" TargetMode="External"/><Relationship Id="rId181" Type="http://schemas.openxmlformats.org/officeDocument/2006/relationships/hyperlink" Target="https://journals.sagepub.com/doi/full/10.1177/0093854820913585" TargetMode="External"/><Relationship Id="rId216" Type="http://schemas.openxmlformats.org/officeDocument/2006/relationships/hyperlink" Target="https://journals.sagepub.com/doi/full/10.1177/0093854820913585" TargetMode="External"/><Relationship Id="rId237" Type="http://schemas.openxmlformats.org/officeDocument/2006/relationships/hyperlink" Target="https://journals.sagepub.com/doi/full/10.1177/0093854820913585" TargetMode="External"/><Relationship Id="rId22" Type="http://schemas.openxmlformats.org/officeDocument/2006/relationships/hyperlink" Target="https://journals.sagepub.com/doi/full/10.1177/0093854820913585" TargetMode="External"/><Relationship Id="rId43" Type="http://schemas.openxmlformats.org/officeDocument/2006/relationships/hyperlink" Target="https://journals.sagepub.com/doi/full/10.1177/0093854820913585" TargetMode="External"/><Relationship Id="rId64" Type="http://schemas.openxmlformats.org/officeDocument/2006/relationships/hyperlink" Target="https://journals.sagepub.com/doi/full/10.1177/0093854820913585" TargetMode="External"/><Relationship Id="rId118" Type="http://schemas.openxmlformats.org/officeDocument/2006/relationships/hyperlink" Target="https://journals.sagepub.com/doi/full/10.1177/0093854820913585" TargetMode="External"/><Relationship Id="rId139" Type="http://schemas.openxmlformats.org/officeDocument/2006/relationships/hyperlink" Target="https://journals.sagepub.com/doi/full/10.1177/0093854820913585" TargetMode="External"/><Relationship Id="rId85" Type="http://schemas.openxmlformats.org/officeDocument/2006/relationships/hyperlink" Target="https://journals.sagepub.com/doi/full/10.1177/0093854820913585" TargetMode="External"/><Relationship Id="rId150" Type="http://schemas.openxmlformats.org/officeDocument/2006/relationships/hyperlink" Target="https://journals.sagepub.com/doi/full/10.1177/0093854820913585" TargetMode="External"/><Relationship Id="rId171" Type="http://schemas.openxmlformats.org/officeDocument/2006/relationships/hyperlink" Target="https://journals.sagepub.com/doi/full/10.1177/0093854820913585" TargetMode="External"/><Relationship Id="rId192" Type="http://schemas.openxmlformats.org/officeDocument/2006/relationships/hyperlink" Target="https://journals.sagepub.com/doi/full/10.1177/0093854820913585" TargetMode="External"/><Relationship Id="rId206" Type="http://schemas.openxmlformats.org/officeDocument/2006/relationships/hyperlink" Target="https://journals.sagepub.com/doi/full/10.1177/0093854820913585" TargetMode="External"/><Relationship Id="rId227" Type="http://schemas.openxmlformats.org/officeDocument/2006/relationships/hyperlink" Target="https://journals.sagepub.com/doi/full/10.1177/0093854820913585" TargetMode="External"/><Relationship Id="rId248" Type="http://schemas.openxmlformats.org/officeDocument/2006/relationships/hyperlink" Target="https://journals.sagepub.com/doi/full/10.1177/0093854820913585" TargetMode="External"/><Relationship Id="rId12" Type="http://schemas.openxmlformats.org/officeDocument/2006/relationships/hyperlink" Target="https://journals.sagepub.com/doi/full/10.1177/0093854820913585" TargetMode="External"/><Relationship Id="rId33" Type="http://schemas.openxmlformats.org/officeDocument/2006/relationships/hyperlink" Target="https://journals.sagepub.com/doi/full/10.1177/0093854820913585" TargetMode="External"/><Relationship Id="rId108" Type="http://schemas.openxmlformats.org/officeDocument/2006/relationships/hyperlink" Target="https://journals.sagepub.com/doi/full/10.1177/0093854820913585" TargetMode="External"/><Relationship Id="rId129" Type="http://schemas.openxmlformats.org/officeDocument/2006/relationships/hyperlink" Target="https://journals.sagepub.com/doi/full/10.1177/0093854820913585" TargetMode="External"/><Relationship Id="rId54" Type="http://schemas.openxmlformats.org/officeDocument/2006/relationships/hyperlink" Target="https://journals.sagepub.com/doi/full/10.1177/0093854820913585" TargetMode="External"/><Relationship Id="rId75" Type="http://schemas.openxmlformats.org/officeDocument/2006/relationships/hyperlink" Target="https://journals.sagepub.com/doi/full/10.1177/0093854820913585" TargetMode="External"/><Relationship Id="rId96" Type="http://schemas.openxmlformats.org/officeDocument/2006/relationships/hyperlink" Target="https://journals.sagepub.com/doi/full/10.1177/0093854820913585" TargetMode="External"/><Relationship Id="rId140" Type="http://schemas.openxmlformats.org/officeDocument/2006/relationships/hyperlink" Target="https://journals.sagepub.com/doi/full/10.1177/0093854820913585" TargetMode="External"/><Relationship Id="rId161" Type="http://schemas.openxmlformats.org/officeDocument/2006/relationships/hyperlink" Target="https://journals.sagepub.com/doi/full/10.1177/0093854820913585" TargetMode="External"/><Relationship Id="rId182" Type="http://schemas.openxmlformats.org/officeDocument/2006/relationships/hyperlink" Target="https://journals.sagepub.com/doi/full/10.1177/0093854820913585" TargetMode="External"/><Relationship Id="rId217" Type="http://schemas.openxmlformats.org/officeDocument/2006/relationships/hyperlink" Target="https://journals.sagepub.com/doi/full/10.1177/0093854820913585" TargetMode="External"/><Relationship Id="rId6" Type="http://schemas.openxmlformats.org/officeDocument/2006/relationships/endnotes" Target="endnotes.xml"/><Relationship Id="rId238" Type="http://schemas.openxmlformats.org/officeDocument/2006/relationships/hyperlink" Target="https://journals.sagepub.com/doi/full/10.1177/0093854820913585" TargetMode="External"/><Relationship Id="rId23" Type="http://schemas.openxmlformats.org/officeDocument/2006/relationships/hyperlink" Target="https://journals.sagepub.com/doi/full/10.1177/0093854820913585" TargetMode="External"/><Relationship Id="rId119" Type="http://schemas.openxmlformats.org/officeDocument/2006/relationships/hyperlink" Target="https://journals.sagepub.com/doi/full/10.1177/0093854820913585" TargetMode="External"/><Relationship Id="rId44" Type="http://schemas.openxmlformats.org/officeDocument/2006/relationships/hyperlink" Target="https://journals.sagepub.com/doi/full/10.1177/0093854820913585" TargetMode="External"/><Relationship Id="rId65" Type="http://schemas.openxmlformats.org/officeDocument/2006/relationships/hyperlink" Target="https://journals.sagepub.com/doi/full/10.1177/0093854820913585" TargetMode="External"/><Relationship Id="rId86" Type="http://schemas.openxmlformats.org/officeDocument/2006/relationships/hyperlink" Target="https://journals.sagepub.com/doi/full/10.1177/0093854820913585" TargetMode="External"/><Relationship Id="rId130" Type="http://schemas.openxmlformats.org/officeDocument/2006/relationships/hyperlink" Target="https://journals.sagepub.com/doi/full/10.1177/0093854820913585" TargetMode="External"/><Relationship Id="rId151" Type="http://schemas.openxmlformats.org/officeDocument/2006/relationships/hyperlink" Target="https://journals.sagepub.com/doi/full/10.1177/0093854820913585" TargetMode="External"/><Relationship Id="rId172" Type="http://schemas.openxmlformats.org/officeDocument/2006/relationships/hyperlink" Target="https://journals.sagepub.com/doi/full/10.1177/0093854820913585" TargetMode="External"/><Relationship Id="rId193" Type="http://schemas.openxmlformats.org/officeDocument/2006/relationships/hyperlink" Target="https://journals.sagepub.com/doi/full/10.1177/0093854820913585" TargetMode="External"/><Relationship Id="rId207" Type="http://schemas.openxmlformats.org/officeDocument/2006/relationships/hyperlink" Target="https://journals.sagepub.com/doi/full/10.1177/0093854820913585" TargetMode="External"/><Relationship Id="rId228" Type="http://schemas.openxmlformats.org/officeDocument/2006/relationships/hyperlink" Target="https://journals.sagepub.com/doi/full/10.1177/0093854820913585" TargetMode="External"/><Relationship Id="rId249" Type="http://schemas.openxmlformats.org/officeDocument/2006/relationships/hyperlink" Target="https://journals.sagepub.com/doi/full/10.1177/0093854820913585" TargetMode="External"/><Relationship Id="rId13" Type="http://schemas.openxmlformats.org/officeDocument/2006/relationships/hyperlink" Target="https://journals.sagepub.com/doi/full/10.1177/0093854820913585" TargetMode="External"/><Relationship Id="rId109" Type="http://schemas.openxmlformats.org/officeDocument/2006/relationships/hyperlink" Target="https://journals.sagepub.com/doi/full/10.1177/0093854820913585" TargetMode="External"/><Relationship Id="rId34" Type="http://schemas.openxmlformats.org/officeDocument/2006/relationships/hyperlink" Target="https://journals.sagepub.com/doi/full/10.1177/0093854820913585" TargetMode="External"/><Relationship Id="rId55" Type="http://schemas.openxmlformats.org/officeDocument/2006/relationships/hyperlink" Target="https://journals.sagepub.com/doi/full/10.1177/0093854820913585" TargetMode="External"/><Relationship Id="rId76" Type="http://schemas.openxmlformats.org/officeDocument/2006/relationships/hyperlink" Target="https://journals.sagepub.com/doi/full/10.1177/0093854820913585" TargetMode="External"/><Relationship Id="rId97" Type="http://schemas.openxmlformats.org/officeDocument/2006/relationships/hyperlink" Target="https://journals.sagepub.com/doi/full/10.1177/0093854820913585" TargetMode="External"/><Relationship Id="rId120" Type="http://schemas.openxmlformats.org/officeDocument/2006/relationships/hyperlink" Target="https://journals.sagepub.com/doi/full/10.1177/0093854820913585" TargetMode="External"/><Relationship Id="rId141" Type="http://schemas.openxmlformats.org/officeDocument/2006/relationships/hyperlink" Target="https://journals.sagepub.com/doi/full/10.1177/0093854820913585" TargetMode="External"/><Relationship Id="rId7" Type="http://schemas.openxmlformats.org/officeDocument/2006/relationships/hyperlink" Target="https://journals.sagepub.com/doi/full/10.1177/0093854820913585" TargetMode="External"/><Relationship Id="rId162" Type="http://schemas.openxmlformats.org/officeDocument/2006/relationships/hyperlink" Target="https://journals.sagepub.com/doi/full/10.1177/0093854820913585" TargetMode="External"/><Relationship Id="rId183" Type="http://schemas.openxmlformats.org/officeDocument/2006/relationships/hyperlink" Target="https://journals.sagepub.com/doi/full/10.1177/0093854820913585" TargetMode="External"/><Relationship Id="rId218" Type="http://schemas.openxmlformats.org/officeDocument/2006/relationships/hyperlink" Target="https://journals.sagepub.com/doi/full/10.1177/0093854820913585" TargetMode="External"/><Relationship Id="rId239" Type="http://schemas.openxmlformats.org/officeDocument/2006/relationships/hyperlink" Target="https://journals.sagepub.com/doi/full/10.1177/0093854820913585" TargetMode="External"/><Relationship Id="rId250" Type="http://schemas.openxmlformats.org/officeDocument/2006/relationships/hyperlink" Target="https://journals.sagepub.com/doi/full/10.1177/0093854820913585" TargetMode="External"/><Relationship Id="rId24" Type="http://schemas.openxmlformats.org/officeDocument/2006/relationships/hyperlink" Target="https://journals.sagepub.com/doi/full/10.1177/0093854820913585" TargetMode="External"/><Relationship Id="rId45" Type="http://schemas.openxmlformats.org/officeDocument/2006/relationships/hyperlink" Target="https://journals.sagepub.com/doi/full/10.1177/0093854820913585" TargetMode="External"/><Relationship Id="rId66" Type="http://schemas.openxmlformats.org/officeDocument/2006/relationships/hyperlink" Target="https://journals.sagepub.com/doi/full/10.1177/0093854820913585" TargetMode="External"/><Relationship Id="rId87" Type="http://schemas.openxmlformats.org/officeDocument/2006/relationships/hyperlink" Target="https://journals.sagepub.com/doi/full/10.1177/0093854820913585" TargetMode="External"/><Relationship Id="rId110" Type="http://schemas.openxmlformats.org/officeDocument/2006/relationships/hyperlink" Target="https://journals.sagepub.com/doi/full/10.1177/0093854820913585" TargetMode="External"/><Relationship Id="rId131" Type="http://schemas.openxmlformats.org/officeDocument/2006/relationships/hyperlink" Target="https://journals.sagepub.com/doi/full/10.1177/0093854820913585" TargetMode="External"/><Relationship Id="rId152" Type="http://schemas.openxmlformats.org/officeDocument/2006/relationships/hyperlink" Target="https://journals.sagepub.com/doi/full/10.1177/0093854820913585" TargetMode="External"/><Relationship Id="rId173" Type="http://schemas.openxmlformats.org/officeDocument/2006/relationships/hyperlink" Target="https://journals.sagepub.com/doi/full/10.1177/0093854820913585" TargetMode="External"/><Relationship Id="rId194" Type="http://schemas.openxmlformats.org/officeDocument/2006/relationships/hyperlink" Target="https://journals.sagepub.com/doi/full/10.1177/0093854820913585" TargetMode="External"/><Relationship Id="rId208" Type="http://schemas.openxmlformats.org/officeDocument/2006/relationships/hyperlink" Target="https://journals.sagepub.com/doi/full/10.1177/0093854820913585" TargetMode="External"/><Relationship Id="rId229" Type="http://schemas.openxmlformats.org/officeDocument/2006/relationships/hyperlink" Target="https://journals.sagepub.com/doi/full/10.1177/0093854820913585" TargetMode="External"/><Relationship Id="rId240" Type="http://schemas.openxmlformats.org/officeDocument/2006/relationships/hyperlink" Target="https://journals.sagepub.com/doi/full/10.1177/0093854820913585" TargetMode="External"/><Relationship Id="rId14" Type="http://schemas.openxmlformats.org/officeDocument/2006/relationships/hyperlink" Target="https://journals.sagepub.com/doi/full/10.1177/0093854820913585" TargetMode="External"/><Relationship Id="rId35" Type="http://schemas.openxmlformats.org/officeDocument/2006/relationships/hyperlink" Target="https://journals.sagepub.com/doi/full/10.1177/0093854820913585" TargetMode="External"/><Relationship Id="rId56" Type="http://schemas.openxmlformats.org/officeDocument/2006/relationships/hyperlink" Target="https://journals.sagepub.com/doi/full/10.1177/0093854820913585" TargetMode="External"/><Relationship Id="rId77" Type="http://schemas.openxmlformats.org/officeDocument/2006/relationships/hyperlink" Target="https://journals.sagepub.com/doi/full/10.1177/0093854820913585" TargetMode="External"/><Relationship Id="rId100" Type="http://schemas.openxmlformats.org/officeDocument/2006/relationships/hyperlink" Target="https://journals.sagepub.com/doi/full/10.1177/0093854820913585" TargetMode="External"/><Relationship Id="rId8" Type="http://schemas.openxmlformats.org/officeDocument/2006/relationships/hyperlink" Target="https://journals.sagepub.com/doi/full/10.1177/0093854820913585" TargetMode="External"/><Relationship Id="rId98" Type="http://schemas.openxmlformats.org/officeDocument/2006/relationships/hyperlink" Target="https://journals.sagepub.com/doi/full/10.1177/0093854820913585" TargetMode="External"/><Relationship Id="rId121" Type="http://schemas.openxmlformats.org/officeDocument/2006/relationships/hyperlink" Target="https://journals.sagepub.com/doi/full/10.1177/0093854820913585" TargetMode="External"/><Relationship Id="rId142" Type="http://schemas.openxmlformats.org/officeDocument/2006/relationships/hyperlink" Target="https://journals.sagepub.com/doi/full/10.1177/0093854820913585" TargetMode="External"/><Relationship Id="rId163" Type="http://schemas.openxmlformats.org/officeDocument/2006/relationships/hyperlink" Target="https://journals.sagepub.com/doi/full/10.1177/0093854820913585" TargetMode="External"/><Relationship Id="rId184" Type="http://schemas.openxmlformats.org/officeDocument/2006/relationships/hyperlink" Target="https://journals.sagepub.com/doi/full/10.1177/0093854820913585" TargetMode="External"/><Relationship Id="rId219" Type="http://schemas.openxmlformats.org/officeDocument/2006/relationships/hyperlink" Target="https://journals.sagepub.com/doi/full/10.1177/0093854820913585" TargetMode="External"/><Relationship Id="rId230" Type="http://schemas.openxmlformats.org/officeDocument/2006/relationships/hyperlink" Target="https://journals.sagepub.com/doi/full/10.1177/0093854820913585" TargetMode="External"/><Relationship Id="rId251" Type="http://schemas.openxmlformats.org/officeDocument/2006/relationships/hyperlink" Target="https://journals.sagepub.com/doi/full/10.1177/0093854820913585" TargetMode="External"/><Relationship Id="rId25" Type="http://schemas.openxmlformats.org/officeDocument/2006/relationships/hyperlink" Target="https://journals.sagepub.com/doi/full/10.1177/0093854820913585" TargetMode="External"/><Relationship Id="rId46" Type="http://schemas.openxmlformats.org/officeDocument/2006/relationships/hyperlink" Target="https://journals.sagepub.com/doi/full/10.1177/0093854820913585" TargetMode="External"/><Relationship Id="rId67" Type="http://schemas.openxmlformats.org/officeDocument/2006/relationships/hyperlink" Target="https://journals.sagepub.com/doi/full/10.1177/0093854820913585" TargetMode="External"/><Relationship Id="rId88" Type="http://schemas.openxmlformats.org/officeDocument/2006/relationships/hyperlink" Target="https://journals.sagepub.com/doi/full/10.1177/0093854820913585" TargetMode="External"/><Relationship Id="rId111" Type="http://schemas.openxmlformats.org/officeDocument/2006/relationships/hyperlink" Target="https://journals.sagepub.com/doi/full/10.1177/0093854820913585" TargetMode="External"/><Relationship Id="rId132" Type="http://schemas.openxmlformats.org/officeDocument/2006/relationships/hyperlink" Target="https://journals.sagepub.com/doi/full/10.1177/0093854820913585" TargetMode="External"/><Relationship Id="rId153" Type="http://schemas.openxmlformats.org/officeDocument/2006/relationships/hyperlink" Target="https://journals.sagepub.com/doi/full/10.1177/0093854820913585" TargetMode="External"/><Relationship Id="rId174" Type="http://schemas.openxmlformats.org/officeDocument/2006/relationships/hyperlink" Target="https://journals.sagepub.com/doi/full/10.1177/0093854820913585" TargetMode="External"/><Relationship Id="rId195" Type="http://schemas.openxmlformats.org/officeDocument/2006/relationships/hyperlink" Target="https://journals.sagepub.com/doi/full/10.1177/0093854820913585" TargetMode="External"/><Relationship Id="rId209" Type="http://schemas.openxmlformats.org/officeDocument/2006/relationships/hyperlink" Target="https://journals.sagepub.com/doi/full/10.1177/0093854820913585" TargetMode="External"/><Relationship Id="rId220" Type="http://schemas.openxmlformats.org/officeDocument/2006/relationships/hyperlink" Target="https://journals.sagepub.com/doi/full/10.1177/0093854820913585" TargetMode="External"/><Relationship Id="rId241" Type="http://schemas.openxmlformats.org/officeDocument/2006/relationships/hyperlink" Target="https://journals.sagepub.com/doi/full/10.1177/0093854820913585" TargetMode="External"/><Relationship Id="rId15" Type="http://schemas.openxmlformats.org/officeDocument/2006/relationships/hyperlink" Target="https://journals.sagepub.com/doi/full/10.1177/0093854820913585" TargetMode="External"/><Relationship Id="rId36" Type="http://schemas.openxmlformats.org/officeDocument/2006/relationships/hyperlink" Target="https://journals.sagepub.com/doi/full/10.1177/0093854820913585" TargetMode="External"/><Relationship Id="rId57" Type="http://schemas.openxmlformats.org/officeDocument/2006/relationships/hyperlink" Target="https://journals.sagepub.com/doi/full/10.1177/0093854820913585" TargetMode="External"/><Relationship Id="rId78" Type="http://schemas.openxmlformats.org/officeDocument/2006/relationships/hyperlink" Target="https://journals.sagepub.com/doi/full/10.1177/0093854820913585" TargetMode="External"/><Relationship Id="rId99" Type="http://schemas.openxmlformats.org/officeDocument/2006/relationships/hyperlink" Target="https://journals.sagepub.com/doi/full/10.1177/0093854820913585" TargetMode="External"/><Relationship Id="rId101" Type="http://schemas.openxmlformats.org/officeDocument/2006/relationships/hyperlink" Target="https://journals.sagepub.com/doi/full/10.1177/0093854820913585" TargetMode="External"/><Relationship Id="rId122" Type="http://schemas.openxmlformats.org/officeDocument/2006/relationships/hyperlink" Target="https://journals.sagepub.com/doi/full/10.1177/0093854820913585" TargetMode="External"/><Relationship Id="rId143" Type="http://schemas.openxmlformats.org/officeDocument/2006/relationships/hyperlink" Target="https://journals.sagepub.com/doi/full/10.1177/0093854820913585" TargetMode="External"/><Relationship Id="rId164" Type="http://schemas.openxmlformats.org/officeDocument/2006/relationships/hyperlink" Target="https://journals.sagepub.com/doi/full/10.1177/0093854820913585" TargetMode="External"/><Relationship Id="rId185" Type="http://schemas.openxmlformats.org/officeDocument/2006/relationships/hyperlink" Target="https://journals.sagepub.com/doi/full/10.1177/0093854820913585" TargetMode="External"/><Relationship Id="rId9" Type="http://schemas.openxmlformats.org/officeDocument/2006/relationships/hyperlink" Target="https://journals.sagepub.com/doi/full/10.1177/0093854820913585" TargetMode="External"/><Relationship Id="rId210" Type="http://schemas.openxmlformats.org/officeDocument/2006/relationships/hyperlink" Target="https://journals.sagepub.com/doi/full/10.1177/0093854820913585" TargetMode="External"/><Relationship Id="rId26" Type="http://schemas.openxmlformats.org/officeDocument/2006/relationships/hyperlink" Target="https://journals.sagepub.com/doi/full/10.1177/0093854820913585" TargetMode="External"/><Relationship Id="rId231" Type="http://schemas.openxmlformats.org/officeDocument/2006/relationships/hyperlink" Target="https://journals.sagepub.com/doi/full/10.1177/0093854820913585" TargetMode="External"/><Relationship Id="rId252" Type="http://schemas.openxmlformats.org/officeDocument/2006/relationships/fontTable" Target="fontTable.xml"/><Relationship Id="rId47" Type="http://schemas.openxmlformats.org/officeDocument/2006/relationships/hyperlink" Target="https://journals.sagepub.com/doi/full/10.1177/0093854820913585" TargetMode="External"/><Relationship Id="rId68" Type="http://schemas.openxmlformats.org/officeDocument/2006/relationships/hyperlink" Target="https://journals.sagepub.com/doi/full/10.1177/0093854820913585" TargetMode="External"/><Relationship Id="rId89" Type="http://schemas.openxmlformats.org/officeDocument/2006/relationships/hyperlink" Target="https://journals.sagepub.com/doi/full/10.1177/0093854820913585" TargetMode="External"/><Relationship Id="rId112" Type="http://schemas.openxmlformats.org/officeDocument/2006/relationships/hyperlink" Target="https://journals.sagepub.com/doi/full/10.1177/0093854820913585" TargetMode="External"/><Relationship Id="rId133" Type="http://schemas.openxmlformats.org/officeDocument/2006/relationships/hyperlink" Target="https://journals.sagepub.com/doi/full/10.1177/0093854820913585" TargetMode="External"/><Relationship Id="rId154" Type="http://schemas.openxmlformats.org/officeDocument/2006/relationships/hyperlink" Target="https://journals.sagepub.com/doi/full/10.1177/0093854820913585" TargetMode="External"/><Relationship Id="rId175" Type="http://schemas.openxmlformats.org/officeDocument/2006/relationships/hyperlink" Target="https://journals.sagepub.com/doi/full/10.1177/0093854820913585" TargetMode="External"/><Relationship Id="rId196" Type="http://schemas.openxmlformats.org/officeDocument/2006/relationships/hyperlink" Target="https://journals.sagepub.com/doi/full/10.1177/0093854820913585" TargetMode="External"/><Relationship Id="rId200" Type="http://schemas.openxmlformats.org/officeDocument/2006/relationships/hyperlink" Target="https://journals.sagepub.com/doi/full/10.1177/0093854820913585" TargetMode="External"/><Relationship Id="rId16" Type="http://schemas.openxmlformats.org/officeDocument/2006/relationships/hyperlink" Target="https://journals.sagepub.com/doi/full/10.1177/0093854820913585" TargetMode="External"/><Relationship Id="rId221" Type="http://schemas.openxmlformats.org/officeDocument/2006/relationships/hyperlink" Target="https://journals.sagepub.com/doi/full/10.1177/0093854820913585" TargetMode="External"/><Relationship Id="rId242" Type="http://schemas.openxmlformats.org/officeDocument/2006/relationships/hyperlink" Target="https://journals.sagepub.com/doi/full/10.1177/0093854820913585" TargetMode="External"/><Relationship Id="rId37" Type="http://schemas.openxmlformats.org/officeDocument/2006/relationships/hyperlink" Target="https://journals.sagepub.com/doi/full/10.1177/0093854820913585" TargetMode="External"/><Relationship Id="rId58" Type="http://schemas.openxmlformats.org/officeDocument/2006/relationships/hyperlink" Target="https://journals.sagepub.com/doi/full/10.1177/0093854820913585" TargetMode="External"/><Relationship Id="rId79" Type="http://schemas.openxmlformats.org/officeDocument/2006/relationships/hyperlink" Target="https://journals.sagepub.com/doi/full/10.1177/0093854820913585" TargetMode="External"/><Relationship Id="rId102" Type="http://schemas.openxmlformats.org/officeDocument/2006/relationships/hyperlink" Target="https://journals.sagepub.com/doi/full/10.1177/0093854820913585" TargetMode="External"/><Relationship Id="rId123" Type="http://schemas.openxmlformats.org/officeDocument/2006/relationships/hyperlink" Target="https://journals.sagepub.com/doi/full/10.1177/0093854820913585" TargetMode="External"/><Relationship Id="rId144" Type="http://schemas.openxmlformats.org/officeDocument/2006/relationships/hyperlink" Target="https://journals.sagepub.com/doi/full/10.1177/0093854820913585" TargetMode="External"/><Relationship Id="rId90" Type="http://schemas.openxmlformats.org/officeDocument/2006/relationships/hyperlink" Target="https://journals.sagepub.com/doi/full/10.1177/0093854820913585" TargetMode="External"/><Relationship Id="rId165" Type="http://schemas.openxmlformats.org/officeDocument/2006/relationships/hyperlink" Target="https://journals.sagepub.com/doi/full/10.1177/0093854820913585" TargetMode="External"/><Relationship Id="rId186" Type="http://schemas.openxmlformats.org/officeDocument/2006/relationships/hyperlink" Target="https://journals.sagepub.com/doi/full/10.1177/0093854820913585" TargetMode="External"/><Relationship Id="rId211" Type="http://schemas.openxmlformats.org/officeDocument/2006/relationships/hyperlink" Target="https://journals.sagepub.com/doi/full/10.1177/0093854820913585" TargetMode="External"/><Relationship Id="rId232" Type="http://schemas.openxmlformats.org/officeDocument/2006/relationships/hyperlink" Target="https://journals.sagepub.com/doi/full/10.1177/0093854820913585" TargetMode="External"/><Relationship Id="rId253" Type="http://schemas.openxmlformats.org/officeDocument/2006/relationships/theme" Target="theme/theme1.xml"/><Relationship Id="rId27" Type="http://schemas.openxmlformats.org/officeDocument/2006/relationships/hyperlink" Target="https://journals.sagepub.com/doi/full/10.1177/0093854820913585" TargetMode="External"/><Relationship Id="rId48" Type="http://schemas.openxmlformats.org/officeDocument/2006/relationships/hyperlink" Target="https://journals.sagepub.com/doi/full/10.1177/0093854820913585" TargetMode="External"/><Relationship Id="rId69" Type="http://schemas.openxmlformats.org/officeDocument/2006/relationships/hyperlink" Target="https://journals.sagepub.com/doi/full/10.1177/0093854820913585" TargetMode="External"/><Relationship Id="rId113" Type="http://schemas.openxmlformats.org/officeDocument/2006/relationships/hyperlink" Target="https://journals.sagepub.com/doi/full/10.1177/0093854820913585" TargetMode="External"/><Relationship Id="rId134" Type="http://schemas.openxmlformats.org/officeDocument/2006/relationships/hyperlink" Target="https://journals.sagepub.com/doi/full/10.1177/0093854820913585" TargetMode="External"/><Relationship Id="rId80" Type="http://schemas.openxmlformats.org/officeDocument/2006/relationships/hyperlink" Target="https://journals.sagepub.com/doi/full/10.1177/0093854820913585" TargetMode="External"/><Relationship Id="rId155" Type="http://schemas.openxmlformats.org/officeDocument/2006/relationships/hyperlink" Target="https://journals.sagepub.com/doi/full/10.1177/0093854820913585" TargetMode="External"/><Relationship Id="rId176" Type="http://schemas.openxmlformats.org/officeDocument/2006/relationships/hyperlink" Target="https://journals.sagepub.com/doi/full/10.1177/0093854820913585" TargetMode="External"/><Relationship Id="rId197" Type="http://schemas.openxmlformats.org/officeDocument/2006/relationships/hyperlink" Target="https://journals.sagepub.com/doi/full/10.1177/0093854820913585" TargetMode="External"/><Relationship Id="rId201" Type="http://schemas.openxmlformats.org/officeDocument/2006/relationships/hyperlink" Target="https://journals.sagepub.com/doi/full/10.1177/0093854820913585" TargetMode="External"/><Relationship Id="rId222" Type="http://schemas.openxmlformats.org/officeDocument/2006/relationships/hyperlink" Target="https://journals.sagepub.com/doi/full/10.1177/0093854820913585" TargetMode="External"/><Relationship Id="rId243" Type="http://schemas.openxmlformats.org/officeDocument/2006/relationships/hyperlink" Target="https://journals.sagepub.com/doi/full/10.1177/0093854820913585" TargetMode="External"/><Relationship Id="rId17" Type="http://schemas.openxmlformats.org/officeDocument/2006/relationships/hyperlink" Target="https://journals.sagepub.com/doi/full/10.1177/0093854820913585" TargetMode="External"/><Relationship Id="rId38" Type="http://schemas.openxmlformats.org/officeDocument/2006/relationships/hyperlink" Target="https://journals.sagepub.com/doi/full/10.1177/0093854820913585" TargetMode="External"/><Relationship Id="rId59" Type="http://schemas.openxmlformats.org/officeDocument/2006/relationships/hyperlink" Target="https://journals.sagepub.com/doi/full/10.1177/0093854820913585" TargetMode="External"/><Relationship Id="rId103" Type="http://schemas.openxmlformats.org/officeDocument/2006/relationships/hyperlink" Target="https://journals.sagepub.com/doi/full/10.1177/0093854820913585" TargetMode="External"/><Relationship Id="rId124" Type="http://schemas.openxmlformats.org/officeDocument/2006/relationships/hyperlink" Target="https://journals.sagepub.com/doi/full/10.1177/0093854820913585" TargetMode="External"/><Relationship Id="rId70" Type="http://schemas.openxmlformats.org/officeDocument/2006/relationships/hyperlink" Target="https://journals.sagepub.com/doi/full/10.1177/0093854820913585" TargetMode="External"/><Relationship Id="rId91" Type="http://schemas.openxmlformats.org/officeDocument/2006/relationships/hyperlink" Target="https://journals.sagepub.com/doi/full/10.1177/0093854820913585" TargetMode="External"/><Relationship Id="rId145" Type="http://schemas.openxmlformats.org/officeDocument/2006/relationships/hyperlink" Target="https://journals.sagepub.com/doi/full/10.1177/0093854820913585" TargetMode="External"/><Relationship Id="rId166" Type="http://schemas.openxmlformats.org/officeDocument/2006/relationships/hyperlink" Target="https://journals.sagepub.com/doi/full/10.1177/0093854820913585" TargetMode="External"/><Relationship Id="rId187" Type="http://schemas.openxmlformats.org/officeDocument/2006/relationships/hyperlink" Target="https://journals.sagepub.com/doi/full/10.1177/0093854820913585" TargetMode="External"/><Relationship Id="rId1" Type="http://schemas.openxmlformats.org/officeDocument/2006/relationships/numbering" Target="numbering.xml"/><Relationship Id="rId212" Type="http://schemas.openxmlformats.org/officeDocument/2006/relationships/hyperlink" Target="https://journals.sagepub.com/doi/full/10.1177/0093854820913585" TargetMode="External"/><Relationship Id="rId233" Type="http://schemas.openxmlformats.org/officeDocument/2006/relationships/hyperlink" Target="https://journals.sagepub.com/doi/full/10.1177/0093854820913585" TargetMode="External"/><Relationship Id="rId28" Type="http://schemas.openxmlformats.org/officeDocument/2006/relationships/hyperlink" Target="https://journals.sagepub.com/doi/full/10.1177/0093854820913585" TargetMode="External"/><Relationship Id="rId49" Type="http://schemas.openxmlformats.org/officeDocument/2006/relationships/hyperlink" Target="https://journals.sagepub.com/doi/full/10.1177/0093854820913585" TargetMode="External"/><Relationship Id="rId114" Type="http://schemas.openxmlformats.org/officeDocument/2006/relationships/hyperlink" Target="https://journals.sagepub.com/doi/full/10.1177/0093854820913585" TargetMode="External"/><Relationship Id="rId60" Type="http://schemas.openxmlformats.org/officeDocument/2006/relationships/hyperlink" Target="https://journals.sagepub.com/doi/full/10.1177/0093854820913585" TargetMode="External"/><Relationship Id="rId81" Type="http://schemas.openxmlformats.org/officeDocument/2006/relationships/hyperlink" Target="https://journals.sagepub.com/doi/full/10.1177/0093854820913585" TargetMode="External"/><Relationship Id="rId135" Type="http://schemas.openxmlformats.org/officeDocument/2006/relationships/hyperlink" Target="https://journals.sagepub.com/doi/full/10.1177/0093854820913585" TargetMode="External"/><Relationship Id="rId156" Type="http://schemas.openxmlformats.org/officeDocument/2006/relationships/hyperlink" Target="https://journals.sagepub.com/doi/full/10.1177/0093854820913585" TargetMode="External"/><Relationship Id="rId177" Type="http://schemas.openxmlformats.org/officeDocument/2006/relationships/hyperlink" Target="https://journals.sagepub.com/doi/full/10.1177/0093854820913585" TargetMode="External"/><Relationship Id="rId198" Type="http://schemas.openxmlformats.org/officeDocument/2006/relationships/hyperlink" Target="https://journals.sagepub.com/doi/full/10.1177/0093854820913585" TargetMode="External"/><Relationship Id="rId202" Type="http://schemas.openxmlformats.org/officeDocument/2006/relationships/hyperlink" Target="https://journals.sagepub.com/doi/full/10.1177/0093854820913585" TargetMode="External"/><Relationship Id="rId223" Type="http://schemas.openxmlformats.org/officeDocument/2006/relationships/hyperlink" Target="https://journals.sagepub.com/doi/full/10.1177/0093854820913585" TargetMode="External"/><Relationship Id="rId244" Type="http://schemas.openxmlformats.org/officeDocument/2006/relationships/hyperlink" Target="https://journals.sagepub.com/doi/full/10.1177/0093854820913585" TargetMode="External"/><Relationship Id="rId18" Type="http://schemas.openxmlformats.org/officeDocument/2006/relationships/hyperlink" Target="https://journals.sagepub.com/doi/full/10.1177/0093854820913585" TargetMode="External"/><Relationship Id="rId39" Type="http://schemas.openxmlformats.org/officeDocument/2006/relationships/hyperlink" Target="https://journals.sagepub.com/doi/full/10.1177/0093854820913585" TargetMode="External"/><Relationship Id="rId50" Type="http://schemas.openxmlformats.org/officeDocument/2006/relationships/hyperlink" Target="https://journals.sagepub.com/doi/full/10.1177/0093854820913585" TargetMode="External"/><Relationship Id="rId104" Type="http://schemas.openxmlformats.org/officeDocument/2006/relationships/hyperlink" Target="https://journals.sagepub.com/doi/full/10.1177/0093854820913585" TargetMode="External"/><Relationship Id="rId125" Type="http://schemas.openxmlformats.org/officeDocument/2006/relationships/hyperlink" Target="https://journals.sagepub.com/doi/full/10.1177/0093854820913585" TargetMode="External"/><Relationship Id="rId146" Type="http://schemas.openxmlformats.org/officeDocument/2006/relationships/hyperlink" Target="https://journals.sagepub.com/doi/full/10.1177/0093854820913585" TargetMode="External"/><Relationship Id="rId167" Type="http://schemas.openxmlformats.org/officeDocument/2006/relationships/hyperlink" Target="https://journals.sagepub.com/doi/full/10.1177/0093854820913585" TargetMode="External"/><Relationship Id="rId188" Type="http://schemas.openxmlformats.org/officeDocument/2006/relationships/hyperlink" Target="https://journals.sagepub.com/doi/full/10.1177/0093854820913585" TargetMode="External"/><Relationship Id="rId71" Type="http://schemas.openxmlformats.org/officeDocument/2006/relationships/hyperlink" Target="https://journals.sagepub.com/doi/full/10.1177/0093854820913585" TargetMode="External"/><Relationship Id="rId92" Type="http://schemas.openxmlformats.org/officeDocument/2006/relationships/hyperlink" Target="https://journals.sagepub.com/doi/full/10.1177/0093854820913585" TargetMode="External"/><Relationship Id="rId213" Type="http://schemas.openxmlformats.org/officeDocument/2006/relationships/hyperlink" Target="https://journals.sagepub.com/doi/full/10.1177/0093854820913585" TargetMode="External"/><Relationship Id="rId234" Type="http://schemas.openxmlformats.org/officeDocument/2006/relationships/hyperlink" Target="https://journals.sagepub.com/doi/full/10.1177/0093854820913585" TargetMode="External"/><Relationship Id="rId2" Type="http://schemas.openxmlformats.org/officeDocument/2006/relationships/styles" Target="styles.xml"/><Relationship Id="rId29" Type="http://schemas.openxmlformats.org/officeDocument/2006/relationships/hyperlink" Target="https://journals.sagepub.com/doi/full/10.1177/0093854820913585" TargetMode="External"/><Relationship Id="rId40" Type="http://schemas.openxmlformats.org/officeDocument/2006/relationships/hyperlink" Target="https://journals.sagepub.com/doi/full/10.1177/0093854820913585" TargetMode="External"/><Relationship Id="rId115" Type="http://schemas.openxmlformats.org/officeDocument/2006/relationships/hyperlink" Target="https://journals.sagepub.com/doi/full/10.1177/0093854820913585" TargetMode="External"/><Relationship Id="rId136" Type="http://schemas.openxmlformats.org/officeDocument/2006/relationships/hyperlink" Target="https://journals.sagepub.com/doi/full/10.1177/0093854820913585" TargetMode="External"/><Relationship Id="rId157" Type="http://schemas.openxmlformats.org/officeDocument/2006/relationships/hyperlink" Target="https://journals.sagepub.com/doi/full/10.1177/0093854820913585" TargetMode="External"/><Relationship Id="rId178" Type="http://schemas.openxmlformats.org/officeDocument/2006/relationships/hyperlink" Target="https://journals.sagepub.com/doi/full/10.1177/0093854820913585" TargetMode="External"/><Relationship Id="rId61" Type="http://schemas.openxmlformats.org/officeDocument/2006/relationships/hyperlink" Target="https://journals.sagepub.com/doi/full/10.1177/0093854820913585" TargetMode="External"/><Relationship Id="rId82" Type="http://schemas.openxmlformats.org/officeDocument/2006/relationships/hyperlink" Target="https://journals.sagepub.com/doi/full/10.1177/0093854820913585" TargetMode="External"/><Relationship Id="rId199" Type="http://schemas.openxmlformats.org/officeDocument/2006/relationships/hyperlink" Target="https://journals.sagepub.com/doi/full/10.1177/0093854820913585" TargetMode="External"/><Relationship Id="rId203" Type="http://schemas.openxmlformats.org/officeDocument/2006/relationships/hyperlink" Target="https://journals.sagepub.com/doi/full/10.1177/0093854820913585" TargetMode="External"/><Relationship Id="rId19" Type="http://schemas.openxmlformats.org/officeDocument/2006/relationships/hyperlink" Target="https://journals.sagepub.com/doi/full/10.1177/0093854820913585" TargetMode="External"/><Relationship Id="rId224" Type="http://schemas.openxmlformats.org/officeDocument/2006/relationships/hyperlink" Target="https://journals.sagepub.com/doi/full/10.1177/0093854820913585" TargetMode="External"/><Relationship Id="rId245" Type="http://schemas.openxmlformats.org/officeDocument/2006/relationships/hyperlink" Target="https://journals.sagepub.com/doi/full/10.1177/0093854820913585" TargetMode="External"/><Relationship Id="rId30" Type="http://schemas.openxmlformats.org/officeDocument/2006/relationships/hyperlink" Target="https://journals.sagepub.com/doi/full/10.1177/0093854820913585" TargetMode="External"/><Relationship Id="rId105" Type="http://schemas.openxmlformats.org/officeDocument/2006/relationships/hyperlink" Target="https://journals.sagepub.com/doi/full/10.1177/0093854820913585" TargetMode="External"/><Relationship Id="rId126" Type="http://schemas.openxmlformats.org/officeDocument/2006/relationships/hyperlink" Target="https://journals.sagepub.com/doi/full/10.1177/0093854820913585" TargetMode="External"/><Relationship Id="rId147" Type="http://schemas.openxmlformats.org/officeDocument/2006/relationships/hyperlink" Target="https://journals.sagepub.com/doi/full/10.1177/0093854820913585" TargetMode="External"/><Relationship Id="rId168" Type="http://schemas.openxmlformats.org/officeDocument/2006/relationships/hyperlink" Target="https://journals.sagepub.com/doi/full/10.1177/0093854820913585" TargetMode="External"/><Relationship Id="rId51" Type="http://schemas.openxmlformats.org/officeDocument/2006/relationships/hyperlink" Target="https://journals.sagepub.com/doi/full/10.1177/0093854820913585" TargetMode="External"/><Relationship Id="rId72" Type="http://schemas.openxmlformats.org/officeDocument/2006/relationships/hyperlink" Target="https://journals.sagepub.com/doi/full/10.1177/0093854820913585" TargetMode="External"/><Relationship Id="rId93" Type="http://schemas.openxmlformats.org/officeDocument/2006/relationships/hyperlink" Target="https://journals.sagepub.com/doi/full/10.1177/0093854820913585" TargetMode="External"/><Relationship Id="rId189" Type="http://schemas.openxmlformats.org/officeDocument/2006/relationships/hyperlink" Target="https://journals.sagepub.com/doi/full/10.1177/0093854820913585" TargetMode="External"/><Relationship Id="rId3" Type="http://schemas.openxmlformats.org/officeDocument/2006/relationships/settings" Target="settings.xml"/><Relationship Id="rId214" Type="http://schemas.openxmlformats.org/officeDocument/2006/relationships/hyperlink" Target="https://journals.sagepub.com/doi/full/10.1177/0093854820913585" TargetMode="External"/><Relationship Id="rId235" Type="http://schemas.openxmlformats.org/officeDocument/2006/relationships/hyperlink" Target="https://journals.sagepub.com/doi/full/10.1177/0093854820913585" TargetMode="External"/><Relationship Id="rId116" Type="http://schemas.openxmlformats.org/officeDocument/2006/relationships/hyperlink" Target="https://journals.sagepub.com/doi/full/10.1177/0093854820913585" TargetMode="External"/><Relationship Id="rId137" Type="http://schemas.openxmlformats.org/officeDocument/2006/relationships/hyperlink" Target="https://journals.sagepub.com/doi/full/10.1177/0093854820913585" TargetMode="External"/><Relationship Id="rId158" Type="http://schemas.openxmlformats.org/officeDocument/2006/relationships/hyperlink" Target="https://journals.sagepub.com/doi/full/10.1177/0093854820913585" TargetMode="External"/><Relationship Id="rId20" Type="http://schemas.openxmlformats.org/officeDocument/2006/relationships/hyperlink" Target="https://journals.sagepub.com/doi/full/10.1177/0093854820913585" TargetMode="External"/><Relationship Id="rId41" Type="http://schemas.openxmlformats.org/officeDocument/2006/relationships/hyperlink" Target="https://journals.sagepub.com/doi/full/10.1177/0093854820913585" TargetMode="External"/><Relationship Id="rId62" Type="http://schemas.openxmlformats.org/officeDocument/2006/relationships/hyperlink" Target="https://journals.sagepub.com/doi/full/10.1177/0093854820913585" TargetMode="External"/><Relationship Id="rId83" Type="http://schemas.openxmlformats.org/officeDocument/2006/relationships/hyperlink" Target="https://journals.sagepub.com/doi/full/10.1177/0093854820913585" TargetMode="External"/><Relationship Id="rId179" Type="http://schemas.openxmlformats.org/officeDocument/2006/relationships/hyperlink" Target="https://journals.sagepub.com/doi/full/10.1177/0093854820913585" TargetMode="External"/><Relationship Id="rId190" Type="http://schemas.openxmlformats.org/officeDocument/2006/relationships/hyperlink" Target="https://journals.sagepub.com/doi/full/10.1177/0093854820913585" TargetMode="External"/><Relationship Id="rId204" Type="http://schemas.openxmlformats.org/officeDocument/2006/relationships/hyperlink" Target="https://journals.sagepub.com/doi/full/10.1177/0093854820913585" TargetMode="External"/><Relationship Id="rId225" Type="http://schemas.openxmlformats.org/officeDocument/2006/relationships/hyperlink" Target="https://journals.sagepub.com/doi/full/10.1177/0093854820913585" TargetMode="External"/><Relationship Id="rId246" Type="http://schemas.openxmlformats.org/officeDocument/2006/relationships/hyperlink" Target="https://journals.sagepub.com/doi/full/10.1177/0093854820913585" TargetMode="External"/><Relationship Id="rId106" Type="http://schemas.openxmlformats.org/officeDocument/2006/relationships/hyperlink" Target="https://journals.sagepub.com/doi/full/10.1177/0093854820913585" TargetMode="External"/><Relationship Id="rId127" Type="http://schemas.openxmlformats.org/officeDocument/2006/relationships/hyperlink" Target="https://journals.sagepub.com/doi/full/10.1177/0093854820913585" TargetMode="External"/><Relationship Id="rId10" Type="http://schemas.openxmlformats.org/officeDocument/2006/relationships/hyperlink" Target="https://journals.sagepub.com/doi/full/10.1177/0093854820913585" TargetMode="External"/><Relationship Id="rId31" Type="http://schemas.openxmlformats.org/officeDocument/2006/relationships/hyperlink" Target="https://journals.sagepub.com/doi/full/10.1177/0093854820913585" TargetMode="External"/><Relationship Id="rId52" Type="http://schemas.openxmlformats.org/officeDocument/2006/relationships/hyperlink" Target="https://journals.sagepub.com/doi/full/10.1177/0093854820913585" TargetMode="External"/><Relationship Id="rId73" Type="http://schemas.openxmlformats.org/officeDocument/2006/relationships/hyperlink" Target="https://journals.sagepub.com/doi/full/10.1177/0093854820913585" TargetMode="External"/><Relationship Id="rId94" Type="http://schemas.openxmlformats.org/officeDocument/2006/relationships/hyperlink" Target="https://journals.sagepub.com/doi/full/10.1177/0093854820913585" TargetMode="External"/><Relationship Id="rId148" Type="http://schemas.openxmlformats.org/officeDocument/2006/relationships/hyperlink" Target="https://journals.sagepub.com/doi/full/10.1177/0093854820913585" TargetMode="External"/><Relationship Id="rId169" Type="http://schemas.openxmlformats.org/officeDocument/2006/relationships/hyperlink" Target="https://journals.sagepub.com/doi/full/10.1177/0093854820913585" TargetMode="External"/><Relationship Id="rId4" Type="http://schemas.openxmlformats.org/officeDocument/2006/relationships/webSettings" Target="webSettings.xml"/><Relationship Id="rId180" Type="http://schemas.openxmlformats.org/officeDocument/2006/relationships/hyperlink" Target="https://journals.sagepub.com/doi/full/10.1177/0093854820913585" TargetMode="External"/><Relationship Id="rId215" Type="http://schemas.openxmlformats.org/officeDocument/2006/relationships/hyperlink" Target="https://journals.sagepub.com/doi/full/10.1177/0093854820913585" TargetMode="External"/><Relationship Id="rId236" Type="http://schemas.openxmlformats.org/officeDocument/2006/relationships/hyperlink" Target="https://journals.sagepub.com/doi/full/10.1177/00938548209135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12299</Words>
  <Characters>70106</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cp:revision>
  <dcterms:created xsi:type="dcterms:W3CDTF">2025-01-13T21:39:00Z</dcterms:created>
  <dcterms:modified xsi:type="dcterms:W3CDTF">2025-01-13T22:12:00Z</dcterms:modified>
</cp:coreProperties>
</file>