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0CD6" w14:textId="66E7E526" w:rsidR="00760C6C" w:rsidRDefault="005175D8">
      <w:pPr>
        <w:rPr>
          <w:rFonts w:ascii="Times New Roman" w:hAnsi="Times New Roman"/>
        </w:rPr>
      </w:pPr>
      <w:r w:rsidRPr="005175D8">
        <w:rPr>
          <w:rFonts w:ascii="Times New Roman" w:hAnsi="Times New Roman"/>
        </w:rPr>
        <w:t>New Policy Feedback paragraph</w:t>
      </w:r>
    </w:p>
    <w:p w14:paraId="42BB1635" w14:textId="77777777" w:rsidR="005175D8" w:rsidRDefault="005175D8">
      <w:pPr>
        <w:rPr>
          <w:rFonts w:ascii="Times New Roman" w:hAnsi="Times New Roman"/>
        </w:rPr>
      </w:pPr>
    </w:p>
    <w:p w14:paraId="74670075" w14:textId="4361230B" w:rsidR="005175D8" w:rsidRDefault="005175D8">
      <w:pPr>
        <w:rPr>
          <w:rFonts w:ascii="Times New Roman" w:hAnsi="Times New Roman"/>
        </w:rPr>
      </w:pPr>
    </w:p>
    <w:p w14:paraId="51A2DEB3" w14:textId="455D3BCB" w:rsidR="00B56DF8" w:rsidRDefault="00B56DF8">
      <w:pPr>
        <w:rPr>
          <w:rFonts w:ascii="Times New Roman" w:hAnsi="Times New Roman"/>
        </w:rPr>
      </w:pPr>
      <w:r>
        <w:rPr>
          <w:rFonts w:ascii="Times New Roman" w:hAnsi="Times New Roman"/>
        </w:rPr>
        <w:t xml:space="preserve">Idea that public policies have the capacity to shape the political behavior of a range of actors goes way back in political science. </w:t>
      </w:r>
    </w:p>
    <w:p w14:paraId="668E6361" w14:textId="77777777" w:rsidR="0075040A" w:rsidRDefault="0075040A">
      <w:pPr>
        <w:rPr>
          <w:rFonts w:ascii="Times New Roman" w:hAnsi="Times New Roman"/>
        </w:rPr>
      </w:pPr>
    </w:p>
    <w:p w14:paraId="695825B8" w14:textId="55677401" w:rsidR="0075040A" w:rsidRDefault="0075040A">
      <w:pPr>
        <w:rPr>
          <w:rFonts w:ascii="Times New Roman" w:hAnsi="Times New Roman"/>
        </w:rPr>
      </w:pPr>
      <w:r>
        <w:rPr>
          <w:rFonts w:ascii="Times New Roman" w:hAnsi="Times New Roman"/>
        </w:rPr>
        <w:t>E.E. Schattschneider (1935): “new policies create new politics.”</w:t>
      </w:r>
    </w:p>
    <w:p w14:paraId="5AAE0DE7" w14:textId="77777777" w:rsidR="0075040A" w:rsidRDefault="0075040A">
      <w:pPr>
        <w:rPr>
          <w:rFonts w:ascii="Times New Roman" w:hAnsi="Times New Roman"/>
        </w:rPr>
      </w:pPr>
    </w:p>
    <w:p w14:paraId="6D7E46B2" w14:textId="77777777" w:rsidR="0075040A" w:rsidRDefault="0075040A">
      <w:pPr>
        <w:rPr>
          <w:rFonts w:ascii="Times New Roman" w:hAnsi="Times New Roman"/>
        </w:rPr>
      </w:pPr>
    </w:p>
    <w:p w14:paraId="077A98B9" w14:textId="77777777" w:rsidR="0075040A" w:rsidRDefault="0075040A">
      <w:pPr>
        <w:rPr>
          <w:rFonts w:ascii="Times New Roman" w:hAnsi="Times New Roman"/>
        </w:rPr>
      </w:pPr>
    </w:p>
    <w:p w14:paraId="453D3DE1" w14:textId="00BB5588" w:rsidR="0075040A" w:rsidRDefault="0075040A">
      <w:pPr>
        <w:rPr>
          <w:rFonts w:ascii="Times New Roman" w:hAnsi="Times New Roman"/>
        </w:rPr>
      </w:pPr>
      <w:r>
        <w:rPr>
          <w:rFonts w:ascii="Times New Roman" w:hAnsi="Times New Roman"/>
        </w:rPr>
        <w:t xml:space="preserve">Scholars delineate two major feedback mechanisms that shape people’s political behavior: resource effects, which influence people’s capacity and incentives to engage in politics, and interpretive effects, which influence people’s norms, values, and associated attitudes in a manner that can influence policy preferences and political action </w:t>
      </w:r>
    </w:p>
    <w:p w14:paraId="297DA23C" w14:textId="77777777" w:rsidR="0075040A" w:rsidRDefault="0075040A">
      <w:pPr>
        <w:rPr>
          <w:rFonts w:ascii="Times New Roman" w:hAnsi="Times New Roman"/>
        </w:rPr>
      </w:pPr>
    </w:p>
    <w:p w14:paraId="426905E4" w14:textId="77777777" w:rsidR="0075040A" w:rsidRDefault="0075040A">
      <w:pPr>
        <w:rPr>
          <w:rFonts w:ascii="Times New Roman" w:hAnsi="Times New Roman"/>
        </w:rPr>
      </w:pPr>
    </w:p>
    <w:p w14:paraId="164086D2" w14:textId="77777777" w:rsidR="0075040A" w:rsidRDefault="0075040A">
      <w:pPr>
        <w:rPr>
          <w:rFonts w:ascii="Times New Roman" w:hAnsi="Times New Roman"/>
        </w:rPr>
      </w:pPr>
    </w:p>
    <w:p w14:paraId="1DFB4835" w14:textId="241F4BE0" w:rsidR="0075040A" w:rsidRDefault="0075040A">
      <w:pPr>
        <w:rPr>
          <w:rFonts w:ascii="Times New Roman" w:hAnsi="Times New Roman"/>
        </w:rPr>
      </w:pPr>
      <w:r>
        <w:rPr>
          <w:rFonts w:ascii="Times New Roman" w:hAnsi="Times New Roman"/>
        </w:rPr>
        <w:t>Resource effects = functionally lowered cost of voting</w:t>
      </w:r>
    </w:p>
    <w:p w14:paraId="47695852" w14:textId="77777777" w:rsidR="0075040A" w:rsidRDefault="0075040A">
      <w:pPr>
        <w:rPr>
          <w:rFonts w:ascii="Times New Roman" w:hAnsi="Times New Roman"/>
        </w:rPr>
      </w:pPr>
    </w:p>
    <w:p w14:paraId="2EC4DA0C" w14:textId="26463C88" w:rsidR="0075040A" w:rsidRDefault="0075040A">
      <w:pPr>
        <w:rPr>
          <w:rFonts w:ascii="Times New Roman" w:hAnsi="Times New Roman"/>
        </w:rPr>
      </w:pPr>
      <w:r>
        <w:rPr>
          <w:rFonts w:ascii="Times New Roman" w:hAnsi="Times New Roman"/>
        </w:rPr>
        <w:t xml:space="preserve">Interpretive effects – through design and implementation – that shape how people view their own citizenship vis-à-vis the state for a particular policy issue. </w:t>
      </w:r>
    </w:p>
    <w:p w14:paraId="0F7B97A6" w14:textId="77777777" w:rsidR="0075040A" w:rsidRDefault="0075040A">
      <w:pPr>
        <w:rPr>
          <w:rFonts w:ascii="Times New Roman" w:hAnsi="Times New Roman"/>
        </w:rPr>
      </w:pPr>
    </w:p>
    <w:p w14:paraId="1D442804" w14:textId="0D892A26" w:rsidR="0075040A" w:rsidRDefault="0075040A">
      <w:pPr>
        <w:rPr>
          <w:rFonts w:ascii="Times New Roman" w:hAnsi="Times New Roman"/>
        </w:rPr>
      </w:pPr>
      <w:r>
        <w:rPr>
          <w:rFonts w:ascii="Times New Roman" w:hAnsi="Times New Roman"/>
        </w:rPr>
        <w:t xml:space="preserve">Shape interactions with the state: ideas about government, their place within it, particularly their right and ability to ask things of government via participation. </w:t>
      </w:r>
    </w:p>
    <w:p w14:paraId="5E26D0B9" w14:textId="77777777" w:rsidR="0075040A" w:rsidRDefault="0075040A">
      <w:pPr>
        <w:rPr>
          <w:rFonts w:ascii="Times New Roman" w:hAnsi="Times New Roman"/>
        </w:rPr>
      </w:pPr>
    </w:p>
    <w:p w14:paraId="4434032F" w14:textId="77777777" w:rsidR="0075040A" w:rsidRDefault="0075040A">
      <w:pPr>
        <w:rPr>
          <w:rFonts w:ascii="Times New Roman" w:hAnsi="Times New Roman"/>
        </w:rPr>
      </w:pPr>
    </w:p>
    <w:p w14:paraId="610789CA" w14:textId="17583C63" w:rsidR="0075040A" w:rsidRDefault="0075040A">
      <w:pPr>
        <w:rPr>
          <w:rFonts w:ascii="Times New Roman" w:hAnsi="Times New Roman"/>
        </w:rPr>
      </w:pPr>
      <w:r>
        <w:rPr>
          <w:rFonts w:ascii="Times New Roman" w:hAnsi="Times New Roman"/>
        </w:rPr>
        <w:t xml:space="preserve">Mettler and </w:t>
      </w:r>
      <w:proofErr w:type="spellStart"/>
      <w:r>
        <w:rPr>
          <w:rFonts w:ascii="Times New Roman" w:hAnsi="Times New Roman"/>
        </w:rPr>
        <w:t>SoRelle</w:t>
      </w:r>
      <w:proofErr w:type="spellEnd"/>
      <w:r>
        <w:rPr>
          <w:rFonts w:ascii="Times New Roman" w:hAnsi="Times New Roman"/>
        </w:rPr>
        <w:t xml:space="preserve"> 2023</w:t>
      </w:r>
    </w:p>
    <w:p w14:paraId="45CB6FF3" w14:textId="30347FBD" w:rsidR="0075040A" w:rsidRDefault="0075040A">
      <w:pPr>
        <w:rPr>
          <w:rFonts w:ascii="Times New Roman" w:hAnsi="Times New Roman"/>
        </w:rPr>
      </w:pPr>
      <w:r>
        <w:rPr>
          <w:rFonts w:ascii="Times New Roman" w:hAnsi="Times New Roman"/>
        </w:rPr>
        <w:t xml:space="preserve">Mettler and </w:t>
      </w:r>
      <w:proofErr w:type="spellStart"/>
      <w:r>
        <w:rPr>
          <w:rFonts w:ascii="Times New Roman" w:hAnsi="Times New Roman"/>
        </w:rPr>
        <w:t>Soss</w:t>
      </w:r>
      <w:proofErr w:type="spellEnd"/>
      <w:r>
        <w:rPr>
          <w:rFonts w:ascii="Times New Roman" w:hAnsi="Times New Roman"/>
        </w:rPr>
        <w:t xml:space="preserve"> 2004</w:t>
      </w:r>
    </w:p>
    <w:p w14:paraId="6D33C5BC" w14:textId="1B665EC1" w:rsidR="0075040A" w:rsidRDefault="0075040A">
      <w:pPr>
        <w:rPr>
          <w:rFonts w:ascii="Times New Roman" w:hAnsi="Times New Roman"/>
        </w:rPr>
      </w:pPr>
      <w:r>
        <w:rPr>
          <w:rFonts w:ascii="Times New Roman" w:hAnsi="Times New Roman"/>
        </w:rPr>
        <w:t>Pierson 1993</w:t>
      </w:r>
    </w:p>
    <w:p w14:paraId="62A460DE" w14:textId="77777777" w:rsidR="0075040A" w:rsidRDefault="0075040A">
      <w:pPr>
        <w:rPr>
          <w:rFonts w:ascii="Times New Roman" w:hAnsi="Times New Roman"/>
        </w:rPr>
      </w:pPr>
    </w:p>
    <w:p w14:paraId="785724FF" w14:textId="77777777" w:rsidR="00911A36" w:rsidRDefault="00911A36">
      <w:pPr>
        <w:rPr>
          <w:rFonts w:ascii="Times New Roman" w:hAnsi="Times New Roman"/>
        </w:rPr>
      </w:pPr>
    </w:p>
    <w:p w14:paraId="44101455" w14:textId="1523D49E" w:rsidR="00911A36" w:rsidRDefault="00911A36">
      <w:pPr>
        <w:rPr>
          <w:rFonts w:ascii="Times New Roman" w:hAnsi="Times New Roman"/>
        </w:rPr>
      </w:pPr>
      <w:r>
        <w:rPr>
          <w:rFonts w:ascii="Times New Roman" w:hAnsi="Times New Roman"/>
        </w:rPr>
        <w:t>I want to write a paragraph that:</w:t>
      </w:r>
    </w:p>
    <w:p w14:paraId="1A3E8987" w14:textId="77777777" w:rsidR="00911A36" w:rsidRDefault="00911A36">
      <w:pPr>
        <w:rPr>
          <w:rFonts w:ascii="Times New Roman" w:hAnsi="Times New Roman"/>
        </w:rPr>
      </w:pPr>
    </w:p>
    <w:p w14:paraId="204CF1A0" w14:textId="681ED5B0" w:rsidR="00911A36" w:rsidRDefault="00911A36">
      <w:pPr>
        <w:rPr>
          <w:rFonts w:ascii="Times New Roman" w:hAnsi="Times New Roman"/>
        </w:rPr>
      </w:pPr>
      <w:r>
        <w:rPr>
          <w:rFonts w:ascii="Times New Roman" w:hAnsi="Times New Roman"/>
        </w:rPr>
        <w:t xml:space="preserve">Introduces policy feedback </w:t>
      </w:r>
      <w:proofErr w:type="gramStart"/>
      <w:r>
        <w:rPr>
          <w:rFonts w:ascii="Times New Roman" w:hAnsi="Times New Roman"/>
        </w:rPr>
        <w:t>clearly, and</w:t>
      </w:r>
      <w:proofErr w:type="gramEnd"/>
      <w:r>
        <w:rPr>
          <w:rFonts w:ascii="Times New Roman" w:hAnsi="Times New Roman"/>
        </w:rPr>
        <w:t xml:space="preserve"> explains what it tells us. </w:t>
      </w:r>
    </w:p>
    <w:p w14:paraId="66C50636" w14:textId="77777777" w:rsidR="00911A36" w:rsidRDefault="00911A36">
      <w:pPr>
        <w:rPr>
          <w:rFonts w:ascii="Times New Roman" w:hAnsi="Times New Roman"/>
        </w:rPr>
      </w:pPr>
    </w:p>
    <w:p w14:paraId="57AC7B59" w14:textId="2957D7BD" w:rsidR="00911A36" w:rsidRDefault="00911A36" w:rsidP="00911A36">
      <w:pPr>
        <w:pStyle w:val="ListParagraph"/>
        <w:numPr>
          <w:ilvl w:val="0"/>
          <w:numId w:val="1"/>
        </w:numPr>
        <w:rPr>
          <w:rFonts w:ascii="Times New Roman" w:hAnsi="Times New Roman"/>
        </w:rPr>
      </w:pPr>
      <w:r>
        <w:rPr>
          <w:rFonts w:ascii="Times New Roman" w:hAnsi="Times New Roman"/>
        </w:rPr>
        <w:t xml:space="preserve">Explains resource and interpretive effects </w:t>
      </w:r>
    </w:p>
    <w:p w14:paraId="4B059110" w14:textId="7DAC0BD2" w:rsidR="00911A36" w:rsidRDefault="00911A36" w:rsidP="00911A36">
      <w:pPr>
        <w:pStyle w:val="ListParagraph"/>
        <w:numPr>
          <w:ilvl w:val="0"/>
          <w:numId w:val="1"/>
        </w:numPr>
        <w:rPr>
          <w:rFonts w:ascii="Times New Roman" w:hAnsi="Times New Roman"/>
        </w:rPr>
      </w:pPr>
      <w:r>
        <w:rPr>
          <w:rFonts w:ascii="Times New Roman" w:hAnsi="Times New Roman"/>
        </w:rPr>
        <w:t>Explains direct and proximate</w:t>
      </w:r>
    </w:p>
    <w:p w14:paraId="5BCB1631" w14:textId="77777777" w:rsidR="00FA6CFD" w:rsidRDefault="00FA6CFD" w:rsidP="00FA6CFD">
      <w:pPr>
        <w:rPr>
          <w:rFonts w:ascii="Times New Roman" w:hAnsi="Times New Roman"/>
        </w:rPr>
      </w:pPr>
    </w:p>
    <w:p w14:paraId="09C54837" w14:textId="77777777" w:rsidR="00FA6CFD" w:rsidRDefault="00FA6CFD" w:rsidP="00FA6CFD">
      <w:pPr>
        <w:rPr>
          <w:rFonts w:ascii="Times New Roman" w:hAnsi="Times New Roman"/>
        </w:rPr>
      </w:pPr>
    </w:p>
    <w:p w14:paraId="1ABAEA94" w14:textId="77777777" w:rsidR="00FA6CFD" w:rsidRDefault="00FA6CFD" w:rsidP="00FA6CFD">
      <w:pPr>
        <w:rPr>
          <w:rFonts w:ascii="Times New Roman" w:hAnsi="Times New Roman"/>
        </w:rPr>
      </w:pPr>
    </w:p>
    <w:p w14:paraId="1160155D" w14:textId="77777777" w:rsidR="00FA6CFD" w:rsidRDefault="00FA6CFD" w:rsidP="00FA6CFD">
      <w:pPr>
        <w:pStyle w:val="NormalWeb"/>
      </w:pPr>
      <w:r>
        <w:t xml:space="preserve">A key insight from policy feedback literature is that the American carceral state shapes political behavior. Policing and incarceration can stymie political engagement, foment government distrust, and alter narratives about one’s own civic standing (Lerman and Weaver 2010, Owens 2014, Burch 2011, 2014, White 2019, Walker 2020).  While this literature deals with impacts on political mobilization – particularly voting – it has not addressed how contact with the criminal legal system shapes policy opinions themselves. The closely interrelated literature on social constructions holds that such opinions are based on constructions about the given group targeted by policy, and specifically whether these constructs are considered “deserving of help, sympathy, and support” (). While this literature has established that institutions and policies shape </w:t>
      </w:r>
      <w:r>
        <w:lastRenderedPageBreak/>
        <w:t xml:space="preserve">perceptions of what targets of policy deserve, both it and policy feedback scholarship </w:t>
      </w:r>
      <w:proofErr w:type="gramStart"/>
      <w:r>
        <w:t>leaves</w:t>
      </w:r>
      <w:proofErr w:type="gramEnd"/>
      <w:r>
        <w:t xml:space="preserve"> open the question of how contact with the criminal legal shapes perceptions of what its </w:t>
      </w:r>
      <w:r>
        <w:rPr>
          <w:rStyle w:val="Emphasis"/>
          <w:rFonts w:eastAsiaTheme="majorEastAsia"/>
        </w:rPr>
        <w:t>targets</w:t>
      </w:r>
      <w:r>
        <w:t xml:space="preserve"> deserve.  Further, both literatures have focused on interactions with the criminal legal system of the “accused” – policing and incarceration – but leave open the question of </w:t>
      </w:r>
      <w:proofErr w:type="gramStart"/>
      <w:r>
        <w:t>feedbacks</w:t>
      </w:r>
      <w:proofErr w:type="gramEnd"/>
      <w:r>
        <w:t xml:space="preserve"> experienced and perceptions of target deservingness held by those who interact with the system as victims.</w:t>
      </w:r>
    </w:p>
    <w:p w14:paraId="65FCC931" w14:textId="77777777" w:rsidR="00FA6CFD" w:rsidRDefault="00FA6CFD" w:rsidP="00FA6CFD">
      <w:pPr>
        <w:pStyle w:val="NormalWeb"/>
      </w:pPr>
      <w:r>
        <w:t>In the criminal legal domain, perceptions of deservingness have myriad real-world consequences. They may inform judgements about criminal culpability in juries and sentencing decisions by judges, employers’ judgements about whether to hire returning citizens, or how a neighborhood association responds to a proposal to construct a re-entry home nearby. Literature on social constructions, however, situates perceptions of deservingness as particularly important in their capacity to shape policy preferences and ultimately determine policy outcomes (Kreitzer and Smith 2018, Kreitzer, Maltby, and Smith 2022). However, scant literature has tested this link in the criminal legal domain. While scholars have begun to establish that experience with a policy can generate warmer perceptions of that policy’s targets, more recent evidence suggests that judgements about what an individual deserves do not always translate to support for policy that would accomplish that end (Sorelle and Laws, 2022).</w:t>
      </w:r>
    </w:p>
    <w:p w14:paraId="43800B6D" w14:textId="77777777" w:rsidR="00E66F80" w:rsidRDefault="00E66F80" w:rsidP="00E66F80">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 (</w:t>
      </w:r>
      <w:r w:rsidRPr="00DE28B8">
        <w:rPr>
          <w:rFonts w:ascii="Times New Roman" w:hAnsi="Times New Roman"/>
          <w:szCs w:val="22"/>
        </w:rPr>
        <w:t>Gelman, Fagan, and Kiss 2007, Baumgartner, Epp, and Shoub 2018, Davenport, Soule, and Armstrong 2011</w:t>
      </w:r>
      <w:r>
        <w:rPr>
          <w:rFonts w:ascii="Times New Roman" w:hAnsi="Times New Roman"/>
          <w:szCs w:val="22"/>
        </w:rPr>
        <w:t>)</w:t>
      </w:r>
      <w:r>
        <w:rPr>
          <w:rFonts w:ascii="Times New Roman" w:hAnsi="Times New Roman"/>
          <w:color w:val="212121"/>
        </w:rPr>
        <w:t xml:space="preserve">. Noting this disparity and those produced by the carceral system’s myriad collateral consequences outside the strictly political domain (Western et al 2004, Massoglia 2008), scholars grounded in policy feedback theory have demonstrated myriad ways the criminal legal system shapes political attitudes and behavior of the people and communities it incarcerates and polices (Lerman and Weaver 2014, White 2019a and b, Michener 2018, Burch 2013, Owens 2014, Walker 2020).  Lerman and Weaver (2014) employ findings that court, police, and prison encounters depress political participation by fostering government distrust and perceptions of a reduced civic status to argue that the carceral state “actively construct[s] a different citizenship” (28). Other’s before and since have found that direct interactions with the carceral system, including short stints in jail and encounters with the police like traffic stops depress participation (White 2019, Ben-Menachem and Morris 2023, Rosenthal and Farhart 2022) -- and that these demobilizing effects can extend beyond the individual to their social networks and neighbors (Burch </w:t>
      </w:r>
      <w:commentRangeStart w:id="0"/>
      <w:r>
        <w:rPr>
          <w:rFonts w:ascii="Times New Roman" w:hAnsi="Times New Roman"/>
          <w:color w:val="212121"/>
        </w:rPr>
        <w:t>2014</w:t>
      </w:r>
      <w:commentRangeEnd w:id="0"/>
      <w:r>
        <w:rPr>
          <w:rStyle w:val="CommentReference"/>
        </w:rPr>
        <w:commentReference w:id="0"/>
      </w:r>
      <w:r>
        <w:rPr>
          <w:rFonts w:ascii="Times New Roman" w:hAnsi="Times New Roman"/>
          <w:color w:val="212121"/>
        </w:rPr>
        <w:t xml:space="preserve">).  </w:t>
      </w:r>
    </w:p>
    <w:p w14:paraId="224338EE" w14:textId="77777777" w:rsidR="00E66F80" w:rsidRDefault="00E66F80" w:rsidP="00E66F80">
      <w:pPr>
        <w:spacing w:line="360" w:lineRule="auto"/>
        <w:rPr>
          <w:rFonts w:ascii="Times New Roman" w:hAnsi="Times New Roman"/>
          <w:color w:val="212121"/>
        </w:rPr>
      </w:pPr>
    </w:p>
    <w:p w14:paraId="07EBBE42" w14:textId="77777777" w:rsidR="00E66F80" w:rsidRDefault="00E66F80" w:rsidP="00E66F80">
      <w:pPr>
        <w:spacing w:line="360" w:lineRule="auto"/>
        <w:rPr>
          <w:rFonts w:ascii="Times New Roman" w:hAnsi="Times New Roman"/>
          <w:color w:val="212121"/>
        </w:rPr>
      </w:pPr>
      <w:r>
        <w:rPr>
          <w:rFonts w:ascii="Times New Roman" w:hAnsi="Times New Roman"/>
          <w:color w:val="212121"/>
        </w:rPr>
        <w:t xml:space="preserve">Such demobilization is a result resource effects of carceral contact, like 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 xml:space="preserve">2019), and interpretive effects -- the messages that policy and institutional designs confer about a its target’s civic standing, the efficacy and responsiveness of government, and thus the merits of political participation. While to my knowledge, no literature argues these effects are experienced or interpreted differently, a growing </w:t>
      </w:r>
      <w:r>
        <w:rPr>
          <w:rFonts w:ascii="Times New Roman" w:hAnsi="Times New Roman"/>
          <w:color w:val="212121"/>
        </w:rPr>
        <w:lastRenderedPageBreak/>
        <w:t>literature finds that targets’ responses are not unidirectional: visible forms of policing can have mobilizing effects at the community level when it is perceived to be racially discriminatory (</w:t>
      </w:r>
      <w:proofErr w:type="spellStart"/>
      <w:r>
        <w:rPr>
          <w:rFonts w:ascii="Times New Roman" w:hAnsi="Times New Roman"/>
          <w:color w:val="212121"/>
        </w:rPr>
        <w:t>Anoll</w:t>
      </w:r>
      <w:proofErr w:type="spellEnd"/>
      <w:r>
        <w:rPr>
          <w:rFonts w:ascii="Times New Roman" w:hAnsi="Times New Roman"/>
          <w:color w:val="212121"/>
        </w:rPr>
        <w:t xml:space="preserve"> et al 2022), and incarceration can be politically mobilizing despite perceptions of procedural unfairness (Owens 2014, Walker 2020).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distinct drivers </w:t>
      </w:r>
      <w:r w:rsidRPr="0079105D">
        <w:rPr>
          <w:rFonts w:ascii="Times New Roman" w:hAnsi="Times New Roman"/>
          <w:color w:val="212121"/>
          <w:highlight w:val="lightGray"/>
        </w:rPr>
        <w:t>[fixing this]</w:t>
      </w:r>
      <w:r>
        <w:rPr>
          <w:rFonts w:ascii="Times New Roman" w:hAnsi="Times New Roman"/>
          <w:color w:val="212121"/>
        </w:rPr>
        <w:t xml:space="preserve"> (Lee, Porter, and Comfort 2014). </w:t>
      </w:r>
      <w:proofErr w:type="spellStart"/>
      <w:r>
        <w:rPr>
          <w:rFonts w:ascii="Times New Roman" w:hAnsi="Times New Roman"/>
          <w:color w:val="212121"/>
        </w:rPr>
        <w:t>Anoll</w:t>
      </w:r>
      <w:proofErr w:type="spellEnd"/>
      <w:r>
        <w:rPr>
          <w:rFonts w:ascii="Times New Roman" w:hAnsi="Times New Roman"/>
          <w:color w:val="212121"/>
        </w:rPr>
        <w:t xml:space="preserve"> and Israel-Trummel (2019) find evidence such proximate mobilization is a </w:t>
      </w:r>
      <w:proofErr w:type="spellStart"/>
      <w:r>
        <w:rPr>
          <w:rFonts w:ascii="Times New Roman" w:hAnsi="Times New Roman"/>
          <w:color w:val="212121"/>
        </w:rPr>
        <w:t>produce</w:t>
      </w:r>
      <w:proofErr w:type="spellEnd"/>
      <w:r>
        <w:rPr>
          <w:rFonts w:ascii="Times New Roman" w:hAnsi="Times New Roman"/>
          <w:color w:val="212121"/>
        </w:rPr>
        <w:t xml:space="preserve"> of “surrogate” participation, or a motivation to participate specifically on behalf of or due to the disenfranchisement or incarceration of another.</w:t>
      </w:r>
    </w:p>
    <w:p w14:paraId="79EE9B80" w14:textId="77777777" w:rsidR="00E66F80" w:rsidRDefault="00E66F80" w:rsidP="00E66F80">
      <w:pPr>
        <w:spacing w:line="360" w:lineRule="auto"/>
        <w:rPr>
          <w:rFonts w:ascii="Times New Roman" w:hAnsi="Times New Roman"/>
          <w:color w:val="212121"/>
        </w:rPr>
      </w:pPr>
    </w:p>
    <w:p w14:paraId="51D0802D" w14:textId="77777777" w:rsidR="00E66F80" w:rsidRDefault="00E66F80" w:rsidP="00E66F80">
      <w:pPr>
        <w:spacing w:line="360" w:lineRule="auto"/>
        <w:rPr>
          <w:rFonts w:ascii="Times New Roman" w:hAnsi="Times New Roman"/>
          <w:color w:val="212121"/>
        </w:rPr>
      </w:pPr>
      <w:r>
        <w:rPr>
          <w:rFonts w:ascii="Times New Roman" w:hAnsi="Times New Roman"/>
          <w:color w:val="212121"/>
        </w:rPr>
        <w:t xml:space="preserve">While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how contact with the criminal legal system have on attitudes towards its </w:t>
      </w:r>
      <w:r w:rsidRPr="00FB0FA2">
        <w:rPr>
          <w:rFonts w:ascii="Times New Roman" w:hAnsi="Times New Roman"/>
          <w:i/>
          <w:iCs/>
        </w:rPr>
        <w:t>targets</w:t>
      </w:r>
      <w:r>
        <w:rPr>
          <w:rFonts w:ascii="Times New Roman" w:hAnsi="Times New Roman"/>
        </w:rPr>
        <w:t>.</w:t>
      </w:r>
    </w:p>
    <w:p w14:paraId="390FAC24" w14:textId="77777777" w:rsidR="00FA6CFD" w:rsidRDefault="00FA6CFD" w:rsidP="00FA6CFD">
      <w:pPr>
        <w:rPr>
          <w:rFonts w:ascii="Times New Roman" w:hAnsi="Times New Roman"/>
        </w:rPr>
      </w:pPr>
    </w:p>
    <w:p w14:paraId="32FD442D" w14:textId="77777777" w:rsidR="00E80FB1" w:rsidRDefault="00E80FB1" w:rsidP="00FA6CFD">
      <w:pPr>
        <w:rPr>
          <w:rFonts w:ascii="Times New Roman" w:hAnsi="Times New Roman"/>
        </w:rPr>
      </w:pPr>
    </w:p>
    <w:p w14:paraId="1988C258" w14:textId="5F0FB512" w:rsidR="00E80FB1" w:rsidRDefault="00E80FB1" w:rsidP="00FA6CFD">
      <w:pPr>
        <w:rPr>
          <w:rFonts w:ascii="Times New Roman" w:hAnsi="Times New Roman"/>
        </w:rPr>
      </w:pPr>
      <w:r>
        <w:rPr>
          <w:rFonts w:ascii="Times New Roman" w:hAnsi="Times New Roman"/>
        </w:rPr>
        <w:t>NOTES</w:t>
      </w:r>
    </w:p>
    <w:p w14:paraId="0995A4D7" w14:textId="77777777" w:rsidR="00E80FB1" w:rsidRDefault="00E80FB1" w:rsidP="00FA6CFD">
      <w:pPr>
        <w:rPr>
          <w:rFonts w:ascii="Times New Roman" w:hAnsi="Times New Roman"/>
        </w:rPr>
      </w:pPr>
    </w:p>
    <w:p w14:paraId="7363D8B7" w14:textId="77777777" w:rsidR="00E80FB1" w:rsidRDefault="00E80FB1" w:rsidP="00E80FB1">
      <w:pPr>
        <w:pStyle w:val="NormalWeb"/>
      </w:pPr>
      <w:r>
        <w:t>Proximate</w:t>
      </w:r>
    </w:p>
    <w:p w14:paraId="587DD2B3" w14:textId="77777777" w:rsidR="00E80FB1" w:rsidRDefault="00E80FB1" w:rsidP="00E80FB1">
      <w:pPr>
        <w:pStyle w:val="NormalWeb"/>
      </w:pPr>
      <w:r>
        <w:t>Burch 2014 - Neighborhood</w:t>
      </w:r>
    </w:p>
    <w:p w14:paraId="6E08FE5B" w14:textId="77777777" w:rsidR="00E80FB1" w:rsidRDefault="00E80FB1" w:rsidP="00E80FB1">
      <w:pPr>
        <w:pStyle w:val="NormalWeb"/>
        <w:numPr>
          <w:ilvl w:val="0"/>
          <w:numId w:val="2"/>
        </w:numPr>
      </w:pPr>
      <w:r>
        <w:t>using election, department of correction and public health, and Census data, Burch (2014) finds that high concentrations of people who are incarcerated or on community supervision reduce neighborhood political participation, but that at lower concentrations, neighborhood incarceration correlates with an increase in political participation – including petition signing and civic volunteerism, in addition to voting.</w:t>
      </w:r>
    </w:p>
    <w:p w14:paraId="6A12E763" w14:textId="77777777" w:rsidR="00E80FB1" w:rsidRDefault="00E80FB1" w:rsidP="00E80FB1">
      <w:pPr>
        <w:pStyle w:val="NormalWeb"/>
        <w:numPr>
          <w:ilvl w:val="0"/>
          <w:numId w:val="2"/>
        </w:numPr>
      </w:pPr>
      <w:r>
        <w:t>"</w:t>
      </w:r>
      <w:proofErr w:type="gramStart"/>
      <w:r>
        <w:t>criminal</w:t>
      </w:r>
      <w:proofErr w:type="gramEnd"/>
      <w:r>
        <w:t xml:space="preserve"> justice interactions of community members </w:t>
      </w:r>
      <w:proofErr w:type="spellStart"/>
      <w:r>
        <w:t>hhave</w:t>
      </w:r>
      <w:proofErr w:type="spellEnd"/>
      <w:r>
        <w:t xml:space="preserve"> important spillover effects </w:t>
      </w:r>
      <w:proofErr w:type="spellStart"/>
      <w:r>
        <w:t>tat</w:t>
      </w:r>
      <w:proofErr w:type="spellEnd"/>
      <w:r>
        <w:t xml:space="preserve"> suppress participation not only of the supervised individual but also of </w:t>
      </w:r>
      <w:proofErr w:type="spellStart"/>
      <w:r>
        <w:t>thhose</w:t>
      </w:r>
      <w:proofErr w:type="spellEnd"/>
      <w:r>
        <w:t xml:space="preserve"> living around him or her" (197).</w:t>
      </w:r>
    </w:p>
    <w:p w14:paraId="7243A464" w14:textId="77777777" w:rsidR="00E80FB1" w:rsidRDefault="00E80FB1" w:rsidP="00E80FB1">
      <w:pPr>
        <w:pStyle w:val="NormalWeb"/>
      </w:pPr>
      <w:r>
        <w:t>Lee, Porter and Comfort 2014</w:t>
      </w:r>
    </w:p>
    <w:p w14:paraId="280691F5" w14:textId="77777777" w:rsidR="00E80FB1" w:rsidRDefault="00E80FB1" w:rsidP="00E80FB1">
      <w:pPr>
        <w:pStyle w:val="NormalWeb"/>
        <w:numPr>
          <w:ilvl w:val="0"/>
          <w:numId w:val="3"/>
        </w:numPr>
      </w:pPr>
      <w:r>
        <w:t xml:space="preserve">Family and loved ones of the incarcerated bear resource effects of their own – time and costs of visiting and maintaining communications, commissary support, taking on responsibility for paying fines and fees. Carceral policy also can convey embittering messages. Lee, Porter and Comfort (2014) show that these effects can compound and translate to less ability and interest in political participation, as the proximally impacted </w:t>
      </w:r>
      <w:r>
        <w:lastRenderedPageBreak/>
        <w:t xml:space="preserve">understand government as failing to work for or listen to </w:t>
      </w:r>
      <w:proofErr w:type="gramStart"/>
      <w:r>
        <w:t>them, and</w:t>
      </w:r>
      <w:proofErr w:type="gramEnd"/>
      <w:r>
        <w:t xml:space="preserve"> setting their loved one's up to fail.</w:t>
      </w:r>
    </w:p>
    <w:p w14:paraId="5266AFA4" w14:textId="77777777" w:rsidR="00E80FB1" w:rsidRPr="00E80FB1" w:rsidRDefault="00E80FB1" w:rsidP="00E80FB1">
      <w:pPr>
        <w:spacing w:before="100" w:beforeAutospacing="1" w:after="100" w:afterAutospacing="1"/>
        <w:outlineLvl w:val="0"/>
        <w:rPr>
          <w:rFonts w:ascii="Times New Roman" w:hAnsi="Times New Roman"/>
          <w:b/>
          <w:bCs/>
          <w:kern w:val="36"/>
          <w:sz w:val="48"/>
          <w:szCs w:val="48"/>
          <w14:ligatures w14:val="none"/>
        </w:rPr>
      </w:pPr>
      <w:r w:rsidRPr="00E80FB1">
        <w:rPr>
          <w:rFonts w:ascii="Times New Roman" w:hAnsi="Times New Roman"/>
          <w:b/>
          <w:bCs/>
          <w:kern w:val="36"/>
          <w:sz w:val="48"/>
          <w:szCs w:val="48"/>
          <w14:ligatures w14:val="none"/>
        </w:rPr>
        <w:t>Summary of "Militarization fails to enhance police safety or reduce crime but may harm police reputation" (</w:t>
      </w:r>
      <w:proofErr w:type="spellStart"/>
      <w:r w:rsidRPr="00E80FB1">
        <w:rPr>
          <w:rFonts w:ascii="Times New Roman" w:hAnsi="Times New Roman"/>
          <w:b/>
          <w:bCs/>
          <w:kern w:val="36"/>
          <w:sz w:val="48"/>
          <w:szCs w:val="48"/>
          <w14:ligatures w14:val="none"/>
        </w:rPr>
        <w:t>Mummolo</w:t>
      </w:r>
      <w:proofErr w:type="spellEnd"/>
      <w:r w:rsidRPr="00E80FB1">
        <w:rPr>
          <w:rFonts w:ascii="Times New Roman" w:hAnsi="Times New Roman"/>
          <w:b/>
          <w:bCs/>
          <w:kern w:val="36"/>
          <w:sz w:val="48"/>
          <w:szCs w:val="48"/>
          <w14:ligatures w14:val="none"/>
        </w:rPr>
        <w:t>, 2018)</w:t>
      </w:r>
    </w:p>
    <w:p w14:paraId="486D1060"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This article examines the militarization of police in the United States, focusing on the deployment of SWAT teams and their impacts on communities. </w:t>
      </w:r>
      <w:proofErr w:type="spellStart"/>
      <w:r w:rsidRPr="00E80FB1">
        <w:rPr>
          <w:rFonts w:ascii="Times New Roman" w:hAnsi="Times New Roman"/>
          <w:kern w:val="0"/>
          <w:sz w:val="24"/>
          <w14:ligatures w14:val="none"/>
        </w:rPr>
        <w:t>Mummolo</w:t>
      </w:r>
      <w:proofErr w:type="spellEnd"/>
      <w:r w:rsidRPr="00E80FB1">
        <w:rPr>
          <w:rFonts w:ascii="Times New Roman" w:hAnsi="Times New Roman"/>
          <w:kern w:val="0"/>
          <w:sz w:val="24"/>
          <w14:ligatures w14:val="none"/>
        </w:rPr>
        <w:t xml:space="preserve"> finds that militarized police units are more frequently deployed in communities with larger proportions of African American residents, even after controlling for local crime rates.</w:t>
      </w:r>
    </w:p>
    <w:p w14:paraId="1B1A1F00"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The research demonstrates that contrary to claims by police administrators, militarized policing fails to reduce violent crime or improve officer safety. Using survey experiments with a large oversample of African American respondents, </w:t>
      </w:r>
      <w:proofErr w:type="spellStart"/>
      <w:r w:rsidRPr="00E80FB1">
        <w:rPr>
          <w:rFonts w:ascii="Times New Roman" w:hAnsi="Times New Roman"/>
          <w:kern w:val="0"/>
          <w:sz w:val="24"/>
          <w14:ligatures w14:val="none"/>
        </w:rPr>
        <w:t>Mummolo</w:t>
      </w:r>
      <w:proofErr w:type="spellEnd"/>
      <w:r w:rsidRPr="00E80FB1">
        <w:rPr>
          <w:rFonts w:ascii="Times New Roman" w:hAnsi="Times New Roman"/>
          <w:kern w:val="0"/>
          <w:sz w:val="24"/>
          <w14:ligatures w14:val="none"/>
        </w:rPr>
        <w:t xml:space="preserve"> shows that exposure to images of militarized police in news reports negatively impacts public perceptions of law enforcement, diminishing police reputation among citizens.</w:t>
      </w:r>
    </w:p>
    <w:p w14:paraId="5423FA99"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The study reveals that </w:t>
      </w:r>
      <w:proofErr w:type="gramStart"/>
      <w:r w:rsidRPr="00E80FB1">
        <w:rPr>
          <w:rFonts w:ascii="Times New Roman" w:hAnsi="Times New Roman"/>
          <w:kern w:val="0"/>
          <w:sz w:val="24"/>
          <w14:ligatures w14:val="none"/>
        </w:rPr>
        <w:t>the majority of</w:t>
      </w:r>
      <w:proofErr w:type="gramEnd"/>
      <w:r w:rsidRPr="00E80FB1">
        <w:rPr>
          <w:rFonts w:ascii="Times New Roman" w:hAnsi="Times New Roman"/>
          <w:kern w:val="0"/>
          <w:sz w:val="24"/>
          <w14:ligatures w14:val="none"/>
        </w:rPr>
        <w:t xml:space="preserve"> SWAT deployments (about 90%) were conducted to serve search warrants rather than for emergency scenarios like barricade situations. This pattern of deployment, especially in communities of color where trust in law enforcement is already low, risks increasing historic tensions between marginalized communities and the state without providing the claimed public safety benefits.</w:t>
      </w:r>
    </w:p>
    <w:p w14:paraId="035190E2" w14:textId="77777777" w:rsidR="00E80FB1" w:rsidRPr="00E80FB1" w:rsidRDefault="00E80FB1" w:rsidP="00E80FB1">
      <w:pPr>
        <w:spacing w:before="100" w:beforeAutospacing="1" w:after="100" w:afterAutospacing="1"/>
        <w:outlineLvl w:val="0"/>
        <w:rPr>
          <w:rFonts w:ascii="Times New Roman" w:hAnsi="Times New Roman"/>
          <w:b/>
          <w:bCs/>
          <w:kern w:val="36"/>
          <w:sz w:val="48"/>
          <w:szCs w:val="48"/>
          <w14:ligatures w14:val="none"/>
        </w:rPr>
      </w:pPr>
      <w:r w:rsidRPr="00E80FB1">
        <w:rPr>
          <w:rFonts w:ascii="Times New Roman" w:hAnsi="Times New Roman"/>
          <w:b/>
          <w:bCs/>
          <w:kern w:val="36"/>
          <w:sz w:val="48"/>
          <w:szCs w:val="48"/>
          <w14:ligatures w14:val="none"/>
        </w:rPr>
        <w:t>Summary of "Modern Police Tactics, Police-Citizen Interactions, and the Prospects for Reform" (</w:t>
      </w:r>
      <w:proofErr w:type="spellStart"/>
      <w:r w:rsidRPr="00E80FB1">
        <w:rPr>
          <w:rFonts w:ascii="Times New Roman" w:hAnsi="Times New Roman"/>
          <w:b/>
          <w:bCs/>
          <w:kern w:val="36"/>
          <w:sz w:val="48"/>
          <w:szCs w:val="48"/>
          <w14:ligatures w14:val="none"/>
        </w:rPr>
        <w:t>Mummolo</w:t>
      </w:r>
      <w:proofErr w:type="spellEnd"/>
      <w:r w:rsidRPr="00E80FB1">
        <w:rPr>
          <w:rFonts w:ascii="Times New Roman" w:hAnsi="Times New Roman"/>
          <w:b/>
          <w:bCs/>
          <w:kern w:val="36"/>
          <w:sz w:val="48"/>
          <w:szCs w:val="48"/>
          <w14:ligatures w14:val="none"/>
        </w:rPr>
        <w:t>, 2018)</w:t>
      </w:r>
    </w:p>
    <w:p w14:paraId="6B2FE4A6"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This article examines police reform, focusing on how procedural changes can quickly and dramatically alter officer behavior. </w:t>
      </w:r>
      <w:proofErr w:type="spellStart"/>
      <w:r w:rsidRPr="00E80FB1">
        <w:rPr>
          <w:rFonts w:ascii="Times New Roman" w:hAnsi="Times New Roman"/>
          <w:kern w:val="0"/>
          <w:sz w:val="24"/>
          <w14:ligatures w14:val="none"/>
        </w:rPr>
        <w:t>Mummolo</w:t>
      </w:r>
      <w:proofErr w:type="spellEnd"/>
      <w:r w:rsidRPr="00E80FB1">
        <w:rPr>
          <w:rFonts w:ascii="Times New Roman" w:hAnsi="Times New Roman"/>
          <w:kern w:val="0"/>
          <w:sz w:val="24"/>
          <w14:ligatures w14:val="none"/>
        </w:rPr>
        <w:t xml:space="preserve"> investigates a 2013 change to the NYPD's stop-and-frisk protocol that required officers to provide more thorough documentation justifying their stops of suspects.</w:t>
      </w:r>
    </w:p>
    <w:p w14:paraId="27639724"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Using millions of records of police-citizen interactions and interviews with officers, </w:t>
      </w:r>
      <w:proofErr w:type="spellStart"/>
      <w:r w:rsidRPr="00E80FB1">
        <w:rPr>
          <w:rFonts w:ascii="Times New Roman" w:hAnsi="Times New Roman"/>
          <w:kern w:val="0"/>
          <w:sz w:val="24"/>
          <w14:ligatures w14:val="none"/>
        </w:rPr>
        <w:t>Mummolo</w:t>
      </w:r>
      <w:proofErr w:type="spellEnd"/>
      <w:r w:rsidRPr="00E80FB1">
        <w:rPr>
          <w:rFonts w:ascii="Times New Roman" w:hAnsi="Times New Roman"/>
          <w:kern w:val="0"/>
          <w:sz w:val="24"/>
          <w14:ligatures w14:val="none"/>
        </w:rPr>
        <w:t xml:space="preserve"> finds that this simple procedural change led to an immediate improvement in the "hit rate" - the rate at which stops produced evidence of the suspected crime. The directive increased officers' perception that they would face scrutiny from supervisors, leading them to adopt more conservative approaches to stops.</w:t>
      </w:r>
    </w:p>
    <w:p w14:paraId="32A9FA99"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lastRenderedPageBreak/>
        <w:t>The research challenges prominent claims in policing literature that officers are autonomous and resistant to rules and supervision. Instead, it suggests that institutional changes offer a promising avenue for police reform, countering the focus on potentially immutable officer traits (personality, bias) as the primary drivers of police misconduct.</w:t>
      </w:r>
    </w:p>
    <w:p w14:paraId="3DFF941A" w14:textId="77777777" w:rsidR="00E80FB1" w:rsidRPr="00E80FB1" w:rsidRDefault="00E80FB1" w:rsidP="00E80FB1">
      <w:pPr>
        <w:spacing w:before="100" w:beforeAutospacing="1" w:after="100" w:afterAutospacing="1"/>
        <w:outlineLvl w:val="1"/>
        <w:rPr>
          <w:rFonts w:ascii="Times New Roman" w:hAnsi="Times New Roman"/>
          <w:b/>
          <w:bCs/>
          <w:kern w:val="0"/>
          <w:sz w:val="36"/>
          <w:szCs w:val="36"/>
          <w14:ligatures w14:val="none"/>
        </w:rPr>
      </w:pPr>
      <w:r w:rsidRPr="00E80FB1">
        <w:rPr>
          <w:rFonts w:ascii="Times New Roman" w:hAnsi="Times New Roman"/>
          <w:b/>
          <w:bCs/>
          <w:kern w:val="0"/>
          <w:sz w:val="36"/>
          <w:szCs w:val="36"/>
          <w14:ligatures w14:val="none"/>
        </w:rPr>
        <w:t>Relevance to Your Research</w:t>
      </w:r>
    </w:p>
    <w:p w14:paraId="10E17F17"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These papers provide complementary insights for your research on how police and carceral contact affect political attitudes:</w:t>
      </w:r>
    </w:p>
    <w:p w14:paraId="35D5606F" w14:textId="77777777" w:rsidR="00E80FB1" w:rsidRPr="00E80FB1" w:rsidRDefault="00E80FB1" w:rsidP="00E80FB1">
      <w:pPr>
        <w:numPr>
          <w:ilvl w:val="0"/>
          <w:numId w:val="4"/>
        </w:numPr>
        <w:spacing w:before="100" w:beforeAutospacing="1" w:after="100" w:afterAutospacing="1"/>
        <w:rPr>
          <w:rFonts w:ascii="Times New Roman" w:hAnsi="Times New Roman"/>
          <w:kern w:val="0"/>
          <w:sz w:val="24"/>
          <w14:ligatures w14:val="none"/>
        </w:rPr>
      </w:pPr>
      <w:proofErr w:type="spellStart"/>
      <w:r w:rsidRPr="00E80FB1">
        <w:rPr>
          <w:rFonts w:ascii="Times New Roman" w:hAnsi="Times New Roman"/>
          <w:kern w:val="0"/>
          <w:sz w:val="24"/>
          <w14:ligatures w14:val="none"/>
        </w:rPr>
        <w:t>Mummolo's</w:t>
      </w:r>
      <w:proofErr w:type="spellEnd"/>
      <w:r w:rsidRPr="00E80FB1">
        <w:rPr>
          <w:rFonts w:ascii="Times New Roman" w:hAnsi="Times New Roman"/>
          <w:kern w:val="0"/>
          <w:sz w:val="24"/>
          <w14:ligatures w14:val="none"/>
        </w:rPr>
        <w:t xml:space="preserve"> PNAS article demonstrates how militarized policing in predominantly Black communities can damage police legitimacy and erode trust.</w:t>
      </w:r>
    </w:p>
    <w:p w14:paraId="55E15C50" w14:textId="77777777" w:rsidR="00E80FB1" w:rsidRPr="00E80FB1" w:rsidRDefault="00E80FB1" w:rsidP="00E80FB1">
      <w:pPr>
        <w:numPr>
          <w:ilvl w:val="0"/>
          <w:numId w:val="4"/>
        </w:num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The Journal of Politics article shows that institutional changes can effectively modify officer behavior, suggesting potential pathways for reform that could improve police-community relations.</w:t>
      </w:r>
    </w:p>
    <w:p w14:paraId="419F48AC"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Both articles engage with how police practices affect community perceptions and trust in institutions, which likely influences political attitudes and participation. The research shows that both direct contacts (stops) and proximal exposure (seeing militarized police in one's community) can damage citizen trust in government institutions and potentially affect political behavior.</w:t>
      </w:r>
    </w:p>
    <w:p w14:paraId="0147500C" w14:textId="77777777" w:rsidR="00E80FB1" w:rsidRDefault="00E80FB1" w:rsidP="00FA6CFD">
      <w:pPr>
        <w:rPr>
          <w:rFonts w:ascii="Times New Roman" w:hAnsi="Times New Roman"/>
        </w:rPr>
      </w:pPr>
    </w:p>
    <w:p w14:paraId="1B0C59AC"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Rosenthal and Farhart (2023) "Timing Matters: How Adolescent Police Contact Shapes Political Lives." This complements the previous summaries by adding insights on age-specific effects of police contact.</w:t>
      </w:r>
    </w:p>
    <w:p w14:paraId="43D8CB10" w14:textId="77777777" w:rsidR="00E80FB1" w:rsidRPr="00E80FB1" w:rsidRDefault="00E80FB1" w:rsidP="00E80FB1">
      <w:pPr>
        <w:spacing w:before="100" w:beforeAutospacing="1" w:after="100" w:afterAutospacing="1"/>
        <w:outlineLvl w:val="0"/>
        <w:rPr>
          <w:rFonts w:ascii="Times New Roman" w:hAnsi="Times New Roman"/>
          <w:b/>
          <w:bCs/>
          <w:kern w:val="36"/>
          <w:sz w:val="48"/>
          <w:szCs w:val="48"/>
          <w14:ligatures w14:val="none"/>
        </w:rPr>
      </w:pPr>
      <w:r w:rsidRPr="00E80FB1">
        <w:rPr>
          <w:rFonts w:ascii="Times New Roman" w:hAnsi="Times New Roman"/>
          <w:b/>
          <w:bCs/>
          <w:kern w:val="36"/>
          <w:sz w:val="48"/>
          <w:szCs w:val="48"/>
          <w14:ligatures w14:val="none"/>
        </w:rPr>
        <w:t>Summary of "Timing Matters: How Adolescent Police Contact Shapes Political Lives"</w:t>
      </w:r>
    </w:p>
    <w:p w14:paraId="6EF30BC3"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This article examines how police contact during adolescence impacts political attitudes and behaviors later in life. Using two nationally representative longitudinal datasets, Rosenthal and Farhart find that early adolescent interactions with police (before age 15) have a more profound and lasting impact on political trust and political interest in adulthood compared to police contact that occurs in late adolescence or early adulthood.</w:t>
      </w:r>
    </w:p>
    <w:p w14:paraId="7D1727B4"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 xml:space="preserve">The researchers integrate theories from political socialization and policy feedback to argue that government experiences are most politically impactful when they occur during one's "impressionable years" in youth. Their analysis shows that individuals who first experienced police contact before age 15 demonstrated significantly lower levels of political trust and </w:t>
      </w:r>
      <w:r w:rsidRPr="00E80FB1">
        <w:rPr>
          <w:rFonts w:ascii="Times New Roman" w:hAnsi="Times New Roman"/>
          <w:kern w:val="0"/>
          <w:sz w:val="24"/>
          <w14:ligatures w14:val="none"/>
        </w:rPr>
        <w:lastRenderedPageBreak/>
        <w:t>political interest as adults, while those whose first police contact occurred after age 18 showed no significant difference in these measures compared to people with no police contact.</w:t>
      </w:r>
    </w:p>
    <w:p w14:paraId="7C5B2BEF"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Interestingly, while early police contact affected political attitudes (trust and interest), it did not significantly impact voting behavior. This aligns with previous research suggesting that political attitudes tend to crystallize earlier in life, while behaviors like voting remain more malleable throughout early adulthood.</w:t>
      </w:r>
    </w:p>
    <w:p w14:paraId="50B1604A"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The researchers note that given the racial disparities in adolescent police contact documented in their study and others, the negative effects on political trust and interest likely disproportionately impact Black Americans, though sample size limitations prevented direct analysis of racial differences in these effects.</w:t>
      </w:r>
    </w:p>
    <w:p w14:paraId="3FC7E973" w14:textId="77777777" w:rsidR="00E80FB1" w:rsidRPr="00E80FB1" w:rsidRDefault="00E80FB1" w:rsidP="00E80FB1">
      <w:pPr>
        <w:spacing w:before="100" w:beforeAutospacing="1" w:after="100" w:afterAutospacing="1"/>
        <w:rPr>
          <w:rFonts w:ascii="Times New Roman" w:hAnsi="Times New Roman"/>
          <w:kern w:val="0"/>
          <w:sz w:val="24"/>
          <w14:ligatures w14:val="none"/>
        </w:rPr>
      </w:pPr>
      <w:r w:rsidRPr="00E80FB1">
        <w:rPr>
          <w:rFonts w:ascii="Times New Roman" w:hAnsi="Times New Roman"/>
          <w:kern w:val="0"/>
          <w:sz w:val="24"/>
          <w14:ligatures w14:val="none"/>
        </w:rPr>
        <w:t>This research bridges an important gap between policy feedback studies (which examine how experiences with government shape political attitudes) and political socialization research (which examines how political attitudes develop, particularly in youth). The findings suggest that reducing negative police interactions with young adolescents could help foster greater political trust and engagement among future voters.</w:t>
      </w:r>
    </w:p>
    <w:p w14:paraId="159D9777" w14:textId="77777777" w:rsidR="00662F68" w:rsidRDefault="00662F68" w:rsidP="00662F68">
      <w:pPr>
        <w:pStyle w:val="NormalWeb"/>
      </w:pPr>
      <w:r>
        <w:t>Proximate</w:t>
      </w:r>
    </w:p>
    <w:p w14:paraId="59C87DC8" w14:textId="77777777" w:rsidR="00662F68" w:rsidRDefault="00662F68" w:rsidP="00662F68">
      <w:pPr>
        <w:pStyle w:val="NormalWeb"/>
      </w:pPr>
      <w:r>
        <w:t>Burch 2014 - Neighborhood</w:t>
      </w:r>
    </w:p>
    <w:p w14:paraId="7B8E3B6B" w14:textId="77777777" w:rsidR="00662F68" w:rsidRDefault="00662F68" w:rsidP="00662F68">
      <w:pPr>
        <w:pStyle w:val="NormalWeb"/>
        <w:numPr>
          <w:ilvl w:val="0"/>
          <w:numId w:val="5"/>
        </w:numPr>
      </w:pPr>
      <w:r>
        <w:t>using election, department of correction and public health, and Census data, Burch (2014) finds that high concentrations of people who are incarcerated or on community supervision reduce neighborhood political participation, but that at lower concentrations, neighborhood incarceration correlates with an increase in political participation – including petition signing and civic volunteerism, in addition to voting.</w:t>
      </w:r>
    </w:p>
    <w:p w14:paraId="1A8A68F1" w14:textId="77777777" w:rsidR="00662F68" w:rsidRDefault="00662F68" w:rsidP="00662F68">
      <w:pPr>
        <w:pStyle w:val="NormalWeb"/>
        <w:numPr>
          <w:ilvl w:val="0"/>
          <w:numId w:val="5"/>
        </w:numPr>
      </w:pPr>
      <w:r>
        <w:t>"</w:t>
      </w:r>
      <w:proofErr w:type="gramStart"/>
      <w:r>
        <w:t>criminal</w:t>
      </w:r>
      <w:proofErr w:type="gramEnd"/>
      <w:r>
        <w:t xml:space="preserve"> justice interactions of community members </w:t>
      </w:r>
      <w:proofErr w:type="spellStart"/>
      <w:r>
        <w:t>hhave</w:t>
      </w:r>
      <w:proofErr w:type="spellEnd"/>
      <w:r>
        <w:t xml:space="preserve"> important spillover effects </w:t>
      </w:r>
      <w:proofErr w:type="spellStart"/>
      <w:r>
        <w:t>tat</w:t>
      </w:r>
      <w:proofErr w:type="spellEnd"/>
      <w:r>
        <w:t xml:space="preserve"> suppress participation not only of the supervised individual but also of </w:t>
      </w:r>
      <w:proofErr w:type="spellStart"/>
      <w:r>
        <w:t>thhose</w:t>
      </w:r>
      <w:proofErr w:type="spellEnd"/>
      <w:r>
        <w:t xml:space="preserve"> living around him or her" (197).</w:t>
      </w:r>
    </w:p>
    <w:p w14:paraId="4AE89CC6" w14:textId="77777777" w:rsidR="00662F68" w:rsidRDefault="00662F68" w:rsidP="00662F68">
      <w:pPr>
        <w:pStyle w:val="NormalWeb"/>
      </w:pPr>
      <w:r>
        <w:t>Lee, Porter and Comfort 2014</w:t>
      </w:r>
    </w:p>
    <w:p w14:paraId="58D32CBF" w14:textId="77777777" w:rsidR="00662F68" w:rsidRDefault="00662F68" w:rsidP="00662F68">
      <w:pPr>
        <w:pStyle w:val="NormalWeb"/>
        <w:numPr>
          <w:ilvl w:val="0"/>
          <w:numId w:val="6"/>
        </w:numPr>
      </w:pPr>
      <w:r>
        <w:t xml:space="preserve">Family and loved ones of the incarcerated bear resource effects of their own – time and costs of visiting and maintaining communications, commissary support, taking on responsibility for paying fines and fees. Carceral policy also can convey embittering messages. Lee, Porter and Comfort (2014) show that these effects can compound and translate to less ability and interest in political participation, as the proximally impacted understand government as failing to work for or listen to </w:t>
      </w:r>
      <w:proofErr w:type="gramStart"/>
      <w:r>
        <w:t>them, and</w:t>
      </w:r>
      <w:proofErr w:type="gramEnd"/>
      <w:r>
        <w:t xml:space="preserve"> setting their loved one's up to fail.</w:t>
      </w:r>
    </w:p>
    <w:p w14:paraId="40F1D7F0" w14:textId="77777777" w:rsidR="00E80FB1" w:rsidRPr="00FA6CFD" w:rsidRDefault="00E80FB1" w:rsidP="00FA6CFD">
      <w:pPr>
        <w:rPr>
          <w:rFonts w:ascii="Times New Roman" w:hAnsi="Times New Roman"/>
        </w:rPr>
      </w:pPr>
    </w:p>
    <w:sectPr w:rsidR="00E80FB1" w:rsidRPr="00FA6CFD"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4T15:30:00Z" w:initials="KM">
    <w:p w14:paraId="46D20FCB" w14:textId="77777777" w:rsidR="00E66F80" w:rsidRDefault="00E66F80" w:rsidP="00E66F80">
      <w:r>
        <w:rPr>
          <w:rStyle w:val="CommentReference"/>
        </w:rPr>
        <w:annotationRef/>
      </w:r>
      <w:r>
        <w:rPr>
          <w:color w:val="000000"/>
          <w:sz w:val="20"/>
          <w:szCs w:val="20"/>
        </w:rPr>
        <w:t xml:space="preserve">Add citations, </w:t>
      </w:r>
      <w:r>
        <w:rPr>
          <w:color w:val="202020"/>
          <w:sz w:val="20"/>
          <w:szCs w:val="20"/>
        </w:rPr>
        <w:t xml:space="preserve">Owens, early Ewald).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20F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43AE0" w16cex:dateUtc="2025-03-14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20FCB" w16cid:durableId="03543A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489"/>
    <w:multiLevelType w:val="multilevel"/>
    <w:tmpl w:val="A2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2B4A"/>
    <w:multiLevelType w:val="hybridMultilevel"/>
    <w:tmpl w:val="0588B05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 w15:restartNumberingAfterBreak="0">
    <w:nsid w:val="3F6711F3"/>
    <w:multiLevelType w:val="multilevel"/>
    <w:tmpl w:val="7C9C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02914"/>
    <w:multiLevelType w:val="multilevel"/>
    <w:tmpl w:val="4F7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17E37"/>
    <w:multiLevelType w:val="multilevel"/>
    <w:tmpl w:val="B3D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25B70"/>
    <w:multiLevelType w:val="multilevel"/>
    <w:tmpl w:val="393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88307">
    <w:abstractNumId w:val="1"/>
  </w:num>
  <w:num w:numId="2" w16cid:durableId="1532956494">
    <w:abstractNumId w:val="5"/>
  </w:num>
  <w:num w:numId="3" w16cid:durableId="644092089">
    <w:abstractNumId w:val="4"/>
  </w:num>
  <w:num w:numId="4" w16cid:durableId="1629553880">
    <w:abstractNumId w:val="2"/>
  </w:num>
  <w:num w:numId="5" w16cid:durableId="496700371">
    <w:abstractNumId w:val="0"/>
  </w:num>
  <w:num w:numId="6" w16cid:durableId="160912095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D8"/>
    <w:rsid w:val="0000145B"/>
    <w:rsid w:val="00004B39"/>
    <w:rsid w:val="000160A0"/>
    <w:rsid w:val="000165B8"/>
    <w:rsid w:val="00022097"/>
    <w:rsid w:val="0002297E"/>
    <w:rsid w:val="000306ED"/>
    <w:rsid w:val="00030A8C"/>
    <w:rsid w:val="00037BF8"/>
    <w:rsid w:val="000567DA"/>
    <w:rsid w:val="00060CBE"/>
    <w:rsid w:val="0006430A"/>
    <w:rsid w:val="000666CE"/>
    <w:rsid w:val="0007121B"/>
    <w:rsid w:val="0007127D"/>
    <w:rsid w:val="000731A7"/>
    <w:rsid w:val="00073DEA"/>
    <w:rsid w:val="00076A45"/>
    <w:rsid w:val="00085C11"/>
    <w:rsid w:val="00095BD0"/>
    <w:rsid w:val="000C1731"/>
    <w:rsid w:val="000C49C5"/>
    <w:rsid w:val="000D060A"/>
    <w:rsid w:val="000D232F"/>
    <w:rsid w:val="000D7602"/>
    <w:rsid w:val="000E0CC4"/>
    <w:rsid w:val="000E2273"/>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84E14"/>
    <w:rsid w:val="00193954"/>
    <w:rsid w:val="001A4786"/>
    <w:rsid w:val="001B2435"/>
    <w:rsid w:val="001C20E2"/>
    <w:rsid w:val="001C5DAA"/>
    <w:rsid w:val="001D0700"/>
    <w:rsid w:val="001D2BC2"/>
    <w:rsid w:val="001E18ED"/>
    <w:rsid w:val="001E7DDC"/>
    <w:rsid w:val="001F484E"/>
    <w:rsid w:val="001F499D"/>
    <w:rsid w:val="001F5B84"/>
    <w:rsid w:val="002054C9"/>
    <w:rsid w:val="00206533"/>
    <w:rsid w:val="002131AE"/>
    <w:rsid w:val="00215F2A"/>
    <w:rsid w:val="002207E4"/>
    <w:rsid w:val="00225F9F"/>
    <w:rsid w:val="00231B05"/>
    <w:rsid w:val="00233885"/>
    <w:rsid w:val="00246E5A"/>
    <w:rsid w:val="00250029"/>
    <w:rsid w:val="002512C0"/>
    <w:rsid w:val="00256025"/>
    <w:rsid w:val="00264DA6"/>
    <w:rsid w:val="002679E9"/>
    <w:rsid w:val="00283586"/>
    <w:rsid w:val="00291F8D"/>
    <w:rsid w:val="002A12FD"/>
    <w:rsid w:val="002A3E5C"/>
    <w:rsid w:val="002C3D1D"/>
    <w:rsid w:val="002C60E5"/>
    <w:rsid w:val="002C64FC"/>
    <w:rsid w:val="002C7DCD"/>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667D5"/>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175D8"/>
    <w:rsid w:val="005401C8"/>
    <w:rsid w:val="005433F6"/>
    <w:rsid w:val="00547C03"/>
    <w:rsid w:val="00550DEB"/>
    <w:rsid w:val="00553997"/>
    <w:rsid w:val="00555B93"/>
    <w:rsid w:val="00557ED0"/>
    <w:rsid w:val="00572739"/>
    <w:rsid w:val="00576352"/>
    <w:rsid w:val="00577E2E"/>
    <w:rsid w:val="00577FD1"/>
    <w:rsid w:val="0058497C"/>
    <w:rsid w:val="005877B1"/>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4EA2"/>
    <w:rsid w:val="00625D0B"/>
    <w:rsid w:val="0063407A"/>
    <w:rsid w:val="00637CDE"/>
    <w:rsid w:val="00653CC4"/>
    <w:rsid w:val="00662F68"/>
    <w:rsid w:val="006651AB"/>
    <w:rsid w:val="00673452"/>
    <w:rsid w:val="00674FAC"/>
    <w:rsid w:val="006832AB"/>
    <w:rsid w:val="00692B49"/>
    <w:rsid w:val="006937A5"/>
    <w:rsid w:val="006B0AB9"/>
    <w:rsid w:val="006B5E11"/>
    <w:rsid w:val="006D28B6"/>
    <w:rsid w:val="006D55B4"/>
    <w:rsid w:val="006E1CDD"/>
    <w:rsid w:val="006E30FC"/>
    <w:rsid w:val="006E6976"/>
    <w:rsid w:val="006E76CF"/>
    <w:rsid w:val="006F07DC"/>
    <w:rsid w:val="006F25D4"/>
    <w:rsid w:val="006F3BA0"/>
    <w:rsid w:val="006F4AB5"/>
    <w:rsid w:val="00703833"/>
    <w:rsid w:val="00704919"/>
    <w:rsid w:val="00706C42"/>
    <w:rsid w:val="007102EE"/>
    <w:rsid w:val="007144B9"/>
    <w:rsid w:val="00720E58"/>
    <w:rsid w:val="007229E5"/>
    <w:rsid w:val="007260E7"/>
    <w:rsid w:val="0074211B"/>
    <w:rsid w:val="00743F83"/>
    <w:rsid w:val="007455B2"/>
    <w:rsid w:val="00747497"/>
    <w:rsid w:val="0075040A"/>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0771F"/>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1A36"/>
    <w:rsid w:val="00913C5A"/>
    <w:rsid w:val="009142A6"/>
    <w:rsid w:val="009244E6"/>
    <w:rsid w:val="009316BC"/>
    <w:rsid w:val="00931DCD"/>
    <w:rsid w:val="0093302D"/>
    <w:rsid w:val="009339C4"/>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062C0"/>
    <w:rsid w:val="00A10698"/>
    <w:rsid w:val="00A1104C"/>
    <w:rsid w:val="00A34086"/>
    <w:rsid w:val="00A379C8"/>
    <w:rsid w:val="00A52253"/>
    <w:rsid w:val="00A75828"/>
    <w:rsid w:val="00A85E28"/>
    <w:rsid w:val="00A901EA"/>
    <w:rsid w:val="00A927B8"/>
    <w:rsid w:val="00A93C35"/>
    <w:rsid w:val="00AA0BCC"/>
    <w:rsid w:val="00AA55C4"/>
    <w:rsid w:val="00AB1061"/>
    <w:rsid w:val="00AB4733"/>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56DF8"/>
    <w:rsid w:val="00B64CBC"/>
    <w:rsid w:val="00B67599"/>
    <w:rsid w:val="00B71E10"/>
    <w:rsid w:val="00B7232B"/>
    <w:rsid w:val="00B7241C"/>
    <w:rsid w:val="00B741E3"/>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07B0"/>
    <w:rsid w:val="00C45E8C"/>
    <w:rsid w:val="00C56164"/>
    <w:rsid w:val="00C56288"/>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27897"/>
    <w:rsid w:val="00D470C3"/>
    <w:rsid w:val="00D60814"/>
    <w:rsid w:val="00D60B04"/>
    <w:rsid w:val="00D7474C"/>
    <w:rsid w:val="00D81728"/>
    <w:rsid w:val="00DE06C1"/>
    <w:rsid w:val="00DE1A73"/>
    <w:rsid w:val="00DE5831"/>
    <w:rsid w:val="00DE6841"/>
    <w:rsid w:val="00E01EE5"/>
    <w:rsid w:val="00E04209"/>
    <w:rsid w:val="00E1033B"/>
    <w:rsid w:val="00E11DC7"/>
    <w:rsid w:val="00E16FCA"/>
    <w:rsid w:val="00E35368"/>
    <w:rsid w:val="00E375D3"/>
    <w:rsid w:val="00E431F3"/>
    <w:rsid w:val="00E451B4"/>
    <w:rsid w:val="00E46DAD"/>
    <w:rsid w:val="00E51994"/>
    <w:rsid w:val="00E51F30"/>
    <w:rsid w:val="00E61A6A"/>
    <w:rsid w:val="00E66F80"/>
    <w:rsid w:val="00E70FF2"/>
    <w:rsid w:val="00E72186"/>
    <w:rsid w:val="00E80012"/>
    <w:rsid w:val="00E80FB1"/>
    <w:rsid w:val="00E94774"/>
    <w:rsid w:val="00E95DB7"/>
    <w:rsid w:val="00EA07E9"/>
    <w:rsid w:val="00EA2599"/>
    <w:rsid w:val="00EA27FF"/>
    <w:rsid w:val="00EA3D4B"/>
    <w:rsid w:val="00EA7C26"/>
    <w:rsid w:val="00EB4C75"/>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1EBA"/>
    <w:rsid w:val="00F92E6A"/>
    <w:rsid w:val="00F92F70"/>
    <w:rsid w:val="00F9429C"/>
    <w:rsid w:val="00F9666E"/>
    <w:rsid w:val="00FA468C"/>
    <w:rsid w:val="00FA6CFD"/>
    <w:rsid w:val="00FB02C3"/>
    <w:rsid w:val="00FC39A2"/>
    <w:rsid w:val="00FC3F08"/>
    <w:rsid w:val="00FD0E63"/>
    <w:rsid w:val="00FD72E4"/>
    <w:rsid w:val="00FE0C56"/>
    <w:rsid w:val="00FE42E9"/>
    <w:rsid w:val="00FF4DF3"/>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6A1FD"/>
  <w15:chartTrackingRefBased/>
  <w15:docId w15:val="{C9DC5002-12DA-3A49-9CD7-5B5791C1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517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5175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5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75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75D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75D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75D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75D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5175D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17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5D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175D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175D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175D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175D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175D8"/>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175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5D8"/>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5175D8"/>
    <w:rPr>
      <w:i/>
      <w:iCs/>
      <w:color w:val="0F4761" w:themeColor="accent1" w:themeShade="BF"/>
    </w:rPr>
  </w:style>
  <w:style w:type="paragraph" w:styleId="IntenseQuote">
    <w:name w:val="Intense Quote"/>
    <w:basedOn w:val="Normal"/>
    <w:next w:val="Normal"/>
    <w:link w:val="IntenseQuoteChar"/>
    <w:uiPriority w:val="30"/>
    <w:qFormat/>
    <w:rsid w:val="00517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5D8"/>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5175D8"/>
    <w:rPr>
      <w:b/>
      <w:bCs/>
      <w:smallCaps/>
      <w:color w:val="0F4761" w:themeColor="accent1" w:themeShade="BF"/>
      <w:spacing w:val="5"/>
    </w:rPr>
  </w:style>
  <w:style w:type="paragraph" w:styleId="NormalWeb">
    <w:name w:val="Normal (Web)"/>
    <w:basedOn w:val="Normal"/>
    <w:uiPriority w:val="99"/>
    <w:semiHidden/>
    <w:unhideWhenUsed/>
    <w:rsid w:val="00FA6CFD"/>
    <w:pPr>
      <w:spacing w:before="100" w:beforeAutospacing="1" w:after="100" w:afterAutospacing="1"/>
    </w:pPr>
    <w:rPr>
      <w:rFonts w:ascii="Times New Roman" w:hAnsi="Times New Roman"/>
      <w:kern w:val="0"/>
      <w:sz w:val="24"/>
      <w14:ligatures w14:val="none"/>
    </w:rPr>
  </w:style>
  <w:style w:type="character" w:styleId="Emphasis">
    <w:name w:val="Emphasis"/>
    <w:basedOn w:val="DefaultParagraphFont"/>
    <w:uiPriority w:val="20"/>
    <w:qFormat/>
    <w:rsid w:val="00FA6CFD"/>
    <w:rPr>
      <w:i/>
      <w:iCs/>
    </w:rPr>
  </w:style>
  <w:style w:type="character" w:styleId="CommentReference">
    <w:name w:val="annotation reference"/>
    <w:basedOn w:val="DefaultParagraphFont"/>
    <w:uiPriority w:val="99"/>
    <w:semiHidden/>
    <w:unhideWhenUsed/>
    <w:rsid w:val="00E66F80"/>
    <w:rPr>
      <w:sz w:val="16"/>
      <w:szCs w:val="16"/>
    </w:rPr>
  </w:style>
  <w:style w:type="paragraph" w:customStyle="1" w:styleId="whitespace-pre-wrap">
    <w:name w:val="whitespace-pre-wrap"/>
    <w:basedOn w:val="Normal"/>
    <w:rsid w:val="00E80FB1"/>
    <w:pPr>
      <w:spacing w:before="100" w:beforeAutospacing="1" w:after="100" w:afterAutospacing="1"/>
    </w:pPr>
    <w:rPr>
      <w:rFonts w:ascii="Times New Roman" w:hAnsi="Times New Roman"/>
      <w:kern w:val="0"/>
      <w:sz w:val="24"/>
      <w14:ligatures w14:val="none"/>
    </w:rPr>
  </w:style>
  <w:style w:type="paragraph" w:customStyle="1" w:styleId="whitespace-normal">
    <w:name w:val="whitespace-normal"/>
    <w:basedOn w:val="Normal"/>
    <w:rsid w:val="00E80FB1"/>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708664">
      <w:bodyDiv w:val="1"/>
      <w:marLeft w:val="0"/>
      <w:marRight w:val="0"/>
      <w:marTop w:val="0"/>
      <w:marBottom w:val="0"/>
      <w:divBdr>
        <w:top w:val="none" w:sz="0" w:space="0" w:color="auto"/>
        <w:left w:val="none" w:sz="0" w:space="0" w:color="auto"/>
        <w:bottom w:val="none" w:sz="0" w:space="0" w:color="auto"/>
        <w:right w:val="none" w:sz="0" w:space="0" w:color="auto"/>
      </w:divBdr>
    </w:div>
    <w:div w:id="1274946618">
      <w:bodyDiv w:val="1"/>
      <w:marLeft w:val="0"/>
      <w:marRight w:val="0"/>
      <w:marTop w:val="0"/>
      <w:marBottom w:val="0"/>
      <w:divBdr>
        <w:top w:val="none" w:sz="0" w:space="0" w:color="auto"/>
        <w:left w:val="none" w:sz="0" w:space="0" w:color="auto"/>
        <w:bottom w:val="none" w:sz="0" w:space="0" w:color="auto"/>
        <w:right w:val="none" w:sz="0" w:space="0" w:color="auto"/>
      </w:divBdr>
    </w:div>
    <w:div w:id="1343363085">
      <w:bodyDiv w:val="1"/>
      <w:marLeft w:val="0"/>
      <w:marRight w:val="0"/>
      <w:marTop w:val="0"/>
      <w:marBottom w:val="0"/>
      <w:divBdr>
        <w:top w:val="none" w:sz="0" w:space="0" w:color="auto"/>
        <w:left w:val="none" w:sz="0" w:space="0" w:color="auto"/>
        <w:bottom w:val="none" w:sz="0" w:space="0" w:color="auto"/>
        <w:right w:val="none" w:sz="0" w:space="0" w:color="auto"/>
      </w:divBdr>
      <w:divsChild>
        <w:div w:id="259338469">
          <w:marLeft w:val="0"/>
          <w:marRight w:val="0"/>
          <w:marTop w:val="0"/>
          <w:marBottom w:val="0"/>
          <w:divBdr>
            <w:top w:val="none" w:sz="0" w:space="0" w:color="auto"/>
            <w:left w:val="none" w:sz="0" w:space="0" w:color="auto"/>
            <w:bottom w:val="none" w:sz="0" w:space="0" w:color="auto"/>
            <w:right w:val="none" w:sz="0" w:space="0" w:color="auto"/>
          </w:divBdr>
          <w:divsChild>
            <w:div w:id="7565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012">
      <w:bodyDiv w:val="1"/>
      <w:marLeft w:val="0"/>
      <w:marRight w:val="0"/>
      <w:marTop w:val="0"/>
      <w:marBottom w:val="0"/>
      <w:divBdr>
        <w:top w:val="none" w:sz="0" w:space="0" w:color="auto"/>
        <w:left w:val="none" w:sz="0" w:space="0" w:color="auto"/>
        <w:bottom w:val="none" w:sz="0" w:space="0" w:color="auto"/>
        <w:right w:val="none" w:sz="0" w:space="0" w:color="auto"/>
      </w:divBdr>
      <w:divsChild>
        <w:div w:id="914900862">
          <w:marLeft w:val="0"/>
          <w:marRight w:val="0"/>
          <w:marTop w:val="0"/>
          <w:marBottom w:val="0"/>
          <w:divBdr>
            <w:top w:val="none" w:sz="0" w:space="0" w:color="auto"/>
            <w:left w:val="none" w:sz="0" w:space="0" w:color="auto"/>
            <w:bottom w:val="none" w:sz="0" w:space="0" w:color="auto"/>
            <w:right w:val="none" w:sz="0" w:space="0" w:color="auto"/>
          </w:divBdr>
          <w:divsChild>
            <w:div w:id="4716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9430">
      <w:bodyDiv w:val="1"/>
      <w:marLeft w:val="0"/>
      <w:marRight w:val="0"/>
      <w:marTop w:val="0"/>
      <w:marBottom w:val="0"/>
      <w:divBdr>
        <w:top w:val="none" w:sz="0" w:space="0" w:color="auto"/>
        <w:left w:val="none" w:sz="0" w:space="0" w:color="auto"/>
        <w:bottom w:val="none" w:sz="0" w:space="0" w:color="auto"/>
        <w:right w:val="none" w:sz="0" w:space="0" w:color="auto"/>
      </w:divBdr>
    </w:div>
    <w:div w:id="203950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dcterms:created xsi:type="dcterms:W3CDTF">2025-04-04T18:07:00Z</dcterms:created>
  <dcterms:modified xsi:type="dcterms:W3CDTF">2025-04-07T18:03:00Z</dcterms:modified>
</cp:coreProperties>
</file>