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8A08" w14:textId="77777777" w:rsidR="00272528" w:rsidRDefault="00000000" w:rsidP="001E48DE">
      <w:pPr>
        <w:pStyle w:val="Title"/>
        <w:jc w:val="center"/>
      </w:pPr>
      <w:r>
        <w:t xml:space="preserve">The Politics of Proximity: Attitudinal Feedback Effects of the Carceral </w:t>
      </w:r>
      <w:commentRangeStart w:id="0"/>
      <w:r>
        <w:t>State</w:t>
      </w:r>
      <w:commentRangeEnd w:id="0"/>
      <w:r w:rsidR="00643EC3">
        <w:rPr>
          <w:rStyle w:val="CommentReference"/>
          <w:rFonts w:eastAsia="Times New Roman" w:cs="Times New Roman"/>
          <w:b w:val="0"/>
          <w:spacing w:val="0"/>
          <w:kern w:val="2"/>
        </w:rPr>
        <w:commentReference w:id="0"/>
      </w:r>
    </w:p>
    <w:p w14:paraId="037C3711" w14:textId="77777777" w:rsidR="00272528" w:rsidRDefault="00000000" w:rsidP="001E48DE">
      <w:pPr>
        <w:jc w:val="center"/>
      </w:pPr>
      <w:r>
        <w:t>Kristina Mensik Department of Political Science, Duke University</w:t>
      </w:r>
    </w:p>
    <w:p w14:paraId="2D1DBFFF" w14:textId="77777777" w:rsidR="001E48DE" w:rsidRDefault="001E48DE" w:rsidP="001E48DE">
      <w:pPr>
        <w:pStyle w:val="Heading1"/>
        <w:jc w:val="center"/>
      </w:pPr>
      <w:bookmarkStart w:id="1" w:name="abstract"/>
    </w:p>
    <w:p w14:paraId="74FF5A44" w14:textId="77777777" w:rsidR="001E48DE" w:rsidRDefault="001E48DE" w:rsidP="001E48DE">
      <w:pPr>
        <w:pStyle w:val="Heading1"/>
        <w:jc w:val="center"/>
      </w:pPr>
    </w:p>
    <w:p w14:paraId="683C1799" w14:textId="77777777" w:rsidR="001E48DE" w:rsidRDefault="001E48DE" w:rsidP="001E48DE">
      <w:pPr>
        <w:pStyle w:val="Heading1"/>
        <w:jc w:val="center"/>
      </w:pPr>
    </w:p>
    <w:p w14:paraId="29CB8CFB" w14:textId="77777777" w:rsidR="001E48DE" w:rsidRDefault="001E48DE" w:rsidP="001E48DE">
      <w:pPr>
        <w:pStyle w:val="Heading1"/>
        <w:jc w:val="center"/>
      </w:pPr>
    </w:p>
    <w:p w14:paraId="4F5938B4" w14:textId="64624A5C" w:rsidR="00272528" w:rsidRDefault="00000000" w:rsidP="001E48DE">
      <w:pPr>
        <w:pStyle w:val="Heading1"/>
        <w:jc w:val="center"/>
      </w:pPr>
      <w:r>
        <w:t>Abstract</w:t>
      </w:r>
    </w:p>
    <w:p w14:paraId="2CE12DB4" w14:textId="190603CC" w:rsidR="00272528" w:rsidRDefault="001E48DE" w:rsidP="001E48DE">
      <w:pPr>
        <w:jc w:val="center"/>
        <w:rPr>
          <w:i/>
          <w:iCs/>
        </w:rPr>
      </w:pPr>
      <w:r>
        <w:rPr>
          <w:i/>
          <w:iCs/>
        </w:rPr>
        <w:t xml:space="preserve">[Abstract </w:t>
      </w:r>
      <w:r w:rsidR="003C2BD0">
        <w:rPr>
          <w:i/>
          <w:iCs/>
        </w:rPr>
        <w:t>forthcoming</w:t>
      </w:r>
      <w:r>
        <w:rPr>
          <w:i/>
          <w:iCs/>
        </w:rPr>
        <w:t>]</w:t>
      </w:r>
    </w:p>
    <w:p w14:paraId="4182DD55" w14:textId="33019DC5" w:rsidR="001E48DE" w:rsidRDefault="001E48DE">
      <w:pPr>
        <w:adjustRightInd/>
        <w:spacing w:before="0" w:after="0" w:afterAutospacing="0" w:line="240" w:lineRule="auto"/>
        <w:rPr>
          <w:i/>
          <w:iCs/>
        </w:rPr>
      </w:pPr>
      <w:r>
        <w:rPr>
          <w:i/>
          <w:iCs/>
        </w:rPr>
        <w:br w:type="page"/>
      </w:r>
    </w:p>
    <w:p w14:paraId="600E616F" w14:textId="77777777" w:rsidR="001E48DE" w:rsidRPr="001E48DE" w:rsidRDefault="001E48DE" w:rsidP="001E48DE">
      <w:pPr>
        <w:jc w:val="center"/>
        <w:rPr>
          <w:i/>
          <w:iCs/>
        </w:rPr>
      </w:pPr>
    </w:p>
    <w:p w14:paraId="55A323D6" w14:textId="77777777" w:rsidR="00272528" w:rsidRDefault="00000000">
      <w:pPr>
        <w:pStyle w:val="Heading2"/>
      </w:pPr>
      <w:bookmarkStart w:id="2" w:name="introduction"/>
      <w:r>
        <w:t>1.1 Introduction</w:t>
      </w:r>
    </w:p>
    <w:p w14:paraId="6EA2B396" w14:textId="77777777" w:rsidR="00272528" w:rsidRDefault="00000000">
      <w:r>
        <w:t>Contact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 “absurdly, embarassingly” (p.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such experiences shape how people think about criminal legal policy.</w:t>
      </w:r>
    </w:p>
    <w:p w14:paraId="72D08271" w14:textId="77777777" w:rsidR="00272528" w:rsidRDefault="00000000">
      <w:r>
        <w:t xml:space="preserve">Scholars have shown that a key driver of public support for state intervention across other domains is people’s beliefs about whether a given target group is </w:t>
      </w:r>
      <w:r>
        <w:rPr>
          <w:i/>
          <w:iCs/>
        </w:rPr>
        <w:t>deserving</w:t>
      </w:r>
      <w:r>
        <w:t xml:space="preserve"> of policy help or punishment (DeSante 2013; Ellis and Faricy 2020). Further still, such deservingness perceptions often predict state policy outcomes (Kreitzer, Maltby, and Smith 2022). These perceptions of deservingness are not purely personal – they are shaped by myriad factors including policy designs themselves (Schneider and Ingram 2019). Yet, while scholars have shown that deservingness perceptions inform opinions about social welfare, immigration, and even gun policy (van Oorschot 2000; Kreitzer, Maltby, and Smith 2022), the role of deservingness in the criminal legal context remains less well-developed. In particular, we do not know how people’s experiences with the carceral state—either through direct or proximal contact—shape perceptions of deservingness when it comes to criminal justice policy.</w:t>
      </w:r>
    </w:p>
    <w:p w14:paraId="44291A1E" w14:textId="77777777" w:rsidR="00272528" w:rsidRDefault="00000000">
      <w:r>
        <w:t xml:space="preserve">Recent work (SoRelle and Laws 2024) suggests that experience with policy may condition the logics people use to assess deservingness – and that the role of personal experience in deservingness remains underexplored. At the same time, a growing body of scholarship demonstrates how contact with the carceral state shapes people’s political attitudes (Lerman and Weaver 2014), political identities (Owens 2014), and </w:t>
      </w:r>
      <w:r>
        <w:lastRenderedPageBreak/>
        <w:t>political engagement (White 2019). Through what these scholars term policy feedback effects, policies, once enacted, reshape politics by redistributing resources and sending interpretive signals that affect how individuals understand their – and other’s – relationship to the state (Skocpol 1992; Pierson 1993; Mettler and SoRelle 2023).</w:t>
      </w:r>
    </w:p>
    <w:p w14:paraId="77DBCE7B" w14:textId="77777777" w:rsidR="00272528" w:rsidRDefault="00000000">
      <w:r>
        <w:t>This paper brings deservingness and policy feedback frameworks together to understand how direct and proximate experiences of incarceration and victimization shape perceptions of the deservingness of incarcerated people, and whether these perceptions translate to opinions on prison policy. I start with the contention that people form views about policy by quickly judging social constructions of that policy’s target group (Schneider and Ingram 1993), Drawing on findings that carceral contact can drive perceptions of carceral state illegitimacy and contact group solidarity, I suggest that it may too generate perceptions of carceral targets as more deserving. Moreover, impacted groups learn these political messages by interacting with policy design. They may in turn have different reference points for carceral policy, and the conditions of consequences of imprisonment. In turn, I expect that carceral contact will translate to more generous perceptions of deservingness of, and consistent support for policy that helps carceral citizens.</w:t>
      </w:r>
    </w:p>
    <w:p w14:paraId="468D3FDE" w14:textId="77777777" w:rsidR="00272528" w:rsidRDefault="00000000">
      <w:r>
        <w:t>I test these propositions using 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 may vary across direct and indirect experiences with incarceration and victimization – and how these judgements structure policy preferences.</w:t>
      </w:r>
    </w:p>
    <w:p w14:paraId="33D7F2CD" w14:textId="77777777" w:rsidR="00272528" w:rsidRDefault="00000000">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substantive policy views. Last, it responds to recent interventions that experiences of victimization constitute a critical but understudied component of this feedback loop (Levine and </w:t>
      </w:r>
      <w:r>
        <w:lastRenderedPageBreak/>
        <w:t>Russell 2023) and deepens our understanding of how victimization as a kind of proximal contact of it’s own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14:paraId="7E8A836D" w14:textId="77777777" w:rsidR="00272528" w:rsidRDefault="00000000">
      <w:r>
        <w:t>The remainder of this paper proceeds as follows. In section 2, I elaborate first on key findings from social constructions, deservingness, before discussing implications of and policy feedback literature for my expectations about criminal legal policy. I develop theoretical framework, 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p w14:paraId="22E0EE73" w14:textId="77777777" w:rsidR="00272528" w:rsidRDefault="00000000">
      <w:pPr>
        <w:pStyle w:val="Heading2"/>
      </w:pPr>
      <w:bookmarkStart w:id="3" w:name="X5a3f48ea372cb699c6922a07b8f67802effcab1"/>
      <w:bookmarkEnd w:id="2"/>
      <w:r>
        <w:t>1.2 Deservingness and Attitudes Towards Public Policy</w:t>
      </w:r>
    </w:p>
    <w:p w14:paraId="2A288360" w14:textId="77777777" w:rsidR="00272528" w:rsidRDefault="00000000">
      <w:r>
        <w:t>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 (Schneider and Ingram 1993, Smith and Kreitzer 2024, Oorschot 2006).</w:t>
      </w:r>
    </w:p>
    <w:p w14:paraId="6F44CC4B" w14:textId="77777777" w:rsidR="00272528" w:rsidRDefault="00000000">
      <w:r>
        <w:t xml:space="preserve">Schneider and Ingram’s (1993) theory of social constructions locates perceptions of target deservingness in a dialectic with policy design. That is, public perceptions of whether policy targets are deserving or undeserving are informed by socially constructions, or “value-laden components, including stereotypes, dominant ideologies, and assumptions” 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 “deviant” groups </w:t>
      </w:r>
      <w:r>
        <w:lastRenderedPageBreak/>
        <w:t>like carceral citizens</w:t>
      </w:r>
      <w:r>
        <w:footnoteReference w:id="1"/>
      </w:r>
      <w:r>
        <w:t>. Thus, policy re-enforces perceptions of deservingness, by “telegraph[ing] to the public how target groups should be treated” (Smith and Kreitzer 2024, p. 640). While, as a consequence, particularly negative social constructions like those of carceral citizens may become “sticky” or more entrenched, social constructions are also contingent, for example, on local, state, and political and cultural contexts and also on the political identity of and ideology held by the ‘perceiver’ (Smith and Kreitzer 2018, p. 768). Thus, the relevant social construction driving perceptions of deservingness may different across audiences and policy contexts.</w:t>
      </w:r>
    </w:p>
    <w:p w14:paraId="3D5E51F5" w14:textId="77777777" w:rsidR="00272528" w:rsidRDefault="00000000">
      <w:r>
        <w:t xml:space="preserve">While social construction scholars helps illustrate external mechanisms that may drive broad constructions of carceral citizen’s deservingness, others have paid more attention to specific mechanisms shaping how people judge whether policy targets are deserving. </w:t>
      </w:r>
      <w:r>
        <w:lastRenderedPageBreak/>
        <w:t xml:space="preserve">This line of deservingness scholarship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 While this framework originated to explain views of welfare policies, scholars have applied it to explain policy views in other areas of social policy, including health care (Gollust and Lynch 2011, Gollust, Lantz, and Ubel 2010).</w:t>
      </w:r>
    </w:p>
    <w:p w14:paraId="667AEF74" w14:textId="77777777" w:rsidR="00272528" w:rsidRDefault="00000000">
      <w:pPr>
        <w:pStyle w:val="Heading2"/>
      </w:pPr>
      <w:bookmarkStart w:id="4" w:name="Xeda340ab0de8295bf6ebad724db5724af5e9094"/>
      <w:bookmarkEnd w:id="3"/>
      <w:r>
        <w:t>1.3 From Social Constructions of Deservingness to Policy Feedback</w:t>
      </w:r>
    </w:p>
    <w:p w14:paraId="154131F9" w14:textId="77777777" w:rsidR="00272528" w:rsidRDefault="00000000">
      <w:r>
        <w:t xml:space="preserve">My theoretical starting point is that perceptions of what groups like carceral citizens deserve are often shaped by social constructions about them (Schneider and Ingram 1993) .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 “thugs,” “felons,” or </w:t>
      </w:r>
      <w:r>
        <w:lastRenderedPageBreak/>
        <w:t>“inmates,” – that invoke ingratitude, self-orientation, and blameworthy-ness for their condition of confinement are likely interpolated as undeserving.</w:t>
      </w:r>
      <w:r>
        <w:footnoteReference w:id="2"/>
      </w:r>
    </w:p>
    <w:p w14:paraId="0126E877" w14:textId="77777777" w:rsidR="00272528" w:rsidRDefault="00000000">
      <w:r>
        <w:t xml:space="preserve">Desesrvingness literature may suggest one direct pathway through which contact might interrupt this process. Simply put, someone who is in and knows people in prison has access to information about who an incarcerated personal is outside of their “criminal” identity in a way that someone who has only seen “prisoners” on TV may not. Carceral state contact should, by definition, change what information individuals have about its targets. This alone could translate to more generous interpretations of deservingness (Oorschot 2000, 2006, Feather 2009). </w:t>
      </w:r>
      <w:r>
        <w:footnoteReference w:id="3"/>
      </w:r>
      <w:r>
        <w:t xml:space="preserve"> Following Schneider and Ingram (1993), these deservingness perceptions then influence how individuals evaluate related criminal legal policies.</w:t>
      </w:r>
    </w:p>
    <w:p w14:paraId="4CB0C9E3" w14:textId="77777777" w:rsidR="00272528" w:rsidRDefault="00000000">
      <w:r>
        <w:t xml:space="preserve">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 “deviant” groups – long presumed to be negatively constructed – </w:t>
      </w:r>
      <w:r>
        <w:lastRenderedPageBreak/>
        <w:t>can become beneficiaries of policy help, especially when cossts,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differ for individuals who have direct experience with the relevant policy. Might experiences with policy change how these constructions and characteristics are interpreted, or the extent to which they are internaized and interpolated into policy views? Lessons from policy feedback literature suggest they might.</w:t>
      </w:r>
    </w:p>
    <w:p w14:paraId="353DED32" w14:textId="77777777" w:rsidR="00272528" w:rsidRDefault="00000000">
      <w:r>
        <w:t xml:space="preserve">Across domains, including the carceral state, policy feedback literature shows that policies can shape attitudes towards the state and institutions, one’s sense of “civic self,” and political behavior as part of a process through which policies, once established, have the capacity to shape and reshape policy landscapes (Skocpol 1992, Campbell 2012). These “feedbacks” 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 (Campbell 2003, Mettler and Soss 2004; Mettler and SoRelle 2023). 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 “active agents” in the construction of meaning who internalize and respond to policy messages in different ways – by rejecting a negative construction or its policy implication and engaging in collective action, or conversely by differentiating onesself and dissaggregating one’s overall policy views </w:t>
      </w:r>
      <w:r>
        <w:lastRenderedPageBreak/>
        <w:t>from their perceptions of beneficiary deservingness (Soss 1999, 2005, Goss 2013, Thurston 2018, SoRelle 2020, Lacombe 2021).</w:t>
      </w:r>
      <w:r>
        <w:footnoteReference w:id="4"/>
      </w:r>
    </w:p>
    <w:p w14:paraId="23C17367" w14:textId="77777777" w:rsidR="00272528" w:rsidRDefault="00000000">
      <w:r>
        <w:t>In the criminal legal domain, scholarly debate around the conditions under which carceral contact is politically mobilizing or demobilizing foregrounds this variation (cf. White 2022). Many carceral citizens, their networks, and neighborhoods internalize the clear “undeserving” messages that prison policy sends (Lerman and Weaver 2014, Lee et al. 2014). In doing so, feedback scholars also dilineate the experiences and outcomes of people with not only direct, but also indirect or “proximate” contact, such as families of targets and neighborhood effects. For example, Burch (2014) finds that high concentrations of incarceration and community supervision reduce political participation, creating “important spillover effects that suppress participation not only of the supervised individual but also of those living around him or her” (197). But others find that both direct and proximal contact can mobilize (Anoll et al 2022). While these studies do not focus specifically on the link between contact and deservingness, they are nonetheless theoretically instructive about the role of direct and proximate contact on political behavior.</w:t>
      </w:r>
    </w:p>
    <w:p w14:paraId="4F7500E5" w14:textId="77777777" w:rsidR="00272528" w:rsidRDefault="00000000">
      <w:r>
        <w:t xml:space="preserve">While many carceral citizens and their networks internalize the clear “undeserving” messages conveyed by criminal legal policy, research increasingly shows that such </w:t>
      </w:r>
      <w:r>
        <w:lastRenderedPageBreak/>
        <w:t xml:space="preserve">contact can also shape political attitudes towards the state – fomenting perceptions of institutional illegitimacy (Anoll et al 2022, Anoll and Israel-Trummel 2019, Walker 2020, Lerman and Weaver 2014). As such, I propose that interactions with the carceral system should also shape attitudes towards </w:t>
      </w:r>
      <w:r>
        <w:rPr>
          <w:i/>
          <w:iCs/>
        </w:rPr>
        <w:t>targets of the state</w:t>
      </w:r>
      <w:r>
        <w:t xml:space="preserve"> – and their legitimacy or deservingness in relation to it.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 “teachings” 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 “surrogate” mobilization, or a motivation to act on behalf a “deserving” incarcerated citizen, is at work. Thus, mobilization in response to both direct and proximal contact involve meaning-making processes that wed social solidarity with dampened perceptions of institutional legitimacy and trust.</w:t>
      </w:r>
    </w:p>
    <w:p w14:paraId="56B04029" w14:textId="77777777" w:rsidR="00272528" w:rsidRDefault="00000000">
      <w:r>
        <w:t>But interaction with the carceral system may facilitate not just political, but also policy learning. Targets and their networks come to learn policy messages by experiencing policy burdens. Lee et 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contact may reorient how individuals think about policy, as it changes what they think (for example, what consequences to policy they imagine) when they think about policy.</w:t>
      </w:r>
    </w:p>
    <w:p w14:paraId="429A3F1C" w14:textId="6672826E" w:rsidR="00272528" w:rsidRDefault="001017F0">
      <w:r>
        <w:rPr>
          <w:i/>
          <w:iCs/>
        </w:rPr>
        <w:t>(</w:t>
      </w:r>
      <w:r w:rsidRPr="001017F0">
        <w:rPr>
          <w:i/>
          <w:iCs/>
        </w:rPr>
        <w:t>I</w:t>
      </w:r>
      <w:r>
        <w:t xml:space="preserve"> </w:t>
      </w:r>
      <w:r>
        <w:rPr>
          <w:i/>
          <w:iCs/>
        </w:rPr>
        <w:t>don’t know where to put this paragraph:)</w:t>
      </w:r>
      <w:r>
        <w:t xml:space="preserve"> How do experiences with the criminal legal system shape public perceptions of its targets deservingness — and what do these </w:t>
      </w:r>
      <w:r>
        <w:lastRenderedPageBreak/>
        <w:t>perceptions mean for policy views? While one recent study (Maltby and Kreitzer 2022)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 “undeserving” (cf. Newman et al 2014)</w:t>
      </w:r>
      <w:r>
        <w:footnoteReference w:id="5"/>
      </w:r>
      <w:r>
        <w:t>. Second, the study aggregates deservingness perceptions of “criminal legal targets” that includes groups like “opioid users,” “welfare cheats,” and other groups less apt to the relationships of interest: how 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14:paraId="3273E353" w14:textId="77777777" w:rsidR="00272528" w:rsidRDefault="00000000">
      <w:r>
        <w:t xml:space="preserve">Feedback scholars acknowledge endogeneity challenges inherent to questions of carceral state contact in a context of “cumulative burdens” or where the same individuals and communities often experience both direct and proximate carceral </w:t>
      </w:r>
      <w:r>
        <w:lastRenderedPageBreak/>
        <w:t>contact (Lerman and Weaver 2014; Weaver and Lerman 2010; Michener 2018). These experiences in isolation may have important differences. While some note psychological motivations the incarcerated may have to hold deserving perceptions of themselves and others (Kreitzer and Maltby 2023), others stress that they may be far more likely to internalize undeserving messages, from which the proximally impacted may be more removed (Anoll and Israel-Trummel 2019, Walker 2014, Walker and García-Castañon 2017). Experiences of victimization amplify this tension: they often occur alongside policing and incarceration in the same communities, yet are rarely conceptualized as a form of policy contact in their own right.</w:t>
      </w:r>
      <w:r>
        <w:footnoteReference w:id="6"/>
      </w:r>
    </w:p>
    <w:p w14:paraId="22E4ABF0" w14:textId="77777777" w:rsidR="00272528" w:rsidRDefault="00000000">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 “interpretive effects” 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w:t>
      </w:r>
      <w:r>
        <w:lastRenderedPageBreak/>
        <w:t>criminal legal experience shapes not only institutional trust and political participation, but also deservingness perceptions and carceral policy attitudes. This paper takes up that challenge by analyzing victimization alongside other forms of contact to assess how they each influence perceptions of who deserves help or harm—and what role the state should play.</w:t>
      </w:r>
    </w:p>
    <w:p w14:paraId="39A4E649" w14:textId="77777777" w:rsidR="00272528" w:rsidRDefault="00000000">
      <w:pPr>
        <w:pStyle w:val="Heading2"/>
      </w:pPr>
      <w:bookmarkStart w:id="5" w:name="hypotheses"/>
      <w:bookmarkEnd w:id="4"/>
      <w:r>
        <w:t>1.4 Hypotheses</w:t>
      </w:r>
    </w:p>
    <w:p w14:paraId="06235F08" w14:textId="77777777" w:rsidR="00272528" w:rsidRDefault="00000000">
      <w:r>
        <w:t>What does this mean for my expectations about how carceral contact will shape perceptions of what carceral citizens deserve? While views on criminal legal policy and how people conceive of carceral citizens complicated questions, I anticipate that these experiences (incarceration, neigborhhood or social connections to the incarcerated, and victimization), depress the authority of carceral policy design to convey meaning about its targets. Perceptions of systemic injustice and trends of surrogate participation suggest contact may generate more nuanced perceptions of deservingness in it’s own right, as carceral citizens are conceived of as victims of injustice and or deserving of representation. While individuals and within these groups may still respond to policy messages and think about targets in different ways, I expect these groups to view carceral citizens as more deserving than those without impact. Because people with proximate impact may be less likely to internalize undeserving messages, they may have warmer perceptions than the directly impacted. Further,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16016796" w14:textId="77777777" w:rsidR="00272528" w:rsidRDefault="00000000">
      <w:r>
        <w:t xml:space="preserve">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 (Lopez 2015; Vasiljevic and Viki 2014). Without lived or relational </w:t>
      </w:r>
      <w:r>
        <w:lastRenderedPageBreak/>
        <w:t>knowledge to “fill in” 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14:paraId="4EEFA960" w14:textId="77777777" w:rsidR="00272528" w:rsidRDefault="00000000">
      <w:r>
        <w:rPr>
          <w:b/>
          <w:bCs/>
        </w:rPr>
        <w:t>(H1)</w:t>
      </w:r>
      <w:r>
        <w:t xml:space="preserve"> Direct and proximate experiences with incarceration and </w:t>
      </w:r>
      <w:commentRangeStart w:id="6"/>
      <w:r>
        <w:t xml:space="preserve">experiencing victimization will lead to more generous deservingness perceptions </w:t>
      </w:r>
      <w:commentRangeEnd w:id="6"/>
      <w:r w:rsidR="00643EC3">
        <w:rPr>
          <w:rStyle w:val="CommentReference"/>
        </w:rPr>
        <w:commentReference w:id="6"/>
      </w:r>
      <w:r>
        <w:t>of incarcerated people.</w:t>
      </w:r>
    </w:p>
    <w:p w14:paraId="5B41B771" w14:textId="77777777" w:rsidR="00272528" w:rsidRDefault="00000000">
      <w:r>
        <w:rPr>
          <w:b/>
          <w:bCs/>
        </w:rPr>
        <w:t>(H1A)</w:t>
      </w:r>
      <w:r>
        <w:t xml:space="preserve"> </w:t>
      </w:r>
      <w:commentRangeStart w:id="7"/>
      <w:r>
        <w:t>Individuals with proximate impact will report more generossity than those who are directly impacted.</w:t>
      </w:r>
      <w:commentRangeEnd w:id="7"/>
      <w:r w:rsidR="00643EC3">
        <w:rPr>
          <w:rStyle w:val="CommentReference"/>
        </w:rPr>
        <w:commentReference w:id="7"/>
      </w:r>
    </w:p>
    <w:p w14:paraId="032755A7" w14:textId="77777777" w:rsidR="00272528" w:rsidRDefault="00000000">
      <w:r>
        <w:t xml:space="preserve">While victimization might intuitively drive negative perceptions of carceral citizens, I suggest the relationship is </w:t>
      </w:r>
      <w:commentRangeStart w:id="8"/>
      <w:r>
        <w:t>more complex</w:t>
      </w:r>
      <w:commentRangeEnd w:id="8"/>
      <w:r w:rsidR="00643EC3">
        <w:rPr>
          <w:rStyle w:val="CommentReference"/>
        </w:rPr>
        <w:commentReference w:id="8"/>
      </w:r>
      <w:r>
        <w:t>.</w:t>
      </w:r>
    </w:p>
    <w:p w14:paraId="170D94DA" w14:textId="77777777" w:rsidR="00272528" w:rsidRDefault="00000000">
      <w:r>
        <w:t xml:space="preserve">Researchers provide evidence that more abstracted, dehumanized stereotypes about carceral citizens (Vasiljevic and Viki 2014) generate harsher assessments of culpability (Levinson 2007, Levinson et al 2010, Donovan 2007, Israel-Trummel and Streeter 2021) and sentences (Rehavi and Starr 2014) suggesting that information </w:t>
      </w:r>
      <w:r>
        <w:rPr>
          <w:i/>
          <w:iCs/>
        </w:rPr>
        <w:t>besides</w:t>
      </w:r>
      <w:r>
        <w:t xml:space="preserve"> conviction and crime about carceral citizens should have a countervailing humanizing effect (Uggen and Manza 2006).</w:t>
      </w:r>
    </w:p>
    <w:p w14:paraId="7F1436FA" w14:textId="77777777" w:rsidR="00272528" w:rsidRDefault="00000000">
      <w:commentRangeStart w:id="9"/>
      <w:r>
        <w:t xml:space="preserve">There are clear reasons why victimization may generate undeserving perceptions: </w:t>
      </w:r>
      <w:commentRangeEnd w:id="9"/>
      <w:r w:rsidR="00055449">
        <w:rPr>
          <w:rStyle w:val="CommentReference"/>
        </w:rPr>
        <w:commentReference w:id="9"/>
      </w:r>
      <w:r>
        <w:t xml:space="preserve">victimization is highly a salient experience that for many drives negative affect toward those who commit crimes (Ditton et al. 1999) and provides a clear justification to focus on criminal culpability when considering an incarcerated person (Culhane et al 2004). However, this logic assumes clear victim-offender boundaries and risks ignoring the broader social context in which violence occurs. The overlap between victims and otherwise impacted groups is significant (Gebo 2019). Victims of violent crime are disproportionately part of communities most heavily policed and incarcerated, most victims of violent crime know their offender (Bureau of Justice 2024), and most individuals who experience incarceration have also been victimized.[^2] Thus, while for </w:t>
      </w:r>
      <w:r>
        <w:lastRenderedPageBreak/>
        <w:t>many victims the proximity and salience of a criminal may bolster negative social constructions and deservingness perceptions, it might also translate to more nuanced perceptions of culpability and a closer alignment of identity that moderates negative affect.</w:t>
      </w:r>
    </w:p>
    <w:p w14:paraId="458E061D" w14:textId="77777777" w:rsidR="00272528" w:rsidRDefault="00000000">
      <w:r>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748D5296" w14:textId="77777777" w:rsidR="00272528" w:rsidRDefault="00000000">
      <w:r>
        <w:rPr>
          <w:b/>
          <w:bCs/>
        </w:rPr>
        <w:t>(H1C)</w:t>
      </w:r>
      <w:r>
        <w:t xml:space="preserve"> </w:t>
      </w:r>
      <w:r>
        <w:rPr>
          <w:i/>
          <w:iCs/>
        </w:rPr>
        <w:t xml:space="preserve">Victims of violent crime may vary more than other impacted groups in their perceptions of incarcerated people’s deservingness, but on average, will still express </w:t>
      </w:r>
      <w:commentRangeStart w:id="10"/>
      <w:r>
        <w:rPr>
          <w:i/>
          <w:iCs/>
        </w:rPr>
        <w:t xml:space="preserve">more generous views </w:t>
      </w:r>
      <w:commentRangeEnd w:id="10"/>
      <w:r w:rsidR="00055449">
        <w:rPr>
          <w:rStyle w:val="CommentReference"/>
        </w:rPr>
        <w:commentReference w:id="10"/>
      </w:r>
      <w:r>
        <w:rPr>
          <w:i/>
          <w:iCs/>
        </w:rPr>
        <w:t>than individuals with no direct or proximate contact with the carceral system.</w:t>
      </w:r>
    </w:p>
    <w:p w14:paraId="6CA62C57" w14:textId="77777777" w:rsidR="00272528" w:rsidRDefault="00000000">
      <w:r>
        <w:t>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14:paraId="3DFFFC84" w14:textId="77777777" w:rsidR="00272528" w:rsidRDefault="00000000">
      <w:r>
        <w:rPr>
          <w:b/>
          <w:bCs/>
        </w:rPr>
        <w:t>(H2)</w:t>
      </w:r>
      <w:r>
        <w:t xml:space="preserve"> More generous perceptions of carceral citizens’ deservingness will predict greater and more consistent support for assistance-oriented policies and reduced support for punitive policies.</w:t>
      </w:r>
    </w:p>
    <w:p w14:paraId="208737FC" w14:textId="77777777" w:rsidR="00272528" w:rsidRDefault="00000000">
      <w:r>
        <w:lastRenderedPageBreak/>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7E7B84D3" w14:textId="77777777" w:rsidR="00272528" w:rsidRDefault="00000000">
      <w:pPr>
        <w:pStyle w:val="Heading2"/>
      </w:pPr>
      <w:bookmarkStart w:id="11" w:name="data-and-methods"/>
      <w:bookmarkEnd w:id="5"/>
      <w:r>
        <w:t>1.5 Data and Methods</w:t>
      </w:r>
    </w:p>
    <w:p w14:paraId="63A3A164" w14:textId="77777777" w:rsidR="00272528" w:rsidRDefault="00000000">
      <w:r>
        <w:t>I explore whether policy contact shapes people’s attitudes about deservingness, and how those deservingness perceptions mediate policy preferences. I employ original survey data using a national sample of 2,716 US adults collected in September 2024 through the platform Forthwright. The survey adapts the approach of Kreitzer and Smith’s (2018) empirical mapping of power and deservingness constructions of 87 target populations.</w:t>
      </w:r>
      <w:r>
        <w:footnoteReference w:id="7"/>
      </w:r>
    </w:p>
    <w:p w14:paraId="17735438" w14:textId="77777777" w:rsidR="00272528" w:rsidRDefault="00000000">
      <w:commentRangeStart w:id="12"/>
      <w:r>
        <w:rPr>
          <w:b/>
          <w:bCs/>
        </w:rPr>
        <w:t xml:space="preserve">Measuring </w:t>
      </w:r>
      <w:commentRangeEnd w:id="12"/>
      <w:r w:rsidR="003465C4">
        <w:rPr>
          <w:rStyle w:val="CommentReference"/>
        </w:rPr>
        <w:commentReference w:id="12"/>
      </w:r>
      <w:r>
        <w:rPr>
          <w:b/>
          <w:bCs/>
        </w:rPr>
        <w:t>Deservingness Perceptions, Contact, and Policy Views.</w:t>
      </w:r>
    </w:p>
    <w:p w14:paraId="3E72A87C" w14:textId="77777777" w:rsidR="00272528" w:rsidRDefault="00000000">
      <w:r>
        <w:t xml:space="preserve">In this study, I investigate the correlation between criminal legal policy experience and perceptions of criminal legal target deservingness as well as views on criminal legal policy, and the extent to which deservingness perceptions mediate policy views. As </w:t>
      </w:r>
      <w:r>
        <w:lastRenderedPageBreak/>
        <w:t>such, my primary variables of interest concern deservingness ratings for target groups, “contact” with the criminal legal system, and policy views.</w:t>
      </w:r>
    </w:p>
    <w:p w14:paraId="4FB6631B" w14:textId="77777777" w:rsidR="00272528" w:rsidRDefault="00000000">
      <w:r>
        <w:t>Perceptions of target deservingness are operationalized using 0-100 sliding scale ratings of “incarcerated people/prisoners.” After reading a short explanation of what deserving usually connotes (Figure # ), respondents rated the deservingness of a total of 65 groups.</w:t>
      </w:r>
      <w:r>
        <w:footnoteReference w:id="8"/>
      </w:r>
    </w:p>
    <w:p w14:paraId="2304D648" w14:textId="77777777" w:rsidR="00272528" w:rsidRDefault="00000000">
      <w:r>
        <w:t>I argue a respondent’s experience with the criminal legal system affects perceptions of carceral citizens’ deservingness and policy views.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or not (0). I do not isolate for individuals who have only had one form of policy experience – much of the incarcerated sample overlaps with those who know incarcerated individuals, as would be expected</w:t>
      </w:r>
      <w:r>
        <w:footnoteReference w:id="9"/>
      </w:r>
      <w:r>
        <w:t>. Additionally, I construct a single “impact” dummy to capture all three impacted groups to simplify analysis for my first overarching hypothesis.[^8]</w:t>
      </w:r>
    </w:p>
    <w:p w14:paraId="0B9D48F9" w14:textId="77777777" w:rsidR="00272528" w:rsidRDefault="00000000">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‘prison_penalty’ support </w:t>
      </w:r>
      <w:r>
        <w:lastRenderedPageBreak/>
        <w:t xml:space="preserve">index, and the remainder which involve policy help (minimum wage pay requirements for incarcerated workers, voting rights restoration, etc) are combined in a ‘prison_help’ support index. </w:t>
      </w:r>
      <w:r>
        <w:rPr>
          <w:i/>
          <w:iCs/>
        </w:rPr>
        <w:t>Note: I don’t combine bc testing help vs penalizing.</w:t>
      </w:r>
    </w:p>
    <w:p w14:paraId="2C053081" w14:textId="77777777" w:rsidR="00272528" w:rsidRDefault="00000000">
      <w:pPr>
        <w:pStyle w:val="Heading4"/>
      </w:pPr>
      <w:bookmarkStart w:id="13" w:name="other-factors-influencing-policy-views"/>
      <w:r>
        <w:t>1.5.0.1 Other Factors Influencing Policy Views</w:t>
      </w:r>
    </w:p>
    <w:p w14:paraId="5E22999B" w14:textId="77777777" w:rsidR="00272528" w:rsidRDefault="00000000">
      <w:r>
        <w:t xml:space="preserve">I include </w:t>
      </w:r>
      <w:r>
        <w:rPr>
          <w:b/>
          <w:bCs/>
          <w:i/>
          <w:iCs/>
        </w:rPr>
        <w:t>x</w:t>
      </w:r>
      <w:r>
        <w:t xml:space="preserve"> standard additional controls, and two unique controls to attend alternative explanations of perceptions of deservingness, policy views, and their relationship. </w:t>
      </w:r>
      <w:commentRangeStart w:id="14"/>
      <w:r>
        <w:t xml:space="preserve">First, Smith and Kreitzer (2024) show that while there are different levels of across and within partisan consensus around target group deservingness, partisanship strongly influences target social constructions. </w:t>
      </w:r>
      <w:commentRangeEnd w:id="14"/>
      <w:r w:rsidR="003465C4">
        <w:rPr>
          <w:rStyle w:val="CommentReference"/>
        </w:rPr>
        <w:commentReference w:id="14"/>
      </w:r>
      <w:r>
        <w:t>To control for party affiliation, respondents indicate whether they are Republican, Democrat, Independent, or ‘other party.’ I code for Republicans and Democrats—leaving independents and “others” as the comparison groups.</w:t>
      </w:r>
    </w:p>
    <w:p w14:paraId="706BB9DB" w14:textId="77777777" w:rsidR="00272528" w:rsidRDefault="00000000">
      <w:r>
        <w:t>To capture a broader picture of political ideology, respondents were asked a series of questions related to government funding, regulation, and taxation as indicators of economic conservatism.</w:t>
      </w:r>
      <w:r>
        <w:footnoteReference w:id="10"/>
      </w:r>
      <w:r>
        <w:t xml:space="preserve">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score.[^6]</w:t>
      </w:r>
    </w:p>
    <w:p w14:paraId="6FC5EBA2" w14:textId="77777777" w:rsidR="00272528" w:rsidRDefault="00000000">
      <w:r>
        <w:lastRenderedPageBreak/>
        <w:t>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Chouhy et al 2022, Miller and Alexander 2016). While some operationalize this via support for the death penalty (Enns 2016), others use measures that reflect belief in the purpose of punishment. Here, I operationalise this concept with a control for beliefs about the purpose of punishment using an interval ‘penal_point’ variable, with respondents’ views on whether the purpose of incarceration as to punish primarily, rehabilitate primarily, or somewhere in between, rescaled to a 0-1 metric from a 7 point scale.</w:t>
      </w:r>
    </w:p>
    <w:p w14:paraId="16EDA768" w14:textId="77777777" w:rsidR="00272528" w:rsidRDefault="00000000">
      <w:r>
        <w:t>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[^7]</w:t>
      </w:r>
    </w:p>
    <w:p w14:paraId="363BF681" w14:textId="77777777" w:rsidR="00272528" w:rsidRDefault="00000000">
      <w:r>
        <w:t xml:space="preserve">Similarly, some respondents may be less supportive of policies that help such groups. I use standardized survey items on relevant policies to create a policy dispositional index, including support for Medicaid and unemployment assisstance, views on </w:t>
      </w:r>
      <w:r>
        <w:lastRenderedPageBreak/>
        <w:t>minimum wage and government support for the poor, and the agreement with the importance of accepting refugees.[^8]</w:t>
      </w:r>
    </w:p>
    <w:p w14:paraId="356C95C5" w14:textId="77777777" w:rsidR="00272528" w:rsidRDefault="00000000">
      <w: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construct a racial resentment scale combining items from the ANES “Kinder” battery and the FIRE scale.</w:t>
      </w:r>
    </w:p>
    <w:p w14:paraId="21BA776B" w14:textId="77777777" w:rsidR="00272528" w:rsidRDefault="00000000">
      <w:r>
        <w:t>Finally, I also control gender, level of education, and location.[^9] I control for gender with a binary variable where respondents who identified as genderqueer or ‘other’ (of which there were relatively few) will be randomly assigned to woman (0) and men (1).</w:t>
      </w:r>
    </w:p>
    <w:p w14:paraId="0983F6FA" w14:textId="77777777" w:rsidR="00272528" w:rsidRDefault="00000000">
      <w:pPr>
        <w:pStyle w:val="Heading2"/>
      </w:pPr>
      <w:bookmarkStart w:id="15" w:name="analysis"/>
      <w:bookmarkEnd w:id="11"/>
      <w:bookmarkEnd w:id="13"/>
      <w:r>
        <w:t>1.6 Analysis</w:t>
      </w:r>
    </w:p>
    <w:p w14:paraId="26A683A7" w14:textId="77777777" w:rsidR="00272528" w:rsidRDefault="00000000">
      <w:r>
        <w:t>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14:paraId="5D15654C" w14:textId="77777777" w:rsidR="00272528" w:rsidRDefault="00000000">
      <w:r>
        <w:t>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18DC0754" w14:textId="77777777" w:rsidR="00272528" w:rsidRDefault="00000000">
      <w:r>
        <w:lastRenderedPageBreak/>
        <w:t>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14:paraId="4C11D883" w14:textId="77777777" w:rsidR="00272528" w:rsidRDefault="00000000">
      <w:r>
        <w:t>[Table Z: Mean deservingness ratings of incarcerated people by contact type]</w:t>
      </w:r>
    </w:p>
    <w:p w14:paraId="63ABFFDD" w14:textId="77777777" w:rsidR="00272528"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14:paraId="5883BF2A" w14:textId="77777777" w:rsidR="00272528" w:rsidRDefault="00000000">
      <w:r>
        <w:t>[Table X: ]</w:t>
      </w:r>
    </w:p>
    <w:p w14:paraId="51498E17" w14:textId="77777777" w:rsidR="00272528" w:rsidRDefault="00000000">
      <w:pPr>
        <w:pStyle w:val="Heading4"/>
      </w:pPr>
      <w:bookmarkStart w:id="16" w:name="modeling-approach"/>
      <w:r>
        <w:t>1.6.0.1 Modeling Approach</w:t>
      </w:r>
    </w:p>
    <w:p w14:paraId="0DDCEE69" w14:textId="77777777" w:rsidR="00272528" w:rsidRDefault="00000000">
      <w:r>
        <w:t xml:space="preserve">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 </w:t>
      </w: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m:t>
        </m:r>
      </m:oMath>
      <w:r>
        <w:t xml:space="preserve">,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whether a respondent has been directly or proximally impacted. I interpret 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6FB2F4C1" w14:textId="77777777" w:rsidR="00272528" w:rsidRDefault="00000000">
      <w:pPr>
        <w:pStyle w:val="Heading5"/>
      </w:pPr>
      <w:bookmarkStart w:id="17" w:name="deservingness-models"/>
      <w:r>
        <w:t>1.6.0.1.1 Deservingness Models</w:t>
      </w:r>
    </w:p>
    <w:p w14:paraId="3F647C4F" w14:textId="77777777" w:rsidR="00272528"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w:t>
      </w:r>
      <w:r>
        <w:lastRenderedPageBreak/>
        <w:t>begin by regressing deservingness scores for incarcerated people on impact status, controlling for demographic and attitudinal factors. Specifically, I estimate:</w:t>
      </w:r>
    </w:p>
    <w:p w14:paraId="0D01C7A2" w14:textId="77777777" w:rsidR="0027252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85438AB" w14:textId="77777777" w:rsidR="00272528"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720EAF0A" w14:textId="77777777" w:rsidR="00272528" w:rsidRDefault="00000000">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385E184E" w14:textId="77777777" w:rsidR="0027252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CD743FA" w14:textId="77777777" w:rsidR="00272528" w:rsidRDefault="00000000">
      <w:r>
        <w:t xml:space="preserve">If contact reduces 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xml:space="preserve"> captures whether the relationship between contact and deservingness differs across racial groups, which may reflect distinct lived experiences or differential beliefs about the justice system. A </w:t>
      </w:r>
      <w:r>
        <w:lastRenderedPageBreak/>
        <w:t>significant interaction term would suggest conditional effects—i.e., that contact does not uniformly affect all individuals’ attitudes.</w:t>
      </w:r>
    </w:p>
    <w:p w14:paraId="395786EB" w14:textId="77777777" w:rsidR="00272528" w:rsidRDefault="00000000">
      <w:r>
        <w:t>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6DDFA894" w14:textId="77777777" w:rsidR="0027252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des_or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8533359" w14:textId="77777777" w:rsidR="00272528" w:rsidRDefault="00000000">
      <w:r>
        <w:t>My second core hypothesis (</w:t>
      </w:r>
      <w:r>
        <w:rPr>
          <w:b/>
          <w:bCs/>
        </w:rPr>
        <w:t>H2)</w:t>
      </w:r>
      <w:r>
        <w:t xml:space="preserve"> 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14:paraId="6AE5A14A" w14:textId="77777777" w:rsidR="00272528"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6698A6C" w14:textId="77777777" w:rsidR="00272528" w:rsidRDefault="00000000">
      <w:r>
        <w:t>and on punative policy</w:t>
      </w:r>
    </w:p>
    <w:p w14:paraId="19F01280" w14:textId="77777777" w:rsidR="00272528"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A0273FF" w14:textId="77777777" w:rsidR="00272528" w:rsidRDefault="00000000">
      <w:r>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w:t>
      </w:r>
    </w:p>
    <w:p w14:paraId="3B28B9A8" w14:textId="77777777" w:rsidR="00272528" w:rsidRDefault="00000000">
      <w:r>
        <w:lastRenderedPageBreak/>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24672877" w14:textId="77777777" w:rsidR="00272528"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4882D2E" w14:textId="77777777" w:rsidR="00272528"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73A1049" w14:textId="77777777" w:rsidR="00272528" w:rsidRDefault="00000000">
      <w:r>
        <w:t>I test this prediction by modeling the relationship between policy help and contact, after accounting for attitudinal and demographic controls using OLS:</w:t>
      </w:r>
    </w:p>
    <w:p w14:paraId="298F7A71" w14:textId="77777777" w:rsidR="0027252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0590431" w14:textId="77777777" w:rsidR="0027252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20275AF" w14:textId="77777777" w:rsidR="00272528" w:rsidRDefault="00000000">
      <w:r>
        <w:t>I model criminal legal contact’s effect on other forms of policy help by regressing aggregated attitudes towards those policies on impact.</w:t>
      </w:r>
    </w:p>
    <w:p w14:paraId="6369A905" w14:textId="77777777" w:rsidR="0027252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7860300" w14:textId="77777777" w:rsidR="00272528" w:rsidRDefault="00000000">
      <w:r>
        <w:t>–</w:t>
      </w:r>
    </w:p>
    <w:p w14:paraId="1B2DFD34" w14:textId="77777777" w:rsidR="00272528" w:rsidRDefault="00000000">
      <w:r>
        <w:t xml:space="preserve">To evaluate whether </w:t>
      </w:r>
      <w:r>
        <w:rPr>
          <w:b/>
          <w:bCs/>
        </w:rPr>
        <w:t>(H2)</w:t>
      </w:r>
      <w:r>
        <w:t xml:space="preserve"> more generous perceptions of carceral citizens’ deservingness also predict more consistent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14:paraId="4E578470" w14:textId="77777777" w:rsidR="00272528"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E80A0A5" w14:textId="77777777" w:rsidR="00272528"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79F9941" w14:textId="77777777" w:rsidR="00272528" w:rsidRDefault="00000000">
      <w:r>
        <w:t>To confirm these findings with an alternative measure of consistency, I also calculate the standard deviation of each person’s responses across the already standardized help policy items. This provides a normalized measure of response dispersion:</w:t>
      </w:r>
    </w:p>
    <w:p w14:paraId="40C73F1C" w14:textId="77777777" w:rsidR="00272528"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6CCEF9C" w14:textId="77777777" w:rsidR="00272528" w:rsidRDefault="00000000">
      <w:r>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6F1116B9" w14:textId="77777777" w:rsidR="00272528" w:rsidRDefault="00000000">
      <w:r>
        <w:t>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14:paraId="7DA1BC5A" w14:textId="77777777" w:rsidR="00272528"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pol_or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40C3C05B" w14:textId="77777777" w:rsidR="00272528"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w:t>
      </w:r>
      <w:r>
        <w:lastRenderedPageBreak/>
        <w:t>effect of experience on policy support (through the fixed effect coefficient) and the consistency of support across policies (through the random effects variance).</w:t>
      </w:r>
    </w:p>
    <w:p w14:paraId="30B7400C" w14:textId="77777777" w:rsidR="00272528" w:rsidRDefault="00000000">
      <w:r>
        <w:t>Finally, 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14:paraId="0120CFCD" w14:textId="77777777" w:rsidR="00272528" w:rsidRDefault="00000000">
      <w:r>
        <w:t>Should I include the full model somewhere (tweaking):</w:t>
      </w:r>
    </w:p>
    <w:p w14:paraId="62D08ADE" w14:textId="77777777" w:rsidR="00272528"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56C449B" w14:textId="77777777" w:rsidR="00272528" w:rsidRDefault="00564C66">
      <w:r>
        <w:rPr>
          <w:noProof/>
        </w:rPr>
        <w:pict w14:anchorId="500D205B">
          <v:rect id="_x0000_i1025" alt="" style="width:468pt;height:.05pt;mso-width-percent:0;mso-height-percent:0;mso-width-percent:0;mso-height-percent:0" o:hralign="center" o:hrstd="t" o:hr="t"/>
        </w:pict>
      </w:r>
    </w:p>
    <w:p w14:paraId="5590F16F" w14:textId="77777777" w:rsidR="00272528" w:rsidRDefault="00000000">
      <w:pPr>
        <w:pStyle w:val="Heading1"/>
      </w:pPr>
      <w:bookmarkStart w:id="18" w:name="conclusion"/>
      <w:bookmarkEnd w:id="1"/>
      <w:bookmarkEnd w:id="15"/>
      <w:bookmarkEnd w:id="16"/>
      <w:bookmarkEnd w:id="17"/>
      <w:r>
        <w:t>2. Conclusion</w:t>
      </w:r>
    </w:p>
    <w:p w14:paraId="348B045E" w14:textId="26D5311E" w:rsidR="00272528" w:rsidRPr="008A4AF8" w:rsidRDefault="008A4AF8">
      <w:pPr>
        <w:rPr>
          <w:i/>
          <w:iCs/>
        </w:rPr>
      </w:pPr>
      <w:r>
        <w:t>[</w:t>
      </w:r>
      <w:r>
        <w:rPr>
          <w:i/>
          <w:iCs/>
        </w:rPr>
        <w:t>forthcoming]</w:t>
      </w:r>
    </w:p>
    <w:p w14:paraId="54336A35" w14:textId="77777777" w:rsidR="00272528" w:rsidRDefault="00000000">
      <w:r>
        <w:t>. . .</w:t>
      </w:r>
    </w:p>
    <w:p w14:paraId="537E47D9" w14:textId="77777777" w:rsidR="00272528" w:rsidRDefault="00000000">
      <w:pPr>
        <w:pStyle w:val="Heading1"/>
      </w:pPr>
      <w:bookmarkStart w:id="19" w:name="references"/>
      <w:bookmarkEnd w:id="18"/>
      <w:r>
        <w:t>3. References</w:t>
      </w:r>
    </w:p>
    <w:p w14:paraId="2E972C72" w14:textId="77777777" w:rsidR="00272528" w:rsidRDefault="00000000">
      <w:pPr>
        <w:pStyle w:val="Heading2"/>
      </w:pPr>
      <w:bookmarkStart w:id="20" w:name="appendix"/>
      <w:r>
        <w:t>3.1 Appendix</w:t>
      </w:r>
    </w:p>
    <w:p w14:paraId="7890D85E" w14:textId="77777777" w:rsidR="00272528" w:rsidRDefault="00000000">
      <w:pPr>
        <w:pStyle w:val="Heading4"/>
      </w:pPr>
      <w:bookmarkStart w:id="21" w:name="variable-directory"/>
      <w:r>
        <w:lastRenderedPageBreak/>
        <w:t>3.1.0.1 Variable Directory</w:t>
      </w:r>
    </w:p>
    <w:p w14:paraId="67C98EE0" w14:textId="77777777" w:rsidR="00272528" w:rsidRDefault="00000000">
      <w:pPr>
        <w:pStyle w:val="Heading3"/>
      </w:pPr>
      <w:bookmarkStart w:id="22" w:name="variable-dictionary"/>
      <w:bookmarkEnd w:id="21"/>
      <w:r>
        <w:t>3.1.1 Variable Dictionary</w:t>
      </w:r>
    </w:p>
    <w:tbl>
      <w:tblPr>
        <w:tblW w:w="5000" w:type="pct"/>
        <w:tblLayout w:type="fixed"/>
        <w:tblLook w:val="0020" w:firstRow="1" w:lastRow="0" w:firstColumn="0" w:lastColumn="0" w:noHBand="0" w:noVBand="0"/>
      </w:tblPr>
      <w:tblGrid>
        <w:gridCol w:w="2470"/>
        <w:gridCol w:w="2470"/>
        <w:gridCol w:w="4420"/>
      </w:tblGrid>
      <w:tr w:rsidR="00272528" w14:paraId="1166402B" w14:textId="77777777">
        <w:trPr>
          <w:tblHeader/>
        </w:trPr>
        <w:tc>
          <w:tcPr>
            <w:tcW w:w="2090" w:type="dxa"/>
          </w:tcPr>
          <w:p w14:paraId="3A7B039D" w14:textId="77777777" w:rsidR="00272528" w:rsidRDefault="00000000">
            <w:r>
              <w:t>Variable Name</w:t>
            </w:r>
          </w:p>
        </w:tc>
        <w:tc>
          <w:tcPr>
            <w:tcW w:w="2090" w:type="dxa"/>
          </w:tcPr>
          <w:p w14:paraId="1C466884" w14:textId="77777777" w:rsidR="00272528" w:rsidRDefault="00000000">
            <w:r>
              <w:t>Type</w:t>
            </w:r>
          </w:p>
        </w:tc>
        <w:tc>
          <w:tcPr>
            <w:tcW w:w="3740" w:type="dxa"/>
          </w:tcPr>
          <w:p w14:paraId="5424588F" w14:textId="77777777" w:rsidR="00272528" w:rsidRDefault="00000000">
            <w:r>
              <w:t>Description</w:t>
            </w:r>
          </w:p>
        </w:tc>
      </w:tr>
      <w:tr w:rsidR="00272528" w14:paraId="67DCDD74" w14:textId="77777777">
        <w:tc>
          <w:tcPr>
            <w:tcW w:w="2090" w:type="dxa"/>
          </w:tcPr>
          <w:p w14:paraId="1AB85969" w14:textId="77777777" w:rsidR="00272528" w:rsidRDefault="00000000">
            <w:r>
              <w:t>impact</w:t>
            </w:r>
          </w:p>
        </w:tc>
        <w:tc>
          <w:tcPr>
            <w:tcW w:w="2090" w:type="dxa"/>
          </w:tcPr>
          <w:p w14:paraId="2D4AD5EE" w14:textId="77777777" w:rsidR="00272528" w:rsidRDefault="00000000">
            <w:r>
              <w:t>Binary</w:t>
            </w:r>
          </w:p>
        </w:tc>
        <w:tc>
          <w:tcPr>
            <w:tcW w:w="3740" w:type="dxa"/>
          </w:tcPr>
          <w:p w14:paraId="2AFDDB90" w14:textId="77777777" w:rsidR="00272528" w:rsidRDefault="00000000">
            <w:r>
              <w:t>Any carceral or victimization contact</w:t>
            </w:r>
          </w:p>
        </w:tc>
      </w:tr>
      <w:tr w:rsidR="00272528" w14:paraId="4235CF87" w14:textId="77777777">
        <w:tc>
          <w:tcPr>
            <w:tcW w:w="2090" w:type="dxa"/>
          </w:tcPr>
          <w:p w14:paraId="1F28A98C" w14:textId="77777777" w:rsidR="00272528" w:rsidRDefault="00000000">
            <w:r>
              <w:t>incarc</w:t>
            </w:r>
          </w:p>
        </w:tc>
        <w:tc>
          <w:tcPr>
            <w:tcW w:w="2090" w:type="dxa"/>
          </w:tcPr>
          <w:p w14:paraId="75FD23BE" w14:textId="77777777" w:rsidR="00272528" w:rsidRDefault="00000000">
            <w:r>
              <w:t>Binary</w:t>
            </w:r>
          </w:p>
        </w:tc>
        <w:tc>
          <w:tcPr>
            <w:tcW w:w="3740" w:type="dxa"/>
          </w:tcPr>
          <w:p w14:paraId="0B511F98" w14:textId="77777777" w:rsidR="00272528" w:rsidRDefault="00000000">
            <w:r>
              <w:t>Has been incarcerated</w:t>
            </w:r>
          </w:p>
        </w:tc>
      </w:tr>
      <w:tr w:rsidR="00272528" w14:paraId="364F04D7" w14:textId="77777777">
        <w:tc>
          <w:tcPr>
            <w:tcW w:w="2090" w:type="dxa"/>
          </w:tcPr>
          <w:p w14:paraId="2567488F" w14:textId="77777777" w:rsidR="00272528" w:rsidRDefault="00000000">
            <w:r>
              <w:t>knowincarc</w:t>
            </w:r>
          </w:p>
        </w:tc>
        <w:tc>
          <w:tcPr>
            <w:tcW w:w="2090" w:type="dxa"/>
          </w:tcPr>
          <w:p w14:paraId="0657599D" w14:textId="77777777" w:rsidR="00272528" w:rsidRDefault="00000000">
            <w:r>
              <w:t>Binary</w:t>
            </w:r>
          </w:p>
        </w:tc>
        <w:tc>
          <w:tcPr>
            <w:tcW w:w="3740" w:type="dxa"/>
          </w:tcPr>
          <w:p w14:paraId="60159055" w14:textId="77777777" w:rsidR="00272528" w:rsidRDefault="00000000">
            <w:r>
              <w:t>Knows someone incarcerated</w:t>
            </w:r>
          </w:p>
        </w:tc>
      </w:tr>
      <w:tr w:rsidR="00272528" w14:paraId="1124E542" w14:textId="77777777">
        <w:tc>
          <w:tcPr>
            <w:tcW w:w="2090" w:type="dxa"/>
          </w:tcPr>
          <w:p w14:paraId="10797E88" w14:textId="77777777" w:rsidR="00272528" w:rsidRDefault="00000000">
            <w:r>
              <w:t>vict</w:t>
            </w:r>
          </w:p>
        </w:tc>
        <w:tc>
          <w:tcPr>
            <w:tcW w:w="2090" w:type="dxa"/>
          </w:tcPr>
          <w:p w14:paraId="1FF7D364" w14:textId="77777777" w:rsidR="00272528" w:rsidRDefault="00000000">
            <w:r>
              <w:t>Binary</w:t>
            </w:r>
          </w:p>
        </w:tc>
        <w:tc>
          <w:tcPr>
            <w:tcW w:w="3740" w:type="dxa"/>
          </w:tcPr>
          <w:p w14:paraId="01756EB6" w14:textId="77777777" w:rsidR="00272528" w:rsidRDefault="00000000">
            <w:r>
              <w:t>Has been victim of violent crime</w:t>
            </w:r>
          </w:p>
        </w:tc>
      </w:tr>
      <w:tr w:rsidR="00272528" w14:paraId="0767E707" w14:textId="77777777">
        <w:tc>
          <w:tcPr>
            <w:tcW w:w="2090" w:type="dxa"/>
          </w:tcPr>
          <w:p w14:paraId="4F7BBDBD" w14:textId="77777777" w:rsidR="00272528" w:rsidRDefault="00000000">
            <w:r>
              <w:t>prisonerdeserves</w:t>
            </w:r>
          </w:p>
        </w:tc>
        <w:tc>
          <w:tcPr>
            <w:tcW w:w="2090" w:type="dxa"/>
          </w:tcPr>
          <w:p w14:paraId="592AD9CE" w14:textId="77777777" w:rsidR="00272528" w:rsidRDefault="00000000">
            <w:r>
              <w:t>Continuous</w:t>
            </w:r>
          </w:p>
        </w:tc>
        <w:tc>
          <w:tcPr>
            <w:tcW w:w="3740" w:type="dxa"/>
          </w:tcPr>
          <w:p w14:paraId="5BF2A9C6" w14:textId="77777777" w:rsidR="00272528" w:rsidRDefault="00000000">
            <w:r>
              <w:t>Centered deservingness of incarcerated people</w:t>
            </w:r>
          </w:p>
        </w:tc>
      </w:tr>
      <w:tr w:rsidR="00272528" w14:paraId="63562C14" w14:textId="77777777">
        <w:tc>
          <w:tcPr>
            <w:tcW w:w="2090" w:type="dxa"/>
          </w:tcPr>
          <w:p w14:paraId="38169FB5" w14:textId="77777777" w:rsidR="00272528" w:rsidRDefault="00000000">
            <w:r>
              <w:t>prisonhelp</w:t>
            </w:r>
          </w:p>
        </w:tc>
        <w:tc>
          <w:tcPr>
            <w:tcW w:w="2090" w:type="dxa"/>
          </w:tcPr>
          <w:p w14:paraId="56F9A404" w14:textId="77777777" w:rsidR="00272528" w:rsidRDefault="00000000">
            <w:r>
              <w:t>Index</w:t>
            </w:r>
          </w:p>
        </w:tc>
        <w:tc>
          <w:tcPr>
            <w:tcW w:w="3740" w:type="dxa"/>
          </w:tcPr>
          <w:p w14:paraId="42160F4F" w14:textId="77777777" w:rsidR="00272528" w:rsidRDefault="00000000">
            <w:r>
              <w:t>Support for prison-assistance policies</w:t>
            </w:r>
          </w:p>
        </w:tc>
      </w:tr>
      <w:tr w:rsidR="00272528" w14:paraId="7BD6A04B" w14:textId="77777777">
        <w:tc>
          <w:tcPr>
            <w:tcW w:w="2090" w:type="dxa"/>
          </w:tcPr>
          <w:p w14:paraId="7BE5E80F" w14:textId="77777777" w:rsidR="00272528" w:rsidRDefault="00000000">
            <w:r>
              <w:t>prisonpen</w:t>
            </w:r>
          </w:p>
        </w:tc>
        <w:tc>
          <w:tcPr>
            <w:tcW w:w="2090" w:type="dxa"/>
          </w:tcPr>
          <w:p w14:paraId="3E047DC3" w14:textId="77777777" w:rsidR="00272528" w:rsidRDefault="00000000">
            <w:r>
              <w:t>Index</w:t>
            </w:r>
          </w:p>
        </w:tc>
        <w:tc>
          <w:tcPr>
            <w:tcW w:w="3740" w:type="dxa"/>
          </w:tcPr>
          <w:p w14:paraId="4D59747C" w14:textId="77777777" w:rsidR="00272528" w:rsidRDefault="00000000">
            <w:r>
              <w:t>Support for punitive carceral policies</w:t>
            </w:r>
          </w:p>
        </w:tc>
      </w:tr>
      <w:tr w:rsidR="00272528" w14:paraId="363B6FD6" w14:textId="77777777">
        <w:tc>
          <w:tcPr>
            <w:tcW w:w="2090" w:type="dxa"/>
          </w:tcPr>
          <w:p w14:paraId="73D068FC" w14:textId="77777777" w:rsidR="00272528" w:rsidRDefault="00000000">
            <w:r>
              <w:t>variance_help</w:t>
            </w:r>
          </w:p>
        </w:tc>
        <w:tc>
          <w:tcPr>
            <w:tcW w:w="2090" w:type="dxa"/>
          </w:tcPr>
          <w:p w14:paraId="1D58829C" w14:textId="77777777" w:rsidR="00272528" w:rsidRDefault="00000000">
            <w:r>
              <w:t>Continuous</w:t>
            </w:r>
          </w:p>
        </w:tc>
        <w:tc>
          <w:tcPr>
            <w:tcW w:w="3740" w:type="dxa"/>
          </w:tcPr>
          <w:p w14:paraId="67976646" w14:textId="77777777" w:rsidR="00272528" w:rsidRDefault="00000000">
            <w:r>
              <w:t>Variance across prison-help policy support items</w:t>
            </w:r>
          </w:p>
        </w:tc>
      </w:tr>
      <w:tr w:rsidR="00272528" w14:paraId="36475E0F" w14:textId="77777777">
        <w:tc>
          <w:tcPr>
            <w:tcW w:w="2090" w:type="dxa"/>
          </w:tcPr>
          <w:p w14:paraId="213E2781" w14:textId="77777777" w:rsidR="00272528" w:rsidRDefault="00000000">
            <w:r>
              <w:t>sd_help</w:t>
            </w:r>
          </w:p>
        </w:tc>
        <w:tc>
          <w:tcPr>
            <w:tcW w:w="2090" w:type="dxa"/>
          </w:tcPr>
          <w:p w14:paraId="687E53A2" w14:textId="77777777" w:rsidR="00272528" w:rsidRDefault="00000000">
            <w:r>
              <w:t>Continuous</w:t>
            </w:r>
          </w:p>
        </w:tc>
        <w:tc>
          <w:tcPr>
            <w:tcW w:w="3740" w:type="dxa"/>
          </w:tcPr>
          <w:p w14:paraId="515B4A8A" w14:textId="77777777" w:rsidR="00272528" w:rsidRDefault="00000000">
            <w:r>
              <w:t>Standard deviation of help-policy support items</w:t>
            </w:r>
          </w:p>
        </w:tc>
      </w:tr>
      <w:tr w:rsidR="00272528" w14:paraId="2204FE0E" w14:textId="77777777">
        <w:tc>
          <w:tcPr>
            <w:tcW w:w="2090" w:type="dxa"/>
          </w:tcPr>
          <w:p w14:paraId="6AF03BB0" w14:textId="77777777" w:rsidR="00272528" w:rsidRDefault="00000000">
            <w:r>
              <w:t>polorientation / pol-or</w:t>
            </w:r>
          </w:p>
        </w:tc>
        <w:tc>
          <w:tcPr>
            <w:tcW w:w="2090" w:type="dxa"/>
          </w:tcPr>
          <w:p w14:paraId="1D2ED1C4" w14:textId="77777777" w:rsidR="00272528" w:rsidRDefault="00000000">
            <w:r>
              <w:t>Index</w:t>
            </w:r>
          </w:p>
        </w:tc>
        <w:tc>
          <w:tcPr>
            <w:tcW w:w="3740" w:type="dxa"/>
          </w:tcPr>
          <w:p w14:paraId="28320560" w14:textId="77777777" w:rsidR="00272528" w:rsidRDefault="00000000">
            <w:r>
              <w:t>General orientation toward social policy help</w:t>
            </w:r>
          </w:p>
        </w:tc>
      </w:tr>
      <w:tr w:rsidR="00272528" w14:paraId="40094DFB" w14:textId="77777777">
        <w:tc>
          <w:tcPr>
            <w:tcW w:w="2090" w:type="dxa"/>
          </w:tcPr>
          <w:p w14:paraId="3493322F" w14:textId="77777777" w:rsidR="00272528" w:rsidRDefault="00000000">
            <w:r>
              <w:t>desor</w:t>
            </w:r>
          </w:p>
        </w:tc>
        <w:tc>
          <w:tcPr>
            <w:tcW w:w="2090" w:type="dxa"/>
          </w:tcPr>
          <w:p w14:paraId="0DF8F96A" w14:textId="77777777" w:rsidR="00272528" w:rsidRDefault="00000000">
            <w:r>
              <w:t>Continuous</w:t>
            </w:r>
          </w:p>
        </w:tc>
        <w:tc>
          <w:tcPr>
            <w:tcW w:w="3740" w:type="dxa"/>
          </w:tcPr>
          <w:p w14:paraId="2384FDCC" w14:textId="77777777" w:rsidR="00272528" w:rsidRDefault="00000000">
            <w:r>
              <w:t>Centered deservingness of help-receiving groups</w:t>
            </w:r>
          </w:p>
        </w:tc>
      </w:tr>
      <w:tr w:rsidR="00272528" w14:paraId="209230C5" w14:textId="77777777">
        <w:tc>
          <w:tcPr>
            <w:tcW w:w="2090" w:type="dxa"/>
          </w:tcPr>
          <w:p w14:paraId="40016BFA" w14:textId="77777777" w:rsidR="00272528" w:rsidRDefault="00000000">
            <w:r>
              <w:t>Republican</w:t>
            </w:r>
          </w:p>
        </w:tc>
        <w:tc>
          <w:tcPr>
            <w:tcW w:w="2090" w:type="dxa"/>
          </w:tcPr>
          <w:p w14:paraId="11982ED7" w14:textId="77777777" w:rsidR="00272528" w:rsidRDefault="00000000">
            <w:r>
              <w:t>Dummy</w:t>
            </w:r>
          </w:p>
        </w:tc>
        <w:tc>
          <w:tcPr>
            <w:tcW w:w="3740" w:type="dxa"/>
          </w:tcPr>
          <w:p w14:paraId="1649997E" w14:textId="77777777" w:rsidR="00272528" w:rsidRDefault="00000000">
            <w:r>
              <w:t>Identifies as Republican</w:t>
            </w:r>
          </w:p>
        </w:tc>
      </w:tr>
      <w:tr w:rsidR="00272528" w14:paraId="2F51BE0D" w14:textId="77777777">
        <w:tc>
          <w:tcPr>
            <w:tcW w:w="2090" w:type="dxa"/>
          </w:tcPr>
          <w:p w14:paraId="2365BFAC" w14:textId="77777777" w:rsidR="00272528" w:rsidRDefault="00000000">
            <w:r>
              <w:t>Democrat</w:t>
            </w:r>
          </w:p>
        </w:tc>
        <w:tc>
          <w:tcPr>
            <w:tcW w:w="2090" w:type="dxa"/>
          </w:tcPr>
          <w:p w14:paraId="1176F59D" w14:textId="77777777" w:rsidR="00272528" w:rsidRDefault="00000000">
            <w:r>
              <w:t>Dummy</w:t>
            </w:r>
          </w:p>
        </w:tc>
        <w:tc>
          <w:tcPr>
            <w:tcW w:w="3740" w:type="dxa"/>
          </w:tcPr>
          <w:p w14:paraId="1BB9507E" w14:textId="77777777" w:rsidR="00272528" w:rsidRDefault="00000000">
            <w:r>
              <w:t>Identifies as Democrat</w:t>
            </w:r>
          </w:p>
        </w:tc>
      </w:tr>
      <w:tr w:rsidR="00272528" w14:paraId="756F6F15" w14:textId="77777777">
        <w:tc>
          <w:tcPr>
            <w:tcW w:w="2090" w:type="dxa"/>
          </w:tcPr>
          <w:p w14:paraId="6DF4CF1D" w14:textId="77777777" w:rsidR="00272528" w:rsidRDefault="00000000">
            <w:r>
              <w:lastRenderedPageBreak/>
              <w:t>ideology</w:t>
            </w:r>
          </w:p>
        </w:tc>
        <w:tc>
          <w:tcPr>
            <w:tcW w:w="2090" w:type="dxa"/>
          </w:tcPr>
          <w:p w14:paraId="63BA75EE" w14:textId="77777777" w:rsidR="00272528" w:rsidRDefault="00000000">
            <w:r>
              <w:t>Index</w:t>
            </w:r>
          </w:p>
        </w:tc>
        <w:tc>
          <w:tcPr>
            <w:tcW w:w="3740" w:type="dxa"/>
          </w:tcPr>
          <w:p w14:paraId="034B28F8" w14:textId="77777777" w:rsidR="00272528" w:rsidRDefault="00000000">
            <w:r>
              <w:t>Political ideology (0 = liberal, 1 = conservative)</w:t>
            </w:r>
          </w:p>
        </w:tc>
      </w:tr>
      <w:tr w:rsidR="00272528" w14:paraId="059FCD31" w14:textId="77777777">
        <w:tc>
          <w:tcPr>
            <w:tcW w:w="2090" w:type="dxa"/>
          </w:tcPr>
          <w:p w14:paraId="4F05734A" w14:textId="77777777" w:rsidR="00272528" w:rsidRDefault="00000000">
            <w:r>
              <w:t>Punitive</w:t>
            </w:r>
          </w:p>
        </w:tc>
        <w:tc>
          <w:tcPr>
            <w:tcW w:w="2090" w:type="dxa"/>
          </w:tcPr>
          <w:p w14:paraId="1F24B5A0" w14:textId="77777777" w:rsidR="00272528" w:rsidRDefault="00000000">
            <w:r>
              <w:t>Index</w:t>
            </w:r>
          </w:p>
        </w:tc>
        <w:tc>
          <w:tcPr>
            <w:tcW w:w="3740" w:type="dxa"/>
          </w:tcPr>
          <w:p w14:paraId="5E588980" w14:textId="77777777" w:rsidR="00272528" w:rsidRDefault="00000000">
            <w:r>
              <w:t>General punitive orientation</w:t>
            </w:r>
          </w:p>
        </w:tc>
      </w:tr>
      <w:tr w:rsidR="00272528" w14:paraId="748744FC" w14:textId="77777777">
        <w:tc>
          <w:tcPr>
            <w:tcW w:w="2090" w:type="dxa"/>
          </w:tcPr>
          <w:p w14:paraId="5E8F9489" w14:textId="77777777" w:rsidR="00272528" w:rsidRDefault="00000000">
            <w:r>
              <w:t>PenalPunitiveness</w:t>
            </w:r>
          </w:p>
        </w:tc>
        <w:tc>
          <w:tcPr>
            <w:tcW w:w="2090" w:type="dxa"/>
          </w:tcPr>
          <w:p w14:paraId="45422D67" w14:textId="77777777" w:rsidR="00272528" w:rsidRDefault="00000000">
            <w:r>
              <w:t>Ordinal / Rescaled</w:t>
            </w:r>
          </w:p>
        </w:tc>
        <w:tc>
          <w:tcPr>
            <w:tcW w:w="3740" w:type="dxa"/>
          </w:tcPr>
          <w:p w14:paraId="16D495E6" w14:textId="77777777" w:rsidR="00272528" w:rsidRDefault="00000000">
            <w:r>
              <w:t>Beliefs about punishment vs rehabilitation</w:t>
            </w:r>
          </w:p>
        </w:tc>
      </w:tr>
      <w:tr w:rsidR="00272528" w14:paraId="0851848C" w14:textId="77777777">
        <w:tc>
          <w:tcPr>
            <w:tcW w:w="2090" w:type="dxa"/>
          </w:tcPr>
          <w:p w14:paraId="046E6CBD" w14:textId="77777777" w:rsidR="00272528" w:rsidRDefault="00000000">
            <w:r>
              <w:t>PolicyDisposition</w:t>
            </w:r>
          </w:p>
        </w:tc>
        <w:tc>
          <w:tcPr>
            <w:tcW w:w="2090" w:type="dxa"/>
          </w:tcPr>
          <w:p w14:paraId="1B4E456F" w14:textId="77777777" w:rsidR="00272528" w:rsidRDefault="00000000">
            <w:r>
              <w:t>Index</w:t>
            </w:r>
          </w:p>
        </w:tc>
        <w:tc>
          <w:tcPr>
            <w:tcW w:w="3740" w:type="dxa"/>
          </w:tcPr>
          <w:p w14:paraId="24CA84B3" w14:textId="77777777" w:rsidR="00272528" w:rsidRDefault="00000000">
            <w:r>
              <w:t>Support for redistributive and social help policies</w:t>
            </w:r>
          </w:p>
        </w:tc>
      </w:tr>
      <w:tr w:rsidR="00272528" w14:paraId="53F3F475" w14:textId="77777777">
        <w:tc>
          <w:tcPr>
            <w:tcW w:w="2090" w:type="dxa"/>
          </w:tcPr>
          <w:p w14:paraId="3A56A735" w14:textId="77777777" w:rsidR="00272528" w:rsidRDefault="00000000">
            <w:r>
              <w:t>racialresentment</w:t>
            </w:r>
          </w:p>
        </w:tc>
        <w:tc>
          <w:tcPr>
            <w:tcW w:w="2090" w:type="dxa"/>
          </w:tcPr>
          <w:p w14:paraId="29596682" w14:textId="77777777" w:rsidR="00272528" w:rsidRDefault="00000000">
            <w:r>
              <w:t>Index</w:t>
            </w:r>
          </w:p>
        </w:tc>
        <w:tc>
          <w:tcPr>
            <w:tcW w:w="3740" w:type="dxa"/>
          </w:tcPr>
          <w:p w14:paraId="65BE634A" w14:textId="77777777" w:rsidR="00272528" w:rsidRDefault="00000000">
            <w:r>
              <w:t>Racial resentment scale (FIRE + Kinder items)</w:t>
            </w:r>
          </w:p>
        </w:tc>
      </w:tr>
      <w:tr w:rsidR="00272528" w14:paraId="5F1EF076" w14:textId="77777777">
        <w:tc>
          <w:tcPr>
            <w:tcW w:w="2090" w:type="dxa"/>
          </w:tcPr>
          <w:p w14:paraId="50F61FE5" w14:textId="77777777" w:rsidR="00272528" w:rsidRDefault="00000000">
            <w:r>
              <w:t>gender</w:t>
            </w:r>
          </w:p>
        </w:tc>
        <w:tc>
          <w:tcPr>
            <w:tcW w:w="2090" w:type="dxa"/>
          </w:tcPr>
          <w:p w14:paraId="0D32638B" w14:textId="77777777" w:rsidR="00272528" w:rsidRDefault="00000000">
            <w:r>
              <w:t>Dummy</w:t>
            </w:r>
          </w:p>
        </w:tc>
        <w:tc>
          <w:tcPr>
            <w:tcW w:w="3740" w:type="dxa"/>
          </w:tcPr>
          <w:p w14:paraId="61218CAF" w14:textId="77777777" w:rsidR="00272528" w:rsidRDefault="00000000">
            <w:r>
              <w:t>0 = woman/other, 1 = man</w:t>
            </w:r>
          </w:p>
        </w:tc>
      </w:tr>
      <w:tr w:rsidR="00272528" w14:paraId="29F53168" w14:textId="77777777">
        <w:tc>
          <w:tcPr>
            <w:tcW w:w="2090" w:type="dxa"/>
          </w:tcPr>
          <w:p w14:paraId="40FBC55F" w14:textId="77777777" w:rsidR="00272528" w:rsidRDefault="00000000">
            <w:r>
              <w:t>education</w:t>
            </w:r>
          </w:p>
        </w:tc>
        <w:tc>
          <w:tcPr>
            <w:tcW w:w="2090" w:type="dxa"/>
          </w:tcPr>
          <w:p w14:paraId="15CF9393" w14:textId="77777777" w:rsidR="00272528" w:rsidRDefault="00000000">
            <w:r>
              <w:t>Ordinal</w:t>
            </w:r>
          </w:p>
        </w:tc>
        <w:tc>
          <w:tcPr>
            <w:tcW w:w="3740" w:type="dxa"/>
          </w:tcPr>
          <w:p w14:paraId="575D1B82" w14:textId="77777777" w:rsidR="00272528" w:rsidRDefault="00000000">
            <w:r>
              <w:t>Educational attainment level</w:t>
            </w:r>
          </w:p>
        </w:tc>
      </w:tr>
      <w:tr w:rsidR="00272528" w14:paraId="416F5742" w14:textId="77777777">
        <w:tc>
          <w:tcPr>
            <w:tcW w:w="2090" w:type="dxa"/>
          </w:tcPr>
          <w:p w14:paraId="3E751AD4" w14:textId="77777777" w:rsidR="00272528" w:rsidRDefault="00000000">
            <w:r>
              <w:t>urban</w:t>
            </w:r>
          </w:p>
        </w:tc>
        <w:tc>
          <w:tcPr>
            <w:tcW w:w="2090" w:type="dxa"/>
          </w:tcPr>
          <w:p w14:paraId="2D930BC3" w14:textId="77777777" w:rsidR="00272528" w:rsidRDefault="00000000">
            <w:r>
              <w:t>Dummy</w:t>
            </w:r>
          </w:p>
        </w:tc>
        <w:tc>
          <w:tcPr>
            <w:tcW w:w="3740" w:type="dxa"/>
          </w:tcPr>
          <w:p w14:paraId="7D36FC05" w14:textId="77777777" w:rsidR="00272528" w:rsidRDefault="00000000">
            <w:r>
              <w:t>0 = urban, 1 = non-urban</w:t>
            </w:r>
          </w:p>
        </w:tc>
      </w:tr>
      <w:tr w:rsidR="00272528" w14:paraId="3471E355" w14:textId="77777777">
        <w:tc>
          <w:tcPr>
            <w:tcW w:w="2090" w:type="dxa"/>
          </w:tcPr>
          <w:p w14:paraId="67735A2A" w14:textId="77777777" w:rsidR="00272528" w:rsidRDefault="00000000">
            <w:r>
              <w:t>Black, Hispanic, OtherRace</w:t>
            </w:r>
          </w:p>
        </w:tc>
        <w:tc>
          <w:tcPr>
            <w:tcW w:w="2090" w:type="dxa"/>
          </w:tcPr>
          <w:p w14:paraId="4F56D945" w14:textId="77777777" w:rsidR="00272528" w:rsidRDefault="00000000">
            <w:r>
              <w:t>Dummy</w:t>
            </w:r>
          </w:p>
        </w:tc>
        <w:tc>
          <w:tcPr>
            <w:tcW w:w="3740" w:type="dxa"/>
          </w:tcPr>
          <w:p w14:paraId="51DA0801" w14:textId="77777777" w:rsidR="00272528" w:rsidRDefault="00000000">
            <w:r>
              <w:t>Racial group identifiers</w:t>
            </w:r>
          </w:p>
        </w:tc>
      </w:tr>
      <w:tr w:rsidR="00272528" w14:paraId="17691E2B" w14:textId="77777777">
        <w:tc>
          <w:tcPr>
            <w:tcW w:w="2090" w:type="dxa"/>
          </w:tcPr>
          <w:p w14:paraId="102B0CF9" w14:textId="77777777" w:rsidR="00272528" w:rsidRDefault="00000000">
            <w:r>
              <w:t>impact × ideology</w:t>
            </w:r>
          </w:p>
        </w:tc>
        <w:tc>
          <w:tcPr>
            <w:tcW w:w="2090" w:type="dxa"/>
          </w:tcPr>
          <w:p w14:paraId="5E9D5ECF" w14:textId="77777777" w:rsidR="00272528" w:rsidRDefault="00000000">
            <w:r>
              <w:t>Interaction</w:t>
            </w:r>
          </w:p>
        </w:tc>
        <w:tc>
          <w:tcPr>
            <w:tcW w:w="3740" w:type="dxa"/>
          </w:tcPr>
          <w:p w14:paraId="564B076F" w14:textId="77777777" w:rsidR="00272528" w:rsidRDefault="00000000">
            <w:r>
              <w:t>Tests moderation by ideology</w:t>
            </w:r>
          </w:p>
        </w:tc>
      </w:tr>
      <w:tr w:rsidR="00272528" w14:paraId="5C175444" w14:textId="77777777">
        <w:tc>
          <w:tcPr>
            <w:tcW w:w="2090" w:type="dxa"/>
          </w:tcPr>
          <w:p w14:paraId="36B7203A" w14:textId="77777777" w:rsidR="00272528" w:rsidRDefault="00000000">
            <w:r>
              <w:t>impact × race</w:t>
            </w:r>
          </w:p>
        </w:tc>
        <w:tc>
          <w:tcPr>
            <w:tcW w:w="2090" w:type="dxa"/>
          </w:tcPr>
          <w:p w14:paraId="2A5C2B49" w14:textId="77777777" w:rsidR="00272528" w:rsidRDefault="00000000">
            <w:r>
              <w:t>Interaction</w:t>
            </w:r>
          </w:p>
        </w:tc>
        <w:tc>
          <w:tcPr>
            <w:tcW w:w="3740" w:type="dxa"/>
          </w:tcPr>
          <w:p w14:paraId="2CF55DAC" w14:textId="77777777" w:rsidR="00272528" w:rsidRDefault="00000000">
            <w:r>
              <w:t>Tests moderation by race</w:t>
            </w:r>
          </w:p>
        </w:tc>
      </w:tr>
      <w:tr w:rsidR="00272528" w14:paraId="102549C6" w14:textId="77777777">
        <w:tc>
          <w:tcPr>
            <w:tcW w:w="2090" w:type="dxa"/>
          </w:tcPr>
          <w:p w14:paraId="0608AB2B" w14:textId="77777777" w:rsidR="00272528" w:rsidRDefault="00000000">
            <w:r>
              <w:t>Deservingness × Contact</w:t>
            </w:r>
          </w:p>
        </w:tc>
        <w:tc>
          <w:tcPr>
            <w:tcW w:w="2090" w:type="dxa"/>
          </w:tcPr>
          <w:p w14:paraId="159B4AC5" w14:textId="77777777" w:rsidR="00272528" w:rsidRDefault="00000000">
            <w:r>
              <w:t>Interaction</w:t>
            </w:r>
          </w:p>
        </w:tc>
        <w:tc>
          <w:tcPr>
            <w:tcW w:w="3740" w:type="dxa"/>
          </w:tcPr>
          <w:p w14:paraId="0190193F" w14:textId="77777777" w:rsidR="00272528" w:rsidRDefault="00000000">
            <w:r>
              <w:t>Moderation of deservingness effect</w:t>
            </w:r>
          </w:p>
        </w:tc>
      </w:tr>
      <w:tr w:rsidR="00272528" w14:paraId="25BD5627" w14:textId="77777777">
        <w:tc>
          <w:tcPr>
            <w:tcW w:w="2090" w:type="dxa"/>
          </w:tcPr>
          <w:p w14:paraId="018BFA24" w14:textId="77777777" w:rsidR="00272528" w:rsidRDefault="00000000">
            <w:r>
              <w:t>X_i' ⋅ controls</w:t>
            </w:r>
          </w:p>
        </w:tc>
        <w:tc>
          <w:tcPr>
            <w:tcW w:w="2090" w:type="dxa"/>
          </w:tcPr>
          <w:p w14:paraId="7207E173" w14:textId="77777777" w:rsidR="00272528" w:rsidRDefault="00000000">
            <w:r>
              <w:t>Vector</w:t>
            </w:r>
          </w:p>
        </w:tc>
        <w:tc>
          <w:tcPr>
            <w:tcW w:w="3740" w:type="dxa"/>
          </w:tcPr>
          <w:p w14:paraId="3360DAF9" w14:textId="77777777" w:rsidR="00272528" w:rsidRDefault="00000000">
            <w:r>
              <w:t>Full vector of demographic and attitudinal controls</w:t>
            </w:r>
          </w:p>
        </w:tc>
      </w:tr>
    </w:tbl>
    <w:p w14:paraId="6B9EEBE2" w14:textId="77777777" w:rsidR="00272528" w:rsidRDefault="00000000">
      <w:bookmarkStart w:id="23" w:name="ref-desante2013"/>
      <w:bookmarkStart w:id="24" w:name="refs"/>
      <w:r>
        <w:lastRenderedPageBreak/>
        <w:t xml:space="preserve">DeSante, Christopher D. 2013. “Working Twice as Hard to Get Half as Far: Race, Work Ethic, and America’s Deserving Poor: </w:t>
      </w:r>
      <w:r>
        <w:rPr>
          <w:i/>
          <w:iCs/>
        </w:rPr>
        <w:t>DESERVINGNESS IN BLACK AND WHITE</w:t>
      </w:r>
      <w:r>
        <w:t xml:space="preserve">.” </w:t>
      </w:r>
      <w:r>
        <w:rPr>
          <w:i/>
          <w:iCs/>
        </w:rPr>
        <w:t>American Journal of Political Science</w:t>
      </w:r>
      <w:r>
        <w:t xml:space="preserve"> 57 (2): 342–56. </w:t>
      </w:r>
      <w:hyperlink r:id="rId11">
        <w:r w:rsidR="00272528">
          <w:t>https://doi.org/10.1111/ajps.12006</w:t>
        </w:r>
      </w:hyperlink>
      <w:r>
        <w:t>.</w:t>
      </w:r>
    </w:p>
    <w:p w14:paraId="4ACC3583" w14:textId="77777777" w:rsidR="00272528" w:rsidRDefault="00000000">
      <w:bookmarkStart w:id="25" w:name="ref-ellis2020a"/>
      <w:bookmarkEnd w:id="23"/>
      <w:r>
        <w:t xml:space="preserve">Ellis, Christopher, and Christopher Faricy. 2020. “Race, “Deservingness,” and Social Spending Attitudes: The Role of Policy Delivery Mechanism.” </w:t>
      </w:r>
      <w:r>
        <w:rPr>
          <w:i/>
          <w:iCs/>
        </w:rPr>
        <w:t>Political Behavior</w:t>
      </w:r>
      <w:r>
        <w:t xml:space="preserve"> 42 (3): 819–43. </w:t>
      </w:r>
      <w:hyperlink r:id="rId12">
        <w:r w:rsidR="00272528">
          <w:t>https://doi.org/10.1007/s11109-018-09521-w</w:t>
        </w:r>
      </w:hyperlink>
      <w:r>
        <w:t>.</w:t>
      </w:r>
    </w:p>
    <w:p w14:paraId="172DB889" w14:textId="77777777" w:rsidR="00272528" w:rsidRDefault="00000000">
      <w:bookmarkStart w:id="26" w:name="ref-kreitzer2022"/>
      <w:bookmarkEnd w:id="25"/>
      <w:r>
        <w:t xml:space="preserve">Kreitzer, Rebecca J., Elizabeth A. Maltby, and Candis Watts Smith. 2022. “Fifty Shades of Deservingness: An Analysis of State-Level Variation and Effect of Social Constructions on Policy Outcomes.” </w:t>
      </w:r>
      <w:r>
        <w:rPr>
          <w:i/>
          <w:iCs/>
        </w:rPr>
        <w:t>Journal of Public Policy</w:t>
      </w:r>
      <w:r>
        <w:t xml:space="preserve"> 42 (3): 436–64. </w:t>
      </w:r>
      <w:hyperlink r:id="rId13">
        <w:r w:rsidR="00272528">
          <w:t>https://doi.org/10.1017/S0143814X21000222</w:t>
        </w:r>
      </w:hyperlink>
      <w:r>
        <w:t>.</w:t>
      </w:r>
      <w:bookmarkEnd w:id="19"/>
      <w:bookmarkEnd w:id="20"/>
      <w:bookmarkEnd w:id="22"/>
      <w:bookmarkEnd w:id="24"/>
      <w:bookmarkEnd w:id="26"/>
    </w:p>
    <w:sectPr w:rsidR="00272528" w:rsidSect="00B30532">
      <w:footerReference w:type="even"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len Milojevich, Ph.D." w:date="2025-04-17T15:41:00Z" w:initials="HM">
    <w:p w14:paraId="3102FCBA" w14:textId="77777777" w:rsidR="00643EC3" w:rsidRDefault="00643EC3" w:rsidP="00643EC3">
      <w:pPr>
        <w:pStyle w:val="CommentText"/>
        <w:numPr>
          <w:ilvl w:val="0"/>
          <w:numId w:val="4"/>
        </w:numPr>
      </w:pPr>
      <w:r>
        <w:rPr>
          <w:rStyle w:val="CommentReference"/>
        </w:rPr>
        <w:annotationRef/>
      </w:r>
      <w:r>
        <w:t>Formatting</w:t>
      </w:r>
    </w:p>
    <w:p w14:paraId="0210203C" w14:textId="77777777" w:rsidR="00643EC3" w:rsidRDefault="00643EC3" w:rsidP="00643EC3">
      <w:pPr>
        <w:pStyle w:val="CommentText"/>
        <w:numPr>
          <w:ilvl w:val="0"/>
          <w:numId w:val="4"/>
        </w:numPr>
      </w:pPr>
      <w:r>
        <w:t>Typos/proof-reading</w:t>
      </w:r>
    </w:p>
  </w:comment>
  <w:comment w:id="6" w:author="Helen Milojevich, Ph.D." w:date="2025-04-17T15:42:00Z" w:initials="HM">
    <w:p w14:paraId="228B0A6E" w14:textId="77777777" w:rsidR="00643EC3" w:rsidRDefault="00643EC3" w:rsidP="00643EC3">
      <w:pPr>
        <w:pStyle w:val="CommentText"/>
      </w:pPr>
      <w:r>
        <w:rPr>
          <w:rStyle w:val="CommentReference"/>
        </w:rPr>
        <w:annotationRef/>
      </w:r>
      <w:r>
        <w:t>We talked about this in class, but why would victimization make people more generous in their deservingness perceptions?</w:t>
      </w:r>
    </w:p>
  </w:comment>
  <w:comment w:id="7" w:author="Helen Milojevich, Ph.D." w:date="2025-04-17T15:42:00Z" w:initials="HM">
    <w:p w14:paraId="286119DE" w14:textId="77777777" w:rsidR="00643EC3" w:rsidRDefault="00643EC3" w:rsidP="00643EC3">
      <w:pPr>
        <w:pStyle w:val="CommentText"/>
      </w:pPr>
      <w:r>
        <w:rPr>
          <w:rStyle w:val="CommentReference"/>
        </w:rPr>
        <w:annotationRef/>
      </w:r>
      <w:r>
        <w:t>I’m confused by this hypothesis</w:t>
      </w:r>
    </w:p>
  </w:comment>
  <w:comment w:id="8" w:author="Helen Milojevich, Ph.D." w:date="2025-04-17T15:43:00Z" w:initials="HM">
    <w:p w14:paraId="26A68C98" w14:textId="77777777" w:rsidR="00643EC3" w:rsidRDefault="00643EC3" w:rsidP="00643EC3">
      <w:pPr>
        <w:pStyle w:val="CommentText"/>
      </w:pPr>
      <w:r>
        <w:rPr>
          <w:rStyle w:val="CommentReference"/>
        </w:rPr>
        <w:annotationRef/>
      </w:r>
      <w:r>
        <w:t>What do you mean by “complex”?</w:t>
      </w:r>
    </w:p>
  </w:comment>
  <w:comment w:id="9" w:author="Helen Milojevich, Ph.D." w:date="2025-04-18T09:05:00Z" w:initials="HM">
    <w:p w14:paraId="418AE80F" w14:textId="77777777" w:rsidR="00055449" w:rsidRDefault="00055449" w:rsidP="00055449">
      <w:pPr>
        <w:pStyle w:val="CommentText"/>
      </w:pPr>
      <w:r>
        <w:rPr>
          <w:rStyle w:val="CommentReference"/>
        </w:rPr>
        <w:annotationRef/>
      </w:r>
      <w:r>
        <w:t xml:space="preserve">Seems like this argument should be presented before the hypotheses. </w:t>
      </w:r>
    </w:p>
  </w:comment>
  <w:comment w:id="10" w:author="Helen Milojevich, Ph.D." w:date="2025-04-18T09:06:00Z" w:initials="HM">
    <w:p w14:paraId="4D1DC1DF" w14:textId="77777777" w:rsidR="00055449" w:rsidRDefault="00055449" w:rsidP="00055449">
      <w:pPr>
        <w:pStyle w:val="CommentText"/>
      </w:pPr>
      <w:r>
        <w:rPr>
          <w:rStyle w:val="CommentReference"/>
        </w:rPr>
        <w:annotationRef/>
      </w:r>
      <w:r>
        <w:t>How do you plan to measure this? What do you mean by “more generous”?</w:t>
      </w:r>
    </w:p>
  </w:comment>
  <w:comment w:id="12" w:author="Helen Milojevich, Ph.D." w:date="2025-04-18T09:15:00Z" w:initials="HM">
    <w:p w14:paraId="65DFAAAD" w14:textId="77777777" w:rsidR="003465C4" w:rsidRDefault="003465C4" w:rsidP="003465C4">
      <w:pPr>
        <w:pStyle w:val="CommentText"/>
      </w:pPr>
      <w:r>
        <w:rPr>
          <w:rStyle w:val="CommentReference"/>
        </w:rPr>
        <w:annotationRef/>
      </w:r>
      <w:r>
        <w:t xml:space="preserve">This may be a discipline difference, but I haven’t seen a measures section written this way. We can discuss in person today. </w:t>
      </w:r>
    </w:p>
  </w:comment>
  <w:comment w:id="14" w:author="Helen Milojevich, Ph.D." w:date="2025-04-18T09:16:00Z" w:initials="HM">
    <w:p w14:paraId="6597164C" w14:textId="77777777" w:rsidR="003465C4" w:rsidRDefault="003465C4" w:rsidP="003465C4">
      <w:pPr>
        <w:pStyle w:val="CommentText"/>
      </w:pPr>
      <w:r>
        <w:rPr>
          <w:rStyle w:val="CommentReference"/>
        </w:rPr>
        <w:annotationRef/>
      </w:r>
      <w:r>
        <w:t xml:space="preserve">Generally this type of justification is included more in the Intro. Again, we can discuss.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0203C" w15:done="0"/>
  <w15:commentEx w15:paraId="228B0A6E" w15:done="0"/>
  <w15:commentEx w15:paraId="286119DE" w15:done="0"/>
  <w15:commentEx w15:paraId="26A68C98" w15:done="0"/>
  <w15:commentEx w15:paraId="418AE80F" w15:done="0"/>
  <w15:commentEx w15:paraId="4D1DC1DF" w15:done="0"/>
  <w15:commentEx w15:paraId="65DFAAAD" w15:done="0"/>
  <w15:commentEx w15:paraId="659716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E50ADC" w16cex:dateUtc="2025-04-17T19:41:00Z"/>
  <w16cex:commentExtensible w16cex:durableId="10A8F945" w16cex:dateUtc="2025-04-17T19:42:00Z"/>
  <w16cex:commentExtensible w16cex:durableId="6F160767" w16cex:dateUtc="2025-04-17T19:42:00Z"/>
  <w16cex:commentExtensible w16cex:durableId="4327AEA2" w16cex:dateUtc="2025-04-17T19:43:00Z"/>
  <w16cex:commentExtensible w16cex:durableId="6A6C5DD4" w16cex:dateUtc="2025-04-18T13:05:00Z"/>
  <w16cex:commentExtensible w16cex:durableId="4E31C3CF" w16cex:dateUtc="2025-04-18T13:06:00Z"/>
  <w16cex:commentExtensible w16cex:durableId="08963151" w16cex:dateUtc="2025-04-18T13:15:00Z"/>
  <w16cex:commentExtensible w16cex:durableId="439F5B76" w16cex:dateUtc="2025-04-18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0203C" w16cid:durableId="75E50ADC"/>
  <w16cid:commentId w16cid:paraId="228B0A6E" w16cid:durableId="10A8F945"/>
  <w16cid:commentId w16cid:paraId="286119DE" w16cid:durableId="6F160767"/>
  <w16cid:commentId w16cid:paraId="26A68C98" w16cid:durableId="4327AEA2"/>
  <w16cid:commentId w16cid:paraId="418AE80F" w16cid:durableId="6A6C5DD4"/>
  <w16cid:commentId w16cid:paraId="4D1DC1DF" w16cid:durableId="4E31C3CF"/>
  <w16cid:commentId w16cid:paraId="65DFAAAD" w16cid:durableId="08963151"/>
  <w16cid:commentId w16cid:paraId="6597164C" w16cid:durableId="439F5B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3E57" w14:textId="77777777" w:rsidR="00564C66" w:rsidRDefault="00564C66">
      <w:pPr>
        <w:spacing w:before="0" w:after="0" w:line="240" w:lineRule="auto"/>
      </w:pPr>
      <w:r>
        <w:separator/>
      </w:r>
    </w:p>
  </w:endnote>
  <w:endnote w:type="continuationSeparator" w:id="0">
    <w:p w14:paraId="0F94E8BE" w14:textId="77777777" w:rsidR="00564C66" w:rsidRDefault="00564C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216F6913" w14:textId="77777777" w:rsidR="001B37AF"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1EBD71" w14:textId="77777777" w:rsidR="001B37AF" w:rsidRDefault="001B37AF"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478A076E" w14:textId="77777777" w:rsidR="001B37AF"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4BEB25" w14:textId="77777777" w:rsidR="001B37AF" w:rsidRDefault="001B37AF"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EB5B" w14:textId="77777777" w:rsidR="00564C66" w:rsidRDefault="00564C66">
      <w:r>
        <w:separator/>
      </w:r>
    </w:p>
  </w:footnote>
  <w:footnote w:type="continuationSeparator" w:id="0">
    <w:p w14:paraId="17F61239" w14:textId="77777777" w:rsidR="00564C66" w:rsidRDefault="00564C66">
      <w:r>
        <w:continuationSeparator/>
      </w:r>
    </w:p>
  </w:footnote>
  <w:footnote w:id="1">
    <w:p w14:paraId="34630396" w14:textId="77777777" w:rsidR="00272528" w:rsidRDefault="00000000">
      <w:r>
        <w:footnoteRef/>
      </w:r>
      <w:r>
        <w:t xml:space="preserve"> Schneider and Ingram’s theory of social construction goes on to note that policymakers respond not only to their constituencies’ perceptions of target deservingness, but also to the political power of target groups, or their ability to ability to access, reward, and/or retaliate against policymakers. These interacting dimensions (power and deservingness) produce four categories of groups in society, to whom policy makers respond with distinct policy. 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Faricy 2020).</w:t>
      </w:r>
    </w:p>
  </w:footnote>
  <w:footnote w:id="2">
    <w:p w14:paraId="558D69FB" w14:textId="77777777" w:rsidR="00272528" w:rsidRDefault="00000000">
      <w:r>
        <w:footnoteRef/>
      </w:r>
      <w:r>
        <w:t xml:space="preserve"> In the criminal legal domain, these representations are often shaped by racialized media portrayals and political discourse that emphasize danger and individual blame (Lopez 2015; Vasiljevic and Viki 2014).</w:t>
      </w:r>
    </w:p>
  </w:footnote>
  <w:footnote w:id="3">
    <w:p w14:paraId="2D27AFE1" w14:textId="77777777" w:rsidR="00272528" w:rsidRDefault="00000000">
      <w:r>
        <w:footnoteRef/>
      </w:r>
      <w:r>
        <w:t xml:space="preserve"> For example, contact may lead individuals to see incarcerated people as facing substantial hardships (</w:t>
      </w:r>
      <w:r>
        <w:rPr>
          <w:i/>
          <w:iCs/>
        </w:rPr>
        <w:t>need</w:t>
      </w:r>
      <w:r>
        <w:t>), with less control over the conditions that led to incarceration (</w:t>
      </w:r>
      <w:r>
        <w:rPr>
          <w:i/>
          <w:iCs/>
        </w:rPr>
        <w:t>control</w:t>
      </w:r>
      <w:r>
        <w:t>), and as capable of gratitude, growth, or giving back (</w:t>
      </w:r>
      <w:r>
        <w:rPr>
          <w:i/>
          <w:iCs/>
        </w:rPr>
        <w:t>reciprocity</w:t>
      </w:r>
      <w:r>
        <w:t xml:space="preserve">, </w:t>
      </w:r>
      <w:r>
        <w:rPr>
          <w:i/>
          <w:iCs/>
        </w:rPr>
        <w:t>attitude</w:t>
      </w:r>
      <w:r>
        <w:t>). In contrast to dominant constructions that depict incarcerated people as undeserving, contact may “fill in” these criteria with lived or vicarious knowledge. On this dimension, then, contact may generate warmer deservingness perceptions by replacing stereotypes with personalized, alternative narratives about who carceral citizens are and what their conditions and the consequences of confinement.</w:t>
      </w:r>
    </w:p>
  </w:footnote>
  <w:footnote w:id="4">
    <w:p w14:paraId="66932194" w14:textId="77777777" w:rsidR="00272528" w:rsidRDefault="00000000">
      <w:r>
        <w:footnoteRef/>
      </w:r>
      <w:r>
        <w:t xml:space="preserve"> Soss (1999) explains a tendancy of recipients of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 “undeserving” perception of their own beneficiary group, but also splinters any sense of group solidarity and disaggregates policy views from perceptions of beneficiary deservingness.</w:t>
      </w:r>
    </w:p>
  </w:footnote>
  <w:footnote w:id="5">
    <w:p w14:paraId="357C189D" w14:textId="77777777" w:rsidR="00272528" w:rsidRDefault="00000000">
      <w:r>
        <w:footnoteRef/>
      </w:r>
      <w:r>
        <w:t xml:space="preserve"> The impulse to self-differentiate may motivate individuals who experience arrest alone to maintain distinct narratives — given that contact with policies that convey ‘undeserving’ 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footnote>
  <w:footnote w:id="6">
    <w:p w14:paraId="74C8FD73" w14:textId="77777777" w:rsidR="00272528" w:rsidRDefault="00000000">
      <w:r>
        <w:footnoteRef/>
      </w:r>
      <w:r>
        <w:t xml:space="preserve"> One notable exception is Levine and Russell (2023), who show how the design and financing of victim compensation law constructs victims as morally deserving and politically worthy, helping expand state responsibility. Yet even here, the analysis centers on state building and symbolic policy meaning—rather than how victimization itself may function as a form of lived experience that may alter how individuals perceive the state, it’s targets, and what policies they deserve.</w:t>
      </w:r>
    </w:p>
  </w:footnote>
  <w:footnote w:id="7">
    <w:p w14:paraId="5DB00A61" w14:textId="77777777" w:rsidR="00272528" w:rsidRDefault="00000000">
      <w:r>
        <w:footnoteRef/>
      </w:r>
      <w:r>
        <w:t xml:space="preserve"> The survey expands on Kreiter and Smith (2018)’s approach by recruiting from a Bovitz proprietary panel and reducing the number of groups individuals access to reduce issues of respondent fatigue. 2,716 eligible participants were recruited to complete the 30-minute survey on the platform Forthright, and were paid 10 dollars. The sample is just under 51% women and 49% men, and leans more Democratic than the national average (39% versus 31%) but is equally Republican (25%). The underrepresentation of Republicans may have a minimizing effect.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footnote>
  <w:footnote w:id="8">
    <w:p w14:paraId="458B10C4" w14:textId="77777777" w:rsidR="00272528" w:rsidRDefault="00000000">
      <w:r>
        <w:footnoteRef/>
      </w:r>
      <w:r>
        <w:t xml:space="preserve"> Survey participants were randomly assorded into three sections (A, B, and C). All respondents saw the same 45 groups. Each section then reviewed an additional (20) unique groups.</w:t>
      </w:r>
    </w:p>
  </w:footnote>
  <w:footnote w:id="9">
    <w:p w14:paraId="030F0DC4" w14:textId="77777777" w:rsidR="00272528" w:rsidRDefault="00000000">
      <w:r>
        <w:footnoteRef/>
      </w:r>
      <w:r>
        <w:t xml:space="preserve"> I also expect that respondents under report both victimization and incarceration because they are stigmatized experience, introducing random noise (Skogan 1986).</w:t>
      </w:r>
    </w:p>
  </w:footnote>
  <w:footnote w:id="10">
    <w:p w14:paraId="738FD485" w14:textId="77777777" w:rsidR="00272528" w:rsidRDefault="00000000">
      <w:r>
        <w:footnoteRef/>
      </w:r>
      <w:r>
        <w:t xml:space="preserve">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DA3C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4D6974AE"/>
    <w:multiLevelType w:val="hybridMultilevel"/>
    <w:tmpl w:val="10528AB2"/>
    <w:lvl w:ilvl="0" w:tplc="785C066E">
      <w:start w:val="1"/>
      <w:numFmt w:val="decimal"/>
      <w:lvlText w:val="%1)"/>
      <w:lvlJc w:val="left"/>
      <w:pPr>
        <w:ind w:left="1020" w:hanging="360"/>
      </w:pPr>
    </w:lvl>
    <w:lvl w:ilvl="1" w:tplc="265AAB26">
      <w:start w:val="1"/>
      <w:numFmt w:val="decimal"/>
      <w:lvlText w:val="%2)"/>
      <w:lvlJc w:val="left"/>
      <w:pPr>
        <w:ind w:left="1020" w:hanging="360"/>
      </w:pPr>
    </w:lvl>
    <w:lvl w:ilvl="2" w:tplc="67348BE4">
      <w:start w:val="1"/>
      <w:numFmt w:val="decimal"/>
      <w:lvlText w:val="%3)"/>
      <w:lvlJc w:val="left"/>
      <w:pPr>
        <w:ind w:left="1020" w:hanging="360"/>
      </w:pPr>
    </w:lvl>
    <w:lvl w:ilvl="3" w:tplc="2EB67D26">
      <w:start w:val="1"/>
      <w:numFmt w:val="decimal"/>
      <w:lvlText w:val="%4)"/>
      <w:lvlJc w:val="left"/>
      <w:pPr>
        <w:ind w:left="1020" w:hanging="360"/>
      </w:pPr>
    </w:lvl>
    <w:lvl w:ilvl="4" w:tplc="7688B846">
      <w:start w:val="1"/>
      <w:numFmt w:val="decimal"/>
      <w:lvlText w:val="%5)"/>
      <w:lvlJc w:val="left"/>
      <w:pPr>
        <w:ind w:left="1020" w:hanging="360"/>
      </w:pPr>
    </w:lvl>
    <w:lvl w:ilvl="5" w:tplc="D5BE8050">
      <w:start w:val="1"/>
      <w:numFmt w:val="decimal"/>
      <w:lvlText w:val="%6)"/>
      <w:lvlJc w:val="left"/>
      <w:pPr>
        <w:ind w:left="1020" w:hanging="360"/>
      </w:pPr>
    </w:lvl>
    <w:lvl w:ilvl="6" w:tplc="F51A8CBA">
      <w:start w:val="1"/>
      <w:numFmt w:val="decimal"/>
      <w:lvlText w:val="%7)"/>
      <w:lvlJc w:val="left"/>
      <w:pPr>
        <w:ind w:left="1020" w:hanging="360"/>
      </w:pPr>
    </w:lvl>
    <w:lvl w:ilvl="7" w:tplc="4CDE6CAE">
      <w:start w:val="1"/>
      <w:numFmt w:val="decimal"/>
      <w:lvlText w:val="%8)"/>
      <w:lvlJc w:val="left"/>
      <w:pPr>
        <w:ind w:left="1020" w:hanging="360"/>
      </w:pPr>
    </w:lvl>
    <w:lvl w:ilvl="8" w:tplc="DC7E54BE">
      <w:start w:val="1"/>
      <w:numFmt w:val="decimal"/>
      <w:lvlText w:val="%9)"/>
      <w:lvlJc w:val="left"/>
      <w:pPr>
        <w:ind w:left="1020" w:hanging="360"/>
      </w:pPr>
    </w:lvl>
  </w:abstractNum>
  <w:num w:numId="1" w16cid:durableId="1638216208">
    <w:abstractNumId w:val="2"/>
  </w:num>
  <w:num w:numId="2" w16cid:durableId="359673956">
    <w:abstractNumId w:val="1"/>
  </w:num>
  <w:num w:numId="3" w16cid:durableId="109208250">
    <w:abstractNumId w:val="0"/>
  </w:num>
  <w:num w:numId="4" w16cid:durableId="11765783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Milojevich, Ph.D.">
    <w15:presenceInfo w15:providerId="AD" w15:userId="S::hmm62@duke.edu::fdb65b9a-24c0-4029-807c-3718ea70ef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28"/>
    <w:rsid w:val="0002178F"/>
    <w:rsid w:val="00055449"/>
    <w:rsid w:val="001017F0"/>
    <w:rsid w:val="001B37AF"/>
    <w:rsid w:val="001E48DE"/>
    <w:rsid w:val="00272528"/>
    <w:rsid w:val="003465C4"/>
    <w:rsid w:val="003C2BD0"/>
    <w:rsid w:val="00540B9F"/>
    <w:rsid w:val="00564C66"/>
    <w:rsid w:val="00643EC3"/>
    <w:rsid w:val="008A4AF8"/>
    <w:rsid w:val="00AB29F8"/>
    <w:rsid w:val="00C41ED8"/>
    <w:rsid w:val="00D6200E"/>
    <w:rsid w:val="00E1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762C"/>
  <w15:docId w15:val="{8E31D13E-31E7-E743-A205-D2C8A56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CED"/>
    <w:pPr>
      <w:adjustRightInd w:val="0"/>
      <w:spacing w:before="240" w:after="100" w:afterAutospacing="1" w:line="360" w:lineRule="auto"/>
    </w:pPr>
    <w:rPr>
      <w:rFonts w:ascii="Palatino" w:hAnsi="Palatino" w:cs="Times New Roman"/>
    </w:rPr>
  </w:style>
  <w:style w:type="paragraph" w:styleId="Heading1">
    <w:name w:val="heading 1"/>
    <w:basedOn w:val="Normal"/>
    <w:next w:val="Normal"/>
    <w:link w:val="Heading1Char"/>
    <w:autoRedefine/>
    <w:uiPriority w:val="9"/>
    <w:qFormat/>
    <w:rsid w:val="007E2CED"/>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link w:val="Heading2Char"/>
    <w:autoRedefine/>
    <w:uiPriority w:val="9"/>
    <w:unhideWhenUsed/>
    <w:qFormat/>
    <w:rsid w:val="007E2CED"/>
    <w:pPr>
      <w:ind w:left="1339"/>
      <w:outlineLvl w:val="1"/>
    </w:pPr>
    <w:rPr>
      <w:bCs/>
      <w:i/>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CED"/>
    <w:rPr>
      <w:rFonts w:ascii="Palatino" w:hAnsi="Palatino" w:cs="Times New Roman"/>
      <w:bCs/>
      <w:i/>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7E2CED"/>
    <w:rPr>
      <w:rFonts w:ascii="Palatino" w:eastAsiaTheme="majorEastAsia" w:hAnsi="Palatino" w:cstheme="majorBidi"/>
      <w:b/>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autoRedefine/>
    <w:uiPriority w:val="10"/>
    <w:qFormat/>
    <w:rsid w:val="007E2CED"/>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7E2CED"/>
    <w:rPr>
      <w:rFonts w:ascii="Palatino" w:eastAsiaTheme="majorEastAsia" w:hAnsi="Palatino" w:cstheme="majorBidi"/>
      <w:b/>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CommentReference">
    <w:name w:val="annotation reference"/>
    <w:basedOn w:val="DefaultParagraphFont"/>
    <w:uiPriority w:val="99"/>
    <w:semiHidden/>
    <w:unhideWhenUsed/>
    <w:rsid w:val="00643EC3"/>
    <w:rPr>
      <w:sz w:val="16"/>
      <w:szCs w:val="16"/>
    </w:rPr>
  </w:style>
  <w:style w:type="paragraph" w:styleId="CommentText">
    <w:name w:val="annotation text"/>
    <w:basedOn w:val="Normal"/>
    <w:link w:val="CommentTextChar"/>
    <w:uiPriority w:val="99"/>
    <w:unhideWhenUsed/>
    <w:rsid w:val="00643EC3"/>
    <w:pPr>
      <w:spacing w:line="240" w:lineRule="auto"/>
    </w:pPr>
    <w:rPr>
      <w:sz w:val="20"/>
      <w:szCs w:val="20"/>
    </w:rPr>
  </w:style>
  <w:style w:type="character" w:customStyle="1" w:styleId="CommentTextChar">
    <w:name w:val="Comment Text Char"/>
    <w:basedOn w:val="DefaultParagraphFont"/>
    <w:link w:val="CommentText"/>
    <w:uiPriority w:val="99"/>
    <w:rsid w:val="00643EC3"/>
    <w:rPr>
      <w:rFonts w:ascii="Palatino" w:hAnsi="Palatino" w:cs="Times New Roman"/>
      <w:sz w:val="20"/>
      <w:szCs w:val="20"/>
    </w:rPr>
  </w:style>
  <w:style w:type="paragraph" w:styleId="CommentSubject">
    <w:name w:val="annotation subject"/>
    <w:basedOn w:val="CommentText"/>
    <w:next w:val="CommentText"/>
    <w:link w:val="CommentSubjectChar"/>
    <w:uiPriority w:val="99"/>
    <w:semiHidden/>
    <w:unhideWhenUsed/>
    <w:rsid w:val="00643EC3"/>
    <w:rPr>
      <w:b/>
      <w:bCs/>
    </w:rPr>
  </w:style>
  <w:style w:type="character" w:customStyle="1" w:styleId="CommentSubjectChar">
    <w:name w:val="Comment Subject Char"/>
    <w:basedOn w:val="CommentTextChar"/>
    <w:link w:val="CommentSubject"/>
    <w:uiPriority w:val="99"/>
    <w:semiHidden/>
    <w:rsid w:val="00643EC3"/>
    <w:rPr>
      <w:rFonts w:ascii="Palatino" w:hAnsi="Palatino"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17/S0143814X2100022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1007/s11109-018-09521-w"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ajps.12006"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7587</Words>
  <Characters>43250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The Politics of Proximity: Attitudinal Feedback Effects of the Carceral State</vt:lpstr>
    </vt:vector>
  </TitlesOfParts>
  <Company/>
  <LinksUpToDate>false</LinksUpToDate>
  <CharactersWithSpaces>50736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Politics of Proximity: Attitudinal Feedback Effects of the Carceral State</dc:title>
  <dc:creator>Kristina Mensik Department of Political Science, Duke University</dc:creator>
  <cp:keywords/>
  <cp:lastModifiedBy>Kristina Mensik</cp:lastModifiedBy>
  <cp:revision>2</cp:revision>
  <dcterms:created xsi:type="dcterms:W3CDTF">2025-04-18T15:59:00Z</dcterms:created>
  <dcterms:modified xsi:type="dcterms:W3CDTF">2025-04-18T15:59:00Z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lear-hidden-classes">
    <vt:lpwstr>none</vt:lpwstr>
  </property>
  <property fmtid="{D5CDD505-2E9C-101B-9397-08002B2CF9AE}" pid="7" name="editor">
    <vt:lpwstr>visual</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auto</vt:lpwstr>
  </property>
  <property fmtid="{D5CDD505-2E9C-101B-9397-08002B2CF9AE}" pid="14" name="manuscript">
    <vt:lpwstr/>
  </property>
  <property fmtid="{D5CDD505-2E9C-101B-9397-08002B2CF9AE}" pid="15" name="notebook-preview-options">
    <vt:lpwstr/>
  </property>
  <property fmtid="{D5CDD505-2E9C-101B-9397-08002B2CF9AE}" pid="16" name="quarto-internal">
    <vt:lpwstr/>
  </property>
  <property fmtid="{D5CDD505-2E9C-101B-9397-08002B2CF9AE}" pid="17" name="remove-hidden">
    <vt:lpwstr>all</vt:lpwstr>
  </property>
  <property fmtid="{D5CDD505-2E9C-101B-9397-08002B2CF9AE}" pid="18" name="resources">
    <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