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500E" w14:textId="77777777" w:rsidR="000A00D8" w:rsidRDefault="00000000">
      <w:pPr>
        <w:pStyle w:val="Title"/>
      </w:pPr>
      <w:r>
        <w:t>Politics of Proximity: Attitudinal Feedback Effects of the Carceral State</w:t>
      </w:r>
    </w:p>
    <w:p w14:paraId="10811E6D" w14:textId="77777777" w:rsidR="000A00D8" w:rsidRDefault="00000000">
      <w:r>
        <w:t>Kristina Mensik</w:t>
      </w:r>
    </w:p>
    <w:sdt>
      <w:sdtPr>
        <w:id w:val="-86314169"/>
        <w:docPartObj>
          <w:docPartGallery w:val="Table of Contents"/>
          <w:docPartUnique/>
        </w:docPartObj>
      </w:sdtPr>
      <w:sdtContent>
        <w:p w14:paraId="44790075" w14:textId="7282DADF" w:rsidR="00351B8B" w:rsidRDefault="00351B8B" w:rsidP="00351B8B"/>
        <w:p w14:paraId="47EFB405" w14:textId="5793558E" w:rsidR="000A00D8" w:rsidRDefault="00000000"/>
      </w:sdtContent>
    </w:sdt>
    <w:p w14:paraId="51DA0406" w14:textId="77777777" w:rsidR="000A00D8" w:rsidRDefault="00000000">
      <w:pPr>
        <w:pStyle w:val="Heading2"/>
      </w:pPr>
      <w:bookmarkStart w:id="0" w:name="introduction"/>
      <w:bookmarkStart w:id="1" w:name="_Toc195628908"/>
      <w:r>
        <w:t>0.1 Introduction</w:t>
      </w:r>
      <w:bookmarkEnd w:id="1"/>
    </w:p>
    <w:p w14:paraId="33D93CB6" w14:textId="77777777" w:rsidR="000A00D8" w:rsidRDefault="00000000">
      <w:r>
        <w:t>Contact with carceral policy in the United States is extensive. By year-end 2001, more than 5.6 million U.S. adults had served time in a state or federal prison (BOP 2003), and by 2010, an estimated 8 % had a felony conviction and 3 % had served or were serving prison time (Shannon et al 2017). While systematized data on non-felony convictions remain, as Stenson and Mayson (2018) put it, “absurdly, embarassingly” (p.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 While the interests of these two groups are regularly presented as oppositional, we actually know very little about how such experiences shape how people think about criminal legal policy.</w:t>
      </w:r>
    </w:p>
    <w:p w14:paraId="2FFAE67D" w14:textId="77777777" w:rsidR="000A00D8" w:rsidRDefault="00000000">
      <w:r>
        <w:rPr>
          <w:i/>
          <w:iCs/>
        </w:rPr>
        <w:t>Note: Or, do I just put condensed version of question above as ‘link’?</w:t>
      </w:r>
      <w:r>
        <w:t xml:space="preserve"> “How do these experiences shape how people think about criminal legal policy”</w:t>
      </w:r>
    </w:p>
    <w:p w14:paraId="4769111E" w14:textId="77777777" w:rsidR="000A00D8" w:rsidRDefault="00000000">
      <w:r>
        <w:t xml:space="preserve">Scholars have shown that public support for state intervention across other domains is shaped by beliefs about whether a given target group is </w:t>
      </w:r>
      <w:r>
        <w:rPr>
          <w:i/>
          <w:iCs/>
        </w:rPr>
        <w:t>deserving</w:t>
      </w:r>
      <w:r>
        <w:t xml:space="preserve"> of policy help (Ellis and Faricy 2019, DeSante 2013). Further still, such ‘deservingness perceptions’ often predict state policy outcomes (Kreitzer, Maltby and Smith 2022). These perceptions are not purely personal – they shape and are shaped by policy design (Schneider and Ingram 2019). Yet, while scholars have </w:t>
      </w:r>
      <w:r>
        <w:lastRenderedPageBreak/>
        <w:t xml:space="preserve">shown that deservingness perceptions inform opinions about social welfare, immigration, and even gun policy (van Oorschot 2000; Kreitzer, Maltby, and Smith 2022), the role of deservingness in the criminal legal context remains less well-developed. Specifically, we do not yet know whether perceptions of deservingness are </w:t>
      </w:r>
      <w:r>
        <w:rPr>
          <w:i/>
          <w:iCs/>
        </w:rPr>
        <w:t>produced</w:t>
      </w:r>
      <w:r>
        <w:t xml:space="preserve"> and constructions of target deservingness are </w:t>
      </w:r>
      <w:r>
        <w:rPr>
          <w:i/>
          <w:iCs/>
        </w:rPr>
        <w:t>interpreted</w:t>
      </w:r>
      <w:r>
        <w:t xml:space="preserve"> in the carceral contexts as in other domains, and what such processes mean for how people think about criminal legal policy. Moreover, recent work (SoRelle and Laws 2024) has suggests that experience with policy may condition the logics people use to assess deservingness – and that the role of personal experience in deservingness remains underexplored.</w:t>
      </w:r>
    </w:p>
    <w:p w14:paraId="24C27F38" w14:textId="77777777" w:rsidR="000A00D8" w:rsidRDefault="00000000">
      <w:r>
        <w:t>At the same time, widespread direct and proximal contact with the carceral state has generated a growing body of scholarship that attempts to understand how contact with this particular set of state institutions and policies shapes people’s attitudes towards the state (Lerman and Weaver 2014), political identities (Owens 2014), and political engagement (White 2019). Through what these scholars term policy feedback effects, policies, once enacted, reshape politics by redistributing resources and sending interpretive signals that affect how individuals understand their relationship to the state (Skocpol 1992; Pierson 1993; Mettler and SoRelle 2023). Implicit in much of this literature is the contention that feedback effects matter not only because they reshape political participation, but because they may influence what citizens come to demand from the state—and thus subsequent policy outcomes. Yet, while this theoretical possibility is widely acknowledged, most empirical studies have probed how carceral experiences may influence electoral consequences (Manza and Uggen 2006, Burch 2011), leaving open questions of how contact with the carceral state shapes individuals’ views on criminal legal policy itself (White 2022). Moreover, while the overlap between those targeted by the criminal legal system and victims, in behalf of whose interest it purportedly acts, is well-established (Godsoe 2022), little is known about feedback effects of victimization.</w:t>
      </w:r>
    </w:p>
    <w:p w14:paraId="54976095" w14:textId="77777777" w:rsidR="000A00D8" w:rsidRDefault="00000000">
      <w:r>
        <w:t xml:space="preserve">This paper brings deservingness and policy feedback frameworks together to address these three gaps. To do so, I ask how direct and proximate experiences of incarceration and victimization shape perceptions of the deservingness of incarcerated people, and whether these perceptions translate to opinions on prison policy. Building on social construction and deservingness literature, my theoretical starting point is that people form views about policy by quickly judging </w:t>
      </w:r>
      <w:r>
        <w:lastRenderedPageBreak/>
        <w:t>social constructions of that policy’s target group – and that these constructions are themseves products of policy design. Drawing on findings from the policy feedback literature, I theorize that contact with the carceral state may disrupt this loop. Emerging evidence that responses to the criminal legal system’s policy messages vary, but are undergirded by diminished institutional trust (Anoll 2022, White 2022). This, I suggest, may reflect less willingness to take “undeserving” policy messages at face value. Moreover, these interactions may change what policies become salient when one thinks about the carceral state, and its targets, altering the policies one thinks about criminal legal targets in relation to (Walker 2020, Harris 2025).</w:t>
      </w:r>
    </w:p>
    <w:p w14:paraId="4E611AC8" w14:textId="77777777" w:rsidR="000A00D8" w:rsidRDefault="00000000">
      <w:r>
        <w:t>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judgementss may vary across direct and indirect experiences with incarceration and victimization – and how these judgements structure policy preferences.</w:t>
      </w:r>
    </w:p>
    <w:p w14:paraId="7E4D3EA6" w14:textId="77777777" w:rsidR="000A00D8" w:rsidRDefault="00000000">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w:t>
      </w:r>
      <w:r>
        <w:rPr>
          <w:i/>
          <w:iCs/>
        </w:rPr>
        <w:t>substantive policy views</w:t>
      </w:r>
      <w:r>
        <w:t xml:space="preserve"> – allowing for a contribution to our understanding of policy feedback of the carceral state. Last, it responds to recent interventions that experiences of victimization constitute a critical but understudied component of this feedback loop (Levine and Russell 2023) and deepens our understanding of how victimization – in relation to direct and proximal “incarceration”, and as a kind of proximal contact of it’s own – can alter the public’s orientation toward punishment, policy, and state legitimacy. Understanding how impacted groups differ in their approach to policy – and whether the preferences of most victims and perpetrators are as far apart as dominant narratives would suggest – is important not only for scholars but also for advocates and policymakers pursuing policy reform in this domain.</w:t>
      </w:r>
    </w:p>
    <w:p w14:paraId="746957E5" w14:textId="77777777" w:rsidR="000A00D8" w:rsidRDefault="00000000">
      <w:r>
        <w:t xml:space="preserve">The remainder of this paper proceeds as follows. In section 2, I elaborate first on key findings from social constructions, deservingness, before discussing implications of and policy feedback literature for my expectations about criminal legal policy. I develop theoretical framework, </w:t>
      </w:r>
      <w:r>
        <w:lastRenderedPageBreak/>
        <w:t>outlining how carceral contact may shape perceptions of deservingness and how those perceptions may, in turn, influence policy views. Section 3 then presents the data and analytic strategy, drawing on a newly fielded national survey to test these relationships. I conclude in section 5 with a brief discussion of implications for theories of deservingness, policy feedback, the politics of punishment.</w:t>
      </w:r>
    </w:p>
    <w:p w14:paraId="085DD41F" w14:textId="77777777" w:rsidR="000A00D8" w:rsidRDefault="00000000">
      <w:pPr>
        <w:pStyle w:val="Heading2"/>
      </w:pPr>
      <w:bookmarkStart w:id="2" w:name="X5a3f48ea372cb699c6922a07b8f67802effcab1"/>
      <w:bookmarkStart w:id="3" w:name="_Toc195628909"/>
      <w:bookmarkEnd w:id="0"/>
      <w:r>
        <w:t>0.2 Deservingness and Attitudes Towards Public Policy</w:t>
      </w:r>
      <w:bookmarkEnd w:id="3"/>
    </w:p>
    <w:p w14:paraId="129F5A58" w14:textId="77777777" w:rsidR="000A00D8" w:rsidRDefault="00000000">
      <w:r>
        <w:t>How does contact with the criminal legal system affect perceptions of its targets? And what do these deservingness perceptions mean for policy views? Scholarship of the social constructions of target populations and deservingness respectively examine how groups become characterized as deserving or undeserving of government assistance, and they demonstrate that people’s policy preferences often hinge on such characterizations (Schneider and Ingram 1993, Smith and Kreitzer 2024, Oorschot 2006).</w:t>
      </w:r>
    </w:p>
    <w:p w14:paraId="06599479" w14:textId="77777777" w:rsidR="000A00D8" w:rsidRDefault="00000000">
      <w:r>
        <w:t>Schneider and Ingram’s (1993) theory of social constructions locates perceptions of target deservingness in a dialectic with policy design. That is, public perceptions of whether policy targets are deserving or undeserving are informed by socially constructions, or “value-laden components, including stereotypes, dominant ideologies, and assumptions” about groups (Smith and Kreitzer 2024, p. 640). Policymakers are attentive to these perceptions, as they expect their constituencies to electorally reward them for producing policy that helps deserving groups like veterans, and refraining from offering help to or punishing the least deserving – particularly “deviant” groups like carceral citizens.[^1] Thus, policy re-enforces perceptions of deservingness, by “telegraph[ing] to the public how target groups should be treated” (Smith and Kreitzer 2024, p. 640). While, as a consequence, particularly negative social constructions like those of carceral citizens may become “sticky” or more entrenched, social constructions are also contingent, for example, on local, state, and political and cultural contexts and also on the political identity of and ideology held by the ‘perceiver’ (Smith and Kreitzer 2018, p. 768). Thus, the relevant social construction driving perceptions of deservingness may different across audiences and policy contexts.</w:t>
      </w:r>
    </w:p>
    <w:p w14:paraId="35A1A9C5" w14:textId="77777777" w:rsidR="000A00D8" w:rsidRDefault="00000000">
      <w:r>
        <w:lastRenderedPageBreak/>
        <w:t xml:space="preserve">While social construction scholars helps illustrate external mechanisms that may drive broad constructions of carceral citizen’s deservingness, others have paid more attention to individual factors shaping how people respond to constructions about groups when judging whether they are deserving of a given policy. This line of deservingness scholarship explains that people form quick judgements about policy targets’ deservingness by evaluating constructions along five dimensions in an evolutionarily-grounded impulse to help “reciprocators” and avoid “free-riders” (Petersen 2012, Aaroe and Petersen 2014). These “CARIN” criteria primarily attend to cues about whether recipients cannot help their circumstances, or whether they are seeking unearned benefits. They refer to: </w:t>
      </w:r>
      <w:r>
        <w:rPr>
          <w:i/>
          <w:iCs/>
        </w:rPr>
        <w:t>control,</w:t>
      </w:r>
      <w:r>
        <w:t xml:space="preserve"> which in its original conception was closely related to </w:t>
      </w:r>
      <w:r>
        <w:rPr>
          <w:i/>
          <w:iCs/>
        </w:rPr>
        <w:t>need</w:t>
      </w:r>
      <w:r>
        <w:t xml:space="preserve">, referring to whether someone is perceived as lazy or unlucky – a consideration Oorschot (2006) argues can override all others. More recently, perception of a group or individual’s </w:t>
      </w:r>
      <w:r>
        <w:rPr>
          <w:i/>
          <w:iCs/>
        </w:rPr>
        <w:t>need</w:t>
      </w:r>
      <w:r>
        <w:t xml:space="preserve"> for assistance has considered the severity of their neediness and </w:t>
      </w:r>
      <w:r>
        <w:rPr>
          <w:i/>
          <w:iCs/>
        </w:rPr>
        <w:t>control,</w:t>
      </w:r>
      <w:r>
        <w:t xml:space="preserve"> or the degree to which they are responsible (SoRelle and Laws 2024). Perceptions of the group’s </w:t>
      </w:r>
      <w:r>
        <w:rPr>
          <w:i/>
          <w:iCs/>
        </w:rPr>
        <w:t>attitude</w:t>
      </w:r>
      <w:r>
        <w:t xml:space="preserve"> refer to whether the beneficiary is grateful and likeable, and closely related perceptions of the group’s </w:t>
      </w:r>
      <w:r>
        <w:rPr>
          <w:i/>
          <w:iCs/>
        </w:rPr>
        <w:t>reciprocity</w:t>
      </w:r>
      <w:r>
        <w:t xml:space="preserve"> connote their history or apparent willingness to contribute to society. Last, the </w:t>
      </w:r>
      <w:r>
        <w:rPr>
          <w:i/>
          <w:iCs/>
        </w:rPr>
        <w:t>identity</w:t>
      </w:r>
      <w:r>
        <w:t xml:space="preserve"> characteristic holds that people will evaluate more generously the deservingness of others whose identity is aligned with their own (Oorschot 2000, 2006). While this framework originated to explain views of welfare policies, scholars have applied it to explain policy views in other areas of social policy, including health care (Gollust and Lynch 2011, Gollust, Lantz, and Ubel 2010).</w:t>
      </w:r>
    </w:p>
    <w:p w14:paraId="15FAACCE" w14:textId="77777777" w:rsidR="000A00D8" w:rsidRDefault="00000000">
      <w:r>
        <w:t xml:space="preserve">How do experiences with the criminal legal system shape public perceptions of its targets deservingness — and what do these perceptions mean for policy views? While one recent study (Maltby and Kreitzer 2022) takes up the question of carceral contact’s effect on target deservingness, several limitations in the design raise questions about whether their findings reflect a measurement artifact.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 “undeserving” (cf. Newman et al 2014).[^SossNewmancitation] Second, the study aggregates deservingness perceptions of “criminal legal targets” that includes groups like “opioid users,” “welfare cheats,” and other groups less apt to the relationships of interest: how </w:t>
      </w:r>
      <w:r>
        <w:lastRenderedPageBreak/>
        <w:t>policy experience shapes perceptions of policy target deservingness. Third, their design does not test what these deservingness mean for policy preferences, which given its novel application of deservingness to the carceral contexts, leaves open the question of whether these perceptions mean the same thing in the criminal legal domain. Further still, the study does not distinguish between different types of contact, such as incarceration versus victimization. These limitations reflect a broader pattern in the literature, where the effects of carceral contact — especially forms like victimization — remain theoretically and empirically underdeveloped.</w:t>
      </w:r>
    </w:p>
    <w:p w14:paraId="4CC42431" w14:textId="77777777" w:rsidR="000A00D8" w:rsidRDefault="00000000">
      <w:pPr>
        <w:pStyle w:val="Heading2"/>
      </w:pPr>
      <w:bookmarkStart w:id="4" w:name="Xeda340ab0de8295bf6ebad724db5724af5e9094"/>
      <w:bookmarkStart w:id="5" w:name="_Toc195628910"/>
      <w:bookmarkEnd w:id="2"/>
      <w:r>
        <w:t>0.3 From Social Constructions of Deservingness to Policy Feedback</w:t>
      </w:r>
      <w:bookmarkEnd w:id="5"/>
    </w:p>
    <w:p w14:paraId="1BAD3EF9" w14:textId="77777777" w:rsidR="000A00D8" w:rsidRDefault="00000000">
      <w:r>
        <w:t>My theoretical starting point is that perceptions of what groups like carceral citizens deserve are often shaped by social constructions about them (Schneider and Ingram 1993).[FN] Like stereotypes, these constructions are produced by policy and discourse – both political, cultural, and popular – and they are often taken up by individuals in a heuristic process to form quick judgements about what a target group deserves. Thus, predominant racialized constructions of incarcerated people – “thugs,” “felons,” or “inmates,” – that invoke ingratitude, self-orientation, and blameworthy-ness for their condition of confinement are likely interpolated as undeserving.</w:t>
      </w:r>
    </w:p>
    <w:p w14:paraId="6055A1C2" w14:textId="77777777" w:rsidR="000A00D8" w:rsidRDefault="00000000">
      <w:r>
        <w:t>Desesrvingness literature may suggest one direct pathway through which contact might interrupt this process. Simply put, someone who is in and knows people in prison has access to information about who an incarcerated personal is outside of their “criminal” identity in a way that someone who has only seen “prisoners” on TV may not. Carceral state contact should, by definition, change what information individuals have about its targets. and this alone could translate to more generous interpretations of deservingness (Oorschot 2000, 2006, Feather 2009). [FN] Following Schneider and Ingram (1993), these deservingness perceptions then influence how individuals evaluate related criminal legal policies.</w:t>
      </w:r>
    </w:p>
    <w:p w14:paraId="502B7E5F" w14:textId="77777777" w:rsidR="000A00D8" w:rsidRDefault="00000000">
      <w:r>
        <w:t xml:space="preserve">Yet it is important to note that this logic implicitly assumes that the processes by which deservingness is interpreted and shapes policy views operate the same way in the criminal legal domain as they do in the welfare state, where much of deservingness literature originated.[] Recent work complicates that assumption. Schneider and Ingram (2019) note that even “deviant” groups – long presumed to be negatively constructed – can become beneficiaries of policy help, </w:t>
      </w:r>
      <w:r>
        <w:lastRenderedPageBreak/>
        <w:t>especially when cossts, visibility, or broader group associations shift. SoRelle and Laws (2023) observe that perceptions of individual deservingness may not linearly translate into support for policy overall. Together, these insights suggest the need not only to examine whether contact reshapes perceptions of deservingness, but also to assess how — and whether — those perceptions relate to support for state intervention in the carceral domain. Yet what remains less fully theorized is whether, and how, the meaning and influence of these social constructions differ for individuals who have direct experience with the relevant policy. Might experiences with policy change how these constructions and characteristics are interpreted, or the extent to which they are internaized and interpolated into policy views? Lessons from policy feedback literature suggest they might.</w:t>
      </w:r>
    </w:p>
    <w:p w14:paraId="2F9BD5C2" w14:textId="77777777" w:rsidR="000A00D8" w:rsidRDefault="00000000">
      <w:r>
        <w:t>Across domains, including the carceral state, policy feedback literature shows that policies can shape attitudes towards the state and institutions, one’s sense of “civic self,” and political behavior as part of a process through which policies, once established, have the capacity to shape and reshape policy landscapes (Skocpol 1992, Campbell 2012). These “feedbacks” operate through two core mechanisms: resource effects, which concern the distribution of material benefits and costs, which can enact barriers or incentives to participation, and interpretive effects, which concern the ability of policy design to convey messages to its targets about their civic standing, and what they can expect and may ask of government as a whole (Campbell 2003, Mettler and Soss 2004; Mettler and SoRelle 2023). This interpretive element offers an extension of social construction theory, in that it suggests that the messages a policy target infers from interacting with policy are unique, and should not be inferred to mirror the messages policy conveys about to broader audiences its targets. Moreover, this framework positions policy targets as “active agents” in the construction of meaning who internalize and respond to policy messages in different ways – by rejecting a negative construction or its policy implication and engaging in collective action, or conversely by differentiating onesself and dissaggregating one’s overall policy views from their perceptions of beneficiary deservingness (Soss 1999, 2005, Goss 2013, Thurston 2018, SoRelle 2020, Lacombe 2021). [^12]</w:t>
      </w:r>
    </w:p>
    <w:p w14:paraId="086445C0" w14:textId="77777777" w:rsidR="000A00D8" w:rsidRDefault="00000000">
      <w:r>
        <w:t xml:space="preserve">In the criminal legal domain, scholarly debate around the conditions under which carceral contact is politically mobilizing or demobilizing foregrounds this variation (cf. White 2022). Many carceral citizens, their networks, and neighborhoods internalize the clear “undeserving” </w:t>
      </w:r>
      <w:r>
        <w:lastRenderedPageBreak/>
        <w:t>messages that prison policy sends (Lerman and Weaver 2014, Lee et al. 2014). In doing so, feedback scholars also dilineate the experiences and outcomes of people with not only direct, but also indirect or “proximate” contact, such as families of targets and neighborhood effects. For example, Burch (2014) finds that high concentrations of incarceration and community supervision reduce political participation, creating “important spillover effects that suppress participation not only of the supervised individual but also of those living around him or her” (197). But others find that both direct and proximal contact can mobilize (Anoll et al 2022). There are three important throughlines between these disparate outcomes, that suggest why those who have been in contact with the criminal legal system may hold distinct views of its targets.</w:t>
      </w:r>
    </w:p>
    <w:p w14:paraId="09D49B2A" w14:textId="77777777" w:rsidR="000A00D8" w:rsidRDefault="00000000">
      <w:r>
        <w:t xml:space="preserve">While many carceral citizens and their networks internalize the clear “undeserving” messages conveyed by criminal legal policy, research increasingly shows that such contact can also shape political attitudes towards the state – fomenting perceptions of institutional illegitimacy (Anoll et al 2022, Anoll and Israel-Trummel 2019, Walker 2020, Lerman and Weaver 2014). As such, I propose that interactions with the carceral system should also shape attitudes towards </w:t>
      </w:r>
      <w:r>
        <w:rPr>
          <w:i/>
          <w:iCs/>
        </w:rPr>
        <w:t>targets of the state</w:t>
      </w:r>
      <w:r>
        <w:t xml:space="preserve"> – and their legitimacy or deservingness in relation to it. While 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Instead, scholars emphasize that direct contact with the criminal legal system can heighten in-group solidarity and mobilize in spite resource and interpretive feedbacks that should be demobilizing. (Walker 2020, Owens 2014). This is specifically the case when policy targets reject policy “teachings” about their lower civic status as part of a sense of systemic injustice – suggesting a reappraisal of both the system and those criminalized by it (Walker 2020). Among family of the incarcerated, Anoll (2022) suggests that higher rates of voting in states specifically with most stringent carceral disenfranchisement policies suggests “surrogate” mobilization, or a motivation to act on behalf a “deserving” incarcerated citizen, is at work. Thus, mobilization in response to both direct and proximal contact involve meaning-making processes that wed social solidarity with dampened perceptions of institutional legitimacy and trust.</w:t>
      </w:r>
    </w:p>
    <w:p w14:paraId="3C514784" w14:textId="77777777" w:rsidR="000A00D8" w:rsidRDefault="00000000">
      <w:r>
        <w:t xml:space="preserve">But interaction with the carceral system may facilitate not just political, but also policy learning. Targets and their networks come to learn policy messages by experiencing policy burdens. Lee et </w:t>
      </w:r>
      <w:r>
        <w:lastRenderedPageBreak/>
        <w:t>al. (2014), for example, find that demobilizing ’spillover effects” are trace to family and loved ones of the incarcerated experiences with and reaction to policies whose costs they incur, like those of visitation, expensive phone calls, and paying off fines and fees. That the experiences producing political responses are grounded in personal experience with policy suggest that contact may reorient how individuals think about policy, as it changes what they think (for example, what consequences to policy they imagine) when they think about policy.</w:t>
      </w:r>
    </w:p>
    <w:p w14:paraId="153161B5" w14:textId="77777777" w:rsidR="000A00D8" w:rsidRDefault="00000000">
      <w:r>
        <w:t>Feedback scholars acknowledge endogeneity challenges inherent to questions of carceral state contact in a context of “cumulative burdens” or where the same individuals and communities often experience both direct and proximate carceral contact (Lerman and Weaver 2014; Weaver and Lerman 2010; Michener 2018). These experiences in isolation may have important differences. While some note psychological motivations the incarcerated may have to hold deserving perceptions of themselves and others (Kreitzer and Maltby 2023), others stress that they may be far more likely to internalize undeserving messages, from which the proximally imapcted may be more removed (Anoll and Israel-Trummel 2019, Walker 2014, Walker and García-Castañon 2017). Experiences of victimization amplify this tension: they often occur alongside policing and incarceration in the same communities, yet are rarely conceptualized as a form of policy contact in their own right.[]</w:t>
      </w:r>
    </w:p>
    <w:p w14:paraId="227E0C8F" w14:textId="77777777" w:rsidR="000A00D8" w:rsidRDefault="00000000">
      <w:r>
        <w:t xml:space="preserve">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 (Soss 1999; Lerman and Weaver 2014). These “interpretive effects” can leave people feeling targeted, disrespected, or undeserving in the eyes of the state. In this context, experiences of secondary victimization—such as being disbelieved, ignored, or emotionally constrained by the criminal justice process (Lens et al. 2014) —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criminal legal experience shapes not only institutional trust and political participation, but also deservingness perceptions and carceral </w:t>
      </w:r>
      <w:r>
        <w:lastRenderedPageBreak/>
        <w:t>policy attitudes. This paper takes up that challenge by analyzing victimization alongside other forms of contact to assess how they each influence perceptions of who deserves help or harm—and what role the state should play.</w:t>
      </w:r>
    </w:p>
    <w:p w14:paraId="58B49F71" w14:textId="77777777" w:rsidR="000A00D8" w:rsidRDefault="00000000">
      <w:pPr>
        <w:pStyle w:val="Heading2"/>
      </w:pPr>
      <w:bookmarkStart w:id="6" w:name="hypotheses"/>
      <w:bookmarkStart w:id="7" w:name="_Toc195628911"/>
      <w:bookmarkEnd w:id="4"/>
      <w:r>
        <w:t>0.4 Hypotheses</w:t>
      </w:r>
      <w:bookmarkEnd w:id="7"/>
    </w:p>
    <w:p w14:paraId="2455958F" w14:textId="77777777" w:rsidR="000A00D8" w:rsidRDefault="00000000">
      <w:r>
        <w:t>What does this mean for my expectations about how carceral contact will shape perceptions of what carceral citizens deserve? While views on criminal legal policy and how people conceive of people who have been convicted of crimes and incarcerated are complicated questions, I anticipate that these experiences (incarceration, neigborhhood or social connections to the incarcerated, and victimization), depress the authority of carceral policy design to convey meaning about its targets. While individuals and within these groups may still respond to policy messages and think about targets in different ways, I expect these groups to view carceral citizens as more deserving than those without impact. Because people with proximate impact may be less likely to internalize undeserving messages, they may have warmer perceptions than the directly impacted. Further, I suggest that experience with the criminal legal system – including victimization – leads people to more strongly and consistently support policies that help incarcerated people, and to more nuanced ways of thinking about the relationship between what a carceral target ‘deserves’ and what policy is appropriate.</w:t>
      </w:r>
    </w:p>
    <w:p w14:paraId="02574AD2" w14:textId="77777777" w:rsidR="000A00D8" w:rsidRDefault="00000000">
      <w:r>
        <w:t xml:space="preserve">Respondents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discourse that emphasize danger and individual blame (Lopez 2015; Vasiljevic and Viki 2014). Without lived or relational knowledge to “fill in” CARIN criteria such as control, reciprocity, or need with humanizing nuance, these respondents are more likely to default to punitive or stigmatized constructions of incarcerated people. Even those who know only victims of crime may be exposed to narratives emphasizing offender culpability and just deserts—without the complexity </w:t>
      </w:r>
      <w:r>
        <w:lastRenderedPageBreak/>
        <w:t>that comes from understanding incarcerated people as multifaceted individuals. Therefore, I expect that:</w:t>
      </w:r>
    </w:p>
    <w:p w14:paraId="69DE12C8" w14:textId="77777777" w:rsidR="000A00D8" w:rsidRDefault="00000000">
      <w:r>
        <w:rPr>
          <w:b/>
          <w:bCs/>
        </w:rPr>
        <w:t>(H1)</w:t>
      </w:r>
      <w:r>
        <w:t xml:space="preserve"> Direct and proximate experiences with incarceration and experiencing victimization will lead to more generous deservingness perceptions of incarcerated people.</w:t>
      </w:r>
    </w:p>
    <w:p w14:paraId="07838137" w14:textId="77777777" w:rsidR="000A00D8" w:rsidRDefault="00000000">
      <w:r>
        <w:rPr>
          <w:b/>
          <w:bCs/>
        </w:rPr>
        <w:t>(H1A)</w:t>
      </w:r>
      <w:r>
        <w:t xml:space="preserve"> Individuals with proximate impact will report more generossity than those who are directly impacted.</w:t>
      </w:r>
    </w:p>
    <w:p w14:paraId="5B00DD71" w14:textId="77777777" w:rsidR="000A00D8" w:rsidRDefault="00000000">
      <w:r>
        <w:t>While victimization might intuitively drive negative perceptions of carceral citizens, I suggest the relationship is more complex.</w:t>
      </w:r>
    </w:p>
    <w:p w14:paraId="4B3C164F" w14:textId="77777777" w:rsidR="000A00D8" w:rsidRDefault="00000000">
      <w:r>
        <w:t xml:space="preserve">Researchers provide evidence that more abstracted, dehumanized stereotypes about carceral citizens (Vasiljevic and Viki 2014) generate harsher assessments of culpability (Levinson 2007, Levinson et al 2010, Donovan 2007, Israel-Trummel and Streeter 2021) and sentences (Rehavi and Starr 2014) suggesting that information </w:t>
      </w:r>
      <w:r>
        <w:rPr>
          <w:i/>
          <w:iCs/>
        </w:rPr>
        <w:t>besides</w:t>
      </w:r>
      <w:r>
        <w:t xml:space="preserve"> conviction and crime about carceral citizens should have a countervailing humanizing effect (Uggen and Manza 2006).</w:t>
      </w:r>
    </w:p>
    <w:p w14:paraId="5B30C1DE" w14:textId="77777777" w:rsidR="000A00D8" w:rsidRDefault="00000000">
      <w:r>
        <w:t>There are clear reasons why victimization may generate undeserving perceptions: victimization is highly a salient experience that for many drives negative affect toward those who commit crimes (Ditton et al. 1999) and provides a clear justification to focus on criminal culpability when considering an incarcerated person (Culhane et al 2004).</w:t>
      </w:r>
    </w:p>
    <w:p w14:paraId="788A546F" w14:textId="77777777" w:rsidR="000A00D8" w:rsidRDefault="00000000">
      <w:r>
        <w:t>However, this logic assumes clear victim-offender boundaries and risks ignoring the broader social context in which violence occurs. The overlap between victims and otherwise impacted groups is significant (Gebo 2019). Victims of violent crime are disproportionately part of communities most heavily policed and incarcerated, most victims of violent crime know their offender (Bureau of Justice 2024), and most individuals who experience incarceration have also been victimized.[^2] Thus, while for many victims the proximity and salience of a criminal may bolster negative social constructions and deservingness perceptions, it might also translate to more nuanced perceptions of culpability and a closer alignment of identity that moderates negative affect.</w:t>
      </w:r>
    </w:p>
    <w:p w14:paraId="6DD63104" w14:textId="77777777" w:rsidR="000A00D8" w:rsidRDefault="00000000">
      <w:r>
        <w:lastRenderedPageBreak/>
        <w:t>Moreover, victims face restrictive, “sticky” social constructions – what Lens et al (2014) note generate negative feedbacks. While navigating narrow expectations of “appropriate” emotional responses in the criminal justice process – non-emotional victims risk disbelief while overly emotional victims face judgment – victims experience “secondary victimizations” 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14:paraId="4D2348AF" w14:textId="77777777" w:rsidR="000A00D8" w:rsidRDefault="00000000">
      <w:r>
        <w:rPr>
          <w:b/>
          <w:bCs/>
        </w:rPr>
        <w:t>(H1C)</w:t>
      </w:r>
      <w:r>
        <w:t xml:space="preserve"> </w:t>
      </w:r>
      <w:r>
        <w:rPr>
          <w:i/>
          <w:iCs/>
        </w:rPr>
        <w:t>Victims of violent crime may vary more than other impacted groups in their perceptions of incarcerated people’s deservingness, but on average, will still express more generous views than individuals with no direct or proximate contact with the carceral system.</w:t>
      </w:r>
    </w:p>
    <w:p w14:paraId="5DA84082" w14:textId="77777777" w:rsidR="000A00D8" w:rsidRDefault="00000000">
      <w:r>
        <w:t>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14:paraId="1ABF9A63" w14:textId="77777777" w:rsidR="000A00D8" w:rsidRDefault="00000000">
      <w:r>
        <w:rPr>
          <w:b/>
          <w:bCs/>
        </w:rPr>
        <w:t>(H2)</w:t>
      </w:r>
      <w:r>
        <w:t xml:space="preserve"> more generous perceptions of carceral citizens’ deservingness will predict greater and more consistent support for assistance-oriented policies and reduced support for punitive policies.</w:t>
      </w:r>
    </w:p>
    <w:p w14:paraId="439295AA" w14:textId="77777777" w:rsidR="000A00D8" w:rsidRDefault="00000000">
      <w:r>
        <w:t>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p w14:paraId="69848275" w14:textId="77777777" w:rsidR="000A00D8" w:rsidRDefault="00000000">
      <w:pPr>
        <w:pStyle w:val="Heading2"/>
      </w:pPr>
      <w:bookmarkStart w:id="8" w:name="data-and-methods"/>
      <w:bookmarkStart w:id="9" w:name="_Toc195628912"/>
      <w:bookmarkEnd w:id="6"/>
      <w:r>
        <w:t>0.5 Data and Methods</w:t>
      </w:r>
      <w:bookmarkEnd w:id="9"/>
    </w:p>
    <w:p w14:paraId="1B8DAB55" w14:textId="77777777" w:rsidR="000A00D8" w:rsidRDefault="00000000">
      <w:r>
        <w:lastRenderedPageBreak/>
        <w:t>I explore whether policy contact shapes people’s attitudes about deservingness and policy, and the how deservingness perceptions mediate policy views, in a series of linear models using novel survey data collected in September 2024 by Smith, Bowman, and Mensik. The survey mimics the strengths of Kreitzer and Smith’s (2018) empirical mapping of power and deservingness constructions of 87 target populations, and makes important changes like relying on survey respondents recruited from Bovitz proprietary panel and reducing the number of groups individuals access to reduce issues of respondent fatigue.[^4]</w:t>
      </w:r>
    </w:p>
    <w:p w14:paraId="24F293C7" w14:textId="77777777" w:rsidR="000A00D8" w:rsidRDefault="00000000">
      <w:r>
        <w:t>The targets the US general population. 2,716 eligible participants were recruited to complete the 30-minute survey on the platform Forthright, and were paid 10 dollars. The sample is just under 51% women and 49% men, and leans more Democratic than the national average (39% versus 31%) but is equally Republican (25%).[^5]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p w14:paraId="091C001B" w14:textId="77777777" w:rsidR="000A00D8" w:rsidRDefault="00000000">
      <w:r>
        <w:rPr>
          <w:b/>
          <w:bCs/>
        </w:rPr>
        <w:t>Measuring Deservingness Perceptions, Contact, and Policy Views.</w:t>
      </w:r>
    </w:p>
    <w:p w14:paraId="123CB1E0" w14:textId="77777777" w:rsidR="000A00D8" w:rsidRDefault="00000000">
      <w:r>
        <w:t>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 “contact” with the criminal legal system, and policy views.</w:t>
      </w:r>
    </w:p>
    <w:p w14:paraId="3D809C57" w14:textId="77777777" w:rsidR="000A00D8" w:rsidRDefault="00000000">
      <w:r>
        <w:t>Perceptions of target deservingness are operationalized using 0-100 sliding scale ratings of “incarcerated people/prisoners.” After reading a short explanation of what deserving usually connotes (Figure # ), respondents rated the deservingness of a total of 65 groups. I standardize deservingness by taking difference between the score a respondent gives to a given group and the average score the respondent gave across all groups. I also normalize deservingness scores by calculating mean deservingness scores of incarcerated people for all respondents and subtract each respondent’s individual rating of incarcerated people from this mean to report whether incarcerated deservingness ratings are above or below average.</w:t>
      </w:r>
    </w:p>
    <w:p w14:paraId="09FA97C4" w14:textId="77777777" w:rsidR="000A00D8" w:rsidRDefault="00000000">
      <w:r>
        <w:lastRenderedPageBreak/>
        <w:t>I argue a respondent’s experience with the criminal legal system affects perceptions of carceral citizens’ deservingness, it’s mediation of policy views, and those views directly. To measure policy contact and proximate contact, I ask respondents whether they or someone they know well have been “incarcerated in jail or prison,” and/or whether they and/or someone they now have “been a victim of violent crime.” I construct three binary indicators for the three contact types of interest, which represent respondents who have been incarcerated (1), know someone incarcerated (1), or have been victimized (1), with each including respondents who have also experienced other forms of contact, or not (0). Additionally, I construct a single “impact” dummy to capture all three impacted groups. I expect that respondents under report both victimization and incarceration because they are stigmatized experience, introducing random noise [under-estimates?? confounding?].</w:t>
      </w:r>
    </w:p>
    <w:p w14:paraId="6D9CEBBA" w14:textId="77777777" w:rsidR="000A00D8" w:rsidRDefault="00000000">
      <w:r>
        <w:t xml:space="preserve">In extended models, I create separate dummy variables for each possible combinations of contact, including knowing someone who has been victimized. </w:t>
      </w:r>
      <w:r>
        <w:rPr>
          <w:i/>
          <w:iCs/>
        </w:rPr>
        <w:t>Table X presents the breakdown of respondent experiences</w:t>
      </w:r>
      <w:r>
        <w:t>. While my operationalization of victimization precludes the ability to ascertain whether the respondent interacted with the criminal legal system as a victim, weakening claims that changes reflect feedback effects, I argue that understanding feedback effects of the carceral state as a whole and distinctions in how people who have more ‘direct stakes’ in carceral policy differ in how they think about policy from those who do not requires accounting for overlapping burdens. This also enables me to control for countervailing effects of discrete experiences. Because knowing a victim of violent crime may have distinct effects, it is important to operationalize, although exploring those impacts are above the scope of this paper. [Would I discuss robustness checks here?].</w:t>
      </w:r>
    </w:p>
    <w:p w14:paraId="380C413F" w14:textId="77777777" w:rsidR="000A00D8" w:rsidRDefault="00000000">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 ‘prison_penalty’ support index, and the remainder which involve policy help (minimum wage pay requirements for incarcerated workers, voting rights restoration, etc) are combined in a ‘prison_help’ support index. </w:t>
      </w:r>
      <w:r>
        <w:rPr>
          <w:i/>
          <w:iCs/>
        </w:rPr>
        <w:t>Note: I don’t combine bc testing help vs penalizing.</w:t>
      </w:r>
    </w:p>
    <w:p w14:paraId="492FDF55" w14:textId="77777777" w:rsidR="000A00D8" w:rsidRDefault="00000000">
      <w:pPr>
        <w:pStyle w:val="Heading4"/>
      </w:pPr>
      <w:bookmarkStart w:id="10" w:name="other-factors-influencing-policy-views"/>
      <w:r>
        <w:lastRenderedPageBreak/>
        <w:t>0.5.0.1 Other Factors Influencing Policy Views</w:t>
      </w:r>
    </w:p>
    <w:p w14:paraId="4C97AABA" w14:textId="77777777" w:rsidR="000A00D8" w:rsidRDefault="00000000">
      <w:r>
        <w:t xml:space="preserve">I include </w:t>
      </w:r>
      <w:r>
        <w:rPr>
          <w:b/>
          <w:bCs/>
          <w:i/>
          <w:iCs/>
        </w:rPr>
        <w:t>x</w:t>
      </w:r>
      <w:r>
        <w:t xml:space="preserve"> standard additional controls, and </w:t>
      </w:r>
      <w:r>
        <w:rPr>
          <w:b/>
          <w:bCs/>
          <w:i/>
          <w:iCs/>
        </w:rPr>
        <w:t>y</w:t>
      </w:r>
      <w:r>
        <w:t xml:space="preserve">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Such differences may be ideologically rooted. 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score.[^6]</w:t>
      </w:r>
    </w:p>
    <w:p w14:paraId="717D7C28" w14:textId="0B4A63C6" w:rsidR="000A00D8" w:rsidRDefault="00000000">
      <w:r>
        <w:t xml:space="preserve">While Sniderman and Piazza (1993) contend Democrats’ punitiveness reflects ideological beliefs about personal responsibility and the rule of law, Chouhy and colleagues (2022) recently find evidence that Republican support opposition to policy help is a product of expressive punitiveness, where for Democrats, opposition is more strongly driven by “culture of control” impulses to think of citizenship desert in terms of merits (Miller and Alexander 2016). I can control for beliefs about the purpose of punishment using an interval ‘penal_point’ variable, with respondents’ views on whether the purpose of incarceration as to punish primarily, rehabilitate primarily, or somewhere in between, rescaled to a 0-1 metric from a 7 point scale. </w:t>
      </w:r>
    </w:p>
    <w:p w14:paraId="7610FB85" w14:textId="77777777" w:rsidR="000A00D8" w:rsidRDefault="00000000">
      <w:r>
        <w:t xml:space="preserve">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w:t>
      </w:r>
      <w:r>
        <w:lastRenderedPageBreak/>
        <w:t>reflect broader attitudes towards these groups overall. Similarly, respondents may give these groups ratings that reflect “deserving of some inferred benefit,” where others groups, like “Athiests,” 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 [^7]</w:t>
      </w:r>
    </w:p>
    <w:p w14:paraId="048E1A3A" w14:textId="77777777" w:rsidR="000A00D8" w:rsidRDefault="00000000">
      <w:r>
        <w:t>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refugees.[^8]</w:t>
      </w:r>
    </w:p>
    <w:p w14:paraId="5A90CEC1" w14:textId="77777777" w:rsidR="000A00D8" w:rsidRDefault="00000000">
      <w: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I construct a racial resentment scale combining items from the ANES “Kinder” battery and the FIRE scale. All items are coded such that higher values reflect greater racial resentment, with positively worded items (e.g., “White people have certain advantages…”) reverse-coded. I rescale each item to a common range and average them to produce a continuous measure of racial resentment, which is included as a control in all models.</w:t>
      </w:r>
    </w:p>
    <w:p w14:paraId="005897FC" w14:textId="77777777" w:rsidR="000A00D8" w:rsidRDefault="00000000">
      <w:r>
        <w:t xml:space="preserve">Finally, I also control gender, level of education, and location.[^9] I control for gender with a binary variable where respondents who identified as genderqueer or ‘other’ (of which there were </w:t>
      </w:r>
      <w:r>
        <w:lastRenderedPageBreak/>
        <w:t>relatively few) will be randomly assigned to woman (0) and men (1). Location – using information on participants state and county, I will create an albeit overly simplified binary for urban (0) or not-urban (1).</w:t>
      </w:r>
    </w:p>
    <w:p w14:paraId="61CB582A" w14:textId="77777777" w:rsidR="000A00D8" w:rsidRDefault="00000000">
      <w:pPr>
        <w:pStyle w:val="Heading2"/>
      </w:pPr>
      <w:bookmarkStart w:id="11" w:name="analysis"/>
      <w:bookmarkStart w:id="12" w:name="_Toc195628913"/>
      <w:bookmarkEnd w:id="8"/>
      <w:bookmarkEnd w:id="10"/>
      <w:r>
        <w:t>0.6 Analysis</w:t>
      </w:r>
      <w:bookmarkEnd w:id="12"/>
    </w:p>
    <w:p w14:paraId="5102373F" w14:textId="77777777" w:rsidR="000A00D8" w:rsidRDefault="00000000">
      <w:r>
        <w:t>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14:paraId="5D0E5B01" w14:textId="77777777" w:rsidR="000A00D8" w:rsidRDefault="00000000">
      <w:r>
        <w:t>NOTE: before the modeling, I will present descriptive summaries of:</w:t>
      </w:r>
    </w:p>
    <w:p w14:paraId="0AC61D84" w14:textId="77777777" w:rsidR="000A00D8" w:rsidRDefault="00000000">
      <w:pPr>
        <w:numPr>
          <w:ilvl w:val="0"/>
          <w:numId w:val="4"/>
        </w:numPr>
      </w:pPr>
      <w:r>
        <w:t>Frequencies and overlaps among contact types</w:t>
      </w:r>
    </w:p>
    <w:p w14:paraId="6D6716DC" w14:textId="77777777" w:rsidR="000A00D8" w:rsidRDefault="00000000">
      <w:pPr>
        <w:numPr>
          <w:ilvl w:val="0"/>
          <w:numId w:val="4"/>
        </w:numPr>
      </w:pPr>
      <w:r>
        <w:t>Summary statistics for each deservingness and policy composites</w:t>
      </w:r>
    </w:p>
    <w:p w14:paraId="26E4E1D2" w14:textId="77777777" w:rsidR="000A00D8" w:rsidRDefault="00000000">
      <w:pPr>
        <w:numPr>
          <w:ilvl w:val="0"/>
          <w:numId w:val="4"/>
        </w:numPr>
      </w:pPr>
      <w:r>
        <w:t>Correlations between dispositional controls and core predictors</w:t>
      </w:r>
    </w:p>
    <w:p w14:paraId="35B7FE58" w14:textId="77777777" w:rsidR="000A00D8" w:rsidRDefault="00000000">
      <w:r>
        <w:t>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14:paraId="6EA553A0" w14:textId="77777777" w:rsidR="000A00D8" w:rsidRDefault="00000000">
      <w:r>
        <w:t xml:space="preserve">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w:t>
      </w:r>
      <w:r>
        <w:lastRenderedPageBreak/>
        <w:t>additionally present normalized scores showing each rating’s distance from the sample-wide mean rating of incarcerated people.</w:t>
      </w:r>
    </w:p>
    <w:p w14:paraId="57862346" w14:textId="77777777" w:rsidR="000A00D8" w:rsidRDefault="00000000">
      <w:r>
        <w:t>[Table Z: Mean deservingness ratings of incarcerated people by contact type]</w:t>
      </w:r>
    </w:p>
    <w:p w14:paraId="500421E6" w14:textId="77777777" w:rsidR="000A00D8" w:rsidRDefault="00000000">
      <w:r>
        <w:t xml:space="preserve">To explore policy opinion variation, </w:t>
      </w:r>
      <w:r>
        <w:rPr>
          <w:b/>
          <w:bCs/>
        </w:rPr>
        <w:t>Table X</w:t>
      </w:r>
      <w:r>
        <w:t xml:space="preserve"> 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14:paraId="49955CDB" w14:textId="77777777" w:rsidR="000A00D8" w:rsidRDefault="00000000">
      <w:r>
        <w:t>[Table X: ]</w:t>
      </w:r>
    </w:p>
    <w:p w14:paraId="02181168" w14:textId="77777777" w:rsidR="000A00D8" w:rsidRDefault="00000000">
      <w:pPr>
        <w:pStyle w:val="Heading4"/>
      </w:pPr>
      <w:bookmarkStart w:id="13" w:name="modeling-approach"/>
      <w:r>
        <w:t>0.6.0.1 Modeling Approach</w:t>
      </w:r>
    </w:p>
    <w:p w14:paraId="70608012" w14:textId="77777777" w:rsidR="000A00D8" w:rsidRDefault="00000000">
      <w:r>
        <w:t>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14:paraId="411E22B6" w14:textId="77777777" w:rsidR="000A00D8" w:rsidRDefault="00000000">
      <m:oMathPara>
        <m:oMathParaPr>
          <m:jc m:val="center"/>
        </m:oMathParaPr>
        <m:oMath>
          <m:r>
            <w:rPr>
              <w:rFonts w:ascii="Cambria Math" w:hAnsi="Cambria Math"/>
            </w:rPr>
            <m:t>Xi</m:t>
          </m:r>
          <m:r>
            <m:rPr>
              <m:sty m:val="p"/>
            </m:rPr>
            <w:rPr>
              <w:rFonts w:ascii="Cambria Math" w:hAnsi="Cambria Math"/>
            </w:rPr>
            <m:t>'⋅</m:t>
          </m:r>
          <m:r>
            <w:rPr>
              <w:rFonts w:ascii="Cambria Math" w:hAnsi="Cambria Math"/>
            </w:rPr>
            <m:t>controls</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w:rPr>
              <w:rFonts w:ascii="Cambria Math" w:hAnsi="Cambria Math"/>
            </w:rPr>
            <m:t>Xi</m:t>
          </m:r>
          <m:r>
            <m:rPr>
              <m:sty m:val="p"/>
            </m:rPr>
            <w:rPr>
              <w:rFonts w:ascii="Cambria Math" w:hAnsi="Cambria Math"/>
            </w:rPr>
            <m:t>'</m:t>
          </m:r>
        </m:oMath>
      </m:oMathPara>
    </w:p>
    <w:p w14:paraId="3C266760" w14:textId="77777777" w:rsidR="000A00D8" w:rsidRDefault="00000000">
      <w:r>
        <w:t xml:space="preserve">​⋅controls, and standard errors are clustered by respondent (if applicable). In all models, </w:t>
      </w:r>
      <m:oMath>
        <m:r>
          <w:rPr>
            <w:rFonts w:ascii="Cambria Math" w:hAnsi="Cambria Math"/>
          </w:rPr>
          <m:t>i</m:t>
        </m:r>
      </m:oMath>
      <w:r>
        <w:t xml:space="preserve"> indexes individual respondents, and </w:t>
      </w:r>
      <m:oMath>
        <m:sSub>
          <m:sSubPr>
            <m:ctrlPr>
              <w:rPr>
                <w:rFonts w:ascii="Cambria Math" w:hAnsi="Cambria Math"/>
              </w:rPr>
            </m:ctrlPr>
          </m:sSubPr>
          <m:e>
            <m:r>
              <m:rPr>
                <m:nor/>
              </m:rPr>
              <m:t>impact</m:t>
            </m:r>
          </m:e>
          <m:sub>
            <m:r>
              <w:rPr>
                <w:rFonts w:ascii="Cambria Math" w:hAnsi="Cambria Math"/>
              </w:rPr>
              <m:t>i</m:t>
            </m:r>
          </m:sub>
        </m:sSub>
      </m:oMath>
      <w:r>
        <w:t xml:space="preserve"> captures impacted versus nonimpacted [FIX]. I interpret coefficients of interest using two-tailed hypothesis tests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 I report 95% confidence intervals and standard errors throughout.</w:t>
      </w:r>
    </w:p>
    <w:p w14:paraId="28589DC0" w14:textId="77777777" w:rsidR="000A00D8" w:rsidRDefault="00000000">
      <w:pPr>
        <w:pStyle w:val="Heading5"/>
      </w:pPr>
      <w:bookmarkStart w:id="14" w:name="deservingness-models"/>
      <w:r>
        <w:t>0.6.0.1.1 Deservingness Models</w:t>
      </w:r>
    </w:p>
    <w:p w14:paraId="6AA89A5A" w14:textId="77777777" w:rsidR="000A00D8" w:rsidRDefault="00000000">
      <w:r>
        <w:t xml:space="preserve">My first main hypothesis, </w:t>
      </w:r>
      <w:r>
        <w:rPr>
          <w:b/>
          <w:bCs/>
        </w:rPr>
        <w:t>H1</w:t>
      </w:r>
      <w:r>
        <w:t xml:space="preserve"> predicts that individuals with direct or proximate experiences with the criminal legal system (e.g., incarceration, knowing someone incarcerated, or victimization) will perceive incarcerated people as more deserving. I begin by estimating whether average deservingness scores differ across impact groups using one-way ANOVA. Where the omnibus </w:t>
      </w:r>
      <w:r>
        <w:lastRenderedPageBreak/>
        <w:t xml:space="preserve">test is significant, I conduct </w:t>
      </w:r>
      <w:r>
        <w:rPr>
          <w:b/>
          <w:bCs/>
        </w:rPr>
        <w:t>Tukey’s HSD</w:t>
      </w:r>
      <w:r>
        <w:t xml:space="preserve"> post-hoc comparisons to identify specific group differences. I test this prediction by regressing deservingness scores for incarcerated people on impact status, controlling for demographic and attitudinal factors. Specifically, I estimate:</w:t>
      </w:r>
    </w:p>
    <w:p w14:paraId="61365319" w14:textId="77777777" w:rsidR="000A00D8"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C1ECF34" w14:textId="77777777" w:rsidR="000A00D8" w:rsidRDefault="00000000">
      <w:r>
        <w:t xml:space="preserve">Where the key coefficient of interest is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which estimates the average difference in deservingness perception between those with and without carceral contact, holding other covariates constant. A positive and significant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would support my hypothesis (H1) that contact is associated with more generous evaluations of incarcerated people.</w:t>
      </w:r>
    </w:p>
    <w:p w14:paraId="44FFF806" w14:textId="77777777" w:rsidR="000A00D8" w:rsidRDefault="00000000">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14:paraId="2ADADB04" w14:textId="77777777" w:rsidR="000A00D8"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education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party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9110451" w14:textId="77777777" w:rsidR="000A00D8" w:rsidRDefault="00000000">
      <w:r>
        <w:t xml:space="preserve">If contact reduces deservingness more strongly among liberals than conservatives, for instance, the interaction term </w:t>
      </w:r>
      <m:oMath>
        <m:sSub>
          <m:sSubPr>
            <m:ctrlPr>
              <w:rPr>
                <w:rFonts w:ascii="Cambria Math" w:hAnsi="Cambria Math"/>
              </w:rPr>
            </m:ctrlPr>
          </m:sSubPr>
          <m:e>
            <m:r>
              <w:rPr>
                <w:rFonts w:ascii="Cambria Math" w:hAnsi="Cambria Math"/>
              </w:rPr>
              <m:t>β</m:t>
            </m:r>
          </m:e>
          <m:sub>
            <m:r>
              <w:rPr>
                <w:rFonts w:ascii="Cambria Math" w:hAnsi="Cambria Math"/>
              </w:rPr>
              <m:t>11</m:t>
            </m:r>
          </m:sub>
        </m:sSub>
      </m:oMath>
      <w:r>
        <w:t xml:space="preserve">​ for impact × ideology should be positive (i.e., a stronger effect of contact for more liberal respondents). Similarly, </w:t>
      </w:r>
      <m:oMath>
        <m:sSub>
          <m:sSubPr>
            <m:ctrlPr>
              <w:rPr>
                <w:rFonts w:ascii="Cambria Math" w:hAnsi="Cambria Math"/>
              </w:rPr>
            </m:ctrlPr>
          </m:sSubPr>
          <m:e>
            <m:r>
              <w:rPr>
                <w:rFonts w:ascii="Cambria Math" w:hAnsi="Cambria Math"/>
              </w:rPr>
              <m:t>β</m:t>
            </m:r>
          </m:e>
          <m:sub>
            <m:r>
              <w:rPr>
                <w:rFonts w:ascii="Cambria Math" w:hAnsi="Cambria Math"/>
              </w:rPr>
              <m:t>12</m:t>
            </m:r>
          </m:sub>
        </m:sSub>
      </m:oMath>
      <w:r>
        <w:t>​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14:paraId="0CDF656E" w14:textId="77777777" w:rsidR="000A00D8" w:rsidRDefault="00000000">
      <w:r>
        <w:lastRenderedPageBreak/>
        <w:t>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14:paraId="7142E3CE" w14:textId="77777777" w:rsidR="000A00D8"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controls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E2A548B" w14:textId="77777777" w:rsidR="000A00D8" w:rsidRDefault="00000000">
      <w:r>
        <w:t>My second core hypothesis (</w:t>
      </w:r>
      <w:r>
        <w:rPr>
          <w:b/>
          <w:bCs/>
        </w:rPr>
        <w:t>H2)</w:t>
      </w:r>
      <w:r>
        <w:t xml:space="preserve"> 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14:paraId="28FA11F8" w14:textId="77777777" w:rsidR="000A00D8"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C9016C9" w14:textId="77777777" w:rsidR="000A00D8" w:rsidRDefault="00000000">
      <w:r>
        <w:t>and on punative policy</w:t>
      </w:r>
    </w:p>
    <w:p w14:paraId="5EC6DFA1" w14:textId="77777777" w:rsidR="000A00D8"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E7E0FB0" w14:textId="77777777" w:rsidR="000A00D8" w:rsidRDefault="00000000">
      <w:r>
        <w:t xml:space="preserve">In each model,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association between having contact and support for decarceral or assistance-oriented policies, net of perceived deservingness and other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remains significant after including deservingness would suggest that contact shapes policy views through additional channels—such as affective identification, knowledge, or group solidarity (H3).</w:t>
      </w:r>
    </w:p>
    <w:p w14:paraId="152C9181" w14:textId="77777777" w:rsidR="000A00D8" w:rsidRDefault="00000000">
      <w:r>
        <w:t>I assess mediation using the mediation package in R, estimating average indirect effects and confidence intervals via bootstrapping. I futher explore this relationship by testing for moderating effects of contact on the relationship between deservingness and policy views.</w:t>
      </w:r>
    </w:p>
    <w:p w14:paraId="69D6CF0A" w14:textId="77777777" w:rsidR="000A00D8"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70D18FEA" w14:textId="77777777" w:rsidR="000A00D8"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28B09AE" w14:textId="77777777" w:rsidR="000A00D8" w:rsidRDefault="00000000">
      <w:r>
        <w:t>I test this prediction by modeling the relationship between policy help and contact, after accounting for attitudinal and demographic controls using OLS:</w:t>
      </w:r>
    </w:p>
    <w:p w14:paraId="1AFF33DA" w14:textId="77777777" w:rsidR="000A00D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prisonhelp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B74EB4A" w14:textId="77777777" w:rsidR="000A00D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prisonpen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F735F75" w14:textId="77777777" w:rsidR="000A00D8" w:rsidRDefault="00000000">
      <w:r>
        <w:t>I model criminal legal contact’s effect on other forms of policy help by regressing aggregated attitudes towards those policies on impact.</w:t>
      </w:r>
    </w:p>
    <w:p w14:paraId="6821E2B8" w14:textId="77777777" w:rsidR="000A00D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polorientation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703972A" w14:textId="77777777" w:rsidR="000A00D8" w:rsidRDefault="00000000">
      <w:r>
        <w:t>–</w:t>
      </w:r>
    </w:p>
    <w:p w14:paraId="5FCB1CCB" w14:textId="77777777" w:rsidR="000A00D8" w:rsidRDefault="00000000">
      <w:r>
        <w:t xml:space="preserve">In addition to this relationship, I suggest </w:t>
      </w:r>
      <w:r>
        <w:rPr>
          <w:b/>
          <w:bCs/>
        </w:rPr>
        <w:t>(H3)</w:t>
      </w:r>
      <w:r>
        <w:t xml:space="preserve"> that people’s experiences with prison policy and of victimization will influence approaches to criminal legal policy even after controlling for deservingness. Here, I first regress both policy attitudes on impact, controlling for both deservingness ratings of carceral citizens and broader policy help orientation:</w:t>
      </w:r>
    </w:p>
    <w:p w14:paraId="0E1C7F60" w14:textId="77777777" w:rsidR="000A00D8"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64F415D" w14:textId="77777777" w:rsidR="000A00D8"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98B9587" w14:textId="77777777" w:rsidR="000A00D8" w:rsidRDefault="00000000">
      <w:r>
        <w:t>To evaluate (</w:t>
      </w:r>
      <w:r>
        <w:rPr>
          <w:b/>
          <w:bCs/>
        </w:rPr>
        <w:t>H3A</w:t>
      </w:r>
      <w:r>
        <w:t xml:space="preserve">) my expectation that policy contact will generate more </w:t>
      </w:r>
      <w:r>
        <w:rPr>
          <w:i/>
          <w:iCs/>
        </w:rPr>
        <w:t>consistsent</w:t>
      </w:r>
      <w:r>
        <w:t xml:space="preserve"> 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w:t>
      </w:r>
      <w:r>
        <w:lastRenderedPageBreak/>
        <w:t>variance measure as the dependent variable in a regression model with the same predictors as my main policy analysis.</w:t>
      </w:r>
    </w:p>
    <w:p w14:paraId="5AF448EA" w14:textId="77777777" w:rsidR="000A00D8"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89E0FEC" w14:textId="77777777" w:rsidR="000A00D8" w:rsidRDefault="00000000">
      <w:r>
        <w:t>To confirm these findings with an alternative measure of consistency, I also calculate the standard deviation of each person’s responses across the already standardized help policy items. This provides a normalized measure of response dispersion:</w:t>
      </w:r>
    </w:p>
    <w:p w14:paraId="12D5C58D" w14:textId="77777777" w:rsidR="000A00D8" w:rsidRDefault="00000000">
      <m:oMathPara>
        <m:oMathParaPr>
          <m:jc m:val="center"/>
        </m:oMathParaPr>
        <m:oMath>
          <m:sSub>
            <m:sSubPr>
              <m:ctrlPr>
                <w:rPr>
                  <w:rFonts w:ascii="Cambria Math" w:hAnsi="Cambria Math"/>
                </w:rPr>
              </m:ctrlPr>
            </m:sSubPr>
            <m:e>
              <m:r>
                <m:rPr>
                  <m:nor/>
                </m:rPr>
                <m:t>sd_help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E086C85" w14:textId="77777777" w:rsidR="000A00D8" w:rsidRDefault="00000000">
      <w:r>
        <w:t xml:space="preserve">I expect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14:paraId="1437E9EF" w14:textId="77777777" w:rsidR="000A00D8" w:rsidRDefault="00000000">
      <w:r>
        <w:t>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14:paraId="40163178" w14:textId="77777777" w:rsidR="000A00D8" w:rsidRDefault="00000000">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logit</m:t>
                </m:r>
                <m:d>
                  <m:dPr>
                    <m:ctrlPr>
                      <w:rPr>
                        <w:rFonts w:ascii="Cambria Math" w:hAnsi="Cambria Math"/>
                      </w:rPr>
                    </m:ctrlPr>
                  </m:dP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k</m:t>
                        </m:r>
                      </m:e>
                    </m:d>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mr>
          </m:m>
        </m:oMath>
      </m:oMathPara>
    </w:p>
    <w:p w14:paraId="2E74928D" w14:textId="77777777" w:rsidR="000A00D8" w:rsidRDefault="00000000">
      <w:r>
        <w:t xml:space="preserve">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estimates the average effect of contact on policy preferences;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how much perceived deservingness of incarcerated people influences policy support;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reflects policy help attitudes. The term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oMath>
      <w:r>
        <w:t xml:space="preserve"> represents control covariates, while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14:paraId="4926E96A" w14:textId="77777777" w:rsidR="000A00D8" w:rsidRDefault="00000000">
      <w:r>
        <w:rPr>
          <w:b/>
          <w:bCs/>
        </w:rPr>
        <w:t>Alternative hypotheses &amp; robustness checks</w:t>
      </w:r>
    </w:p>
    <w:p w14:paraId="74D55834" w14:textId="77777777" w:rsidR="000A00D8" w:rsidRDefault="00000000">
      <w:r>
        <w:rPr>
          <w:b/>
          <w:bCs/>
        </w:rPr>
        <w:lastRenderedPageBreak/>
        <w:t>Alternative: Contact Predicts Punitiveness?</w:t>
      </w:r>
    </w:p>
    <w:p w14:paraId="37A5B4C8" w14:textId="77777777" w:rsidR="000A00D8"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6B153A17" w14:textId="77777777" w:rsidR="000A00D8" w:rsidRDefault="00000000">
      <w:r>
        <w:rPr>
          <w:b/>
          <w:bCs/>
        </w:rPr>
        <w:t>Alternative Deservingness Predicts Punitiveness</w:t>
      </w:r>
    </w:p>
    <w:p w14:paraId="2862719A" w14:textId="77777777" w:rsidR="000A00D8"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63ACF47D" w14:textId="77777777" w:rsidR="000A00D8" w:rsidRDefault="00000000">
      <w:r>
        <w:t>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14:paraId="7D2C4D8D" w14:textId="77777777" w:rsidR="000A00D8" w:rsidRDefault="00000000">
      <w:r>
        <w:t>Should I include the full model somewhere (tweaking):</w:t>
      </w:r>
    </w:p>
    <w:p w14:paraId="27A81AE0" w14:textId="77777777" w:rsidR="000A00D8" w:rsidRDefault="00000000">
      <m:oMathPara>
        <m:oMathParaPr>
          <m:jc m:val="center"/>
        </m:oMathParaPr>
        <m:oMath>
          <m:sSub>
            <m:sSubPr>
              <m:ctrlPr>
                <w:rPr>
                  <w:rFonts w:ascii="Cambria Math" w:hAnsi="Cambria Math"/>
                </w:rPr>
              </m:ctrlPr>
            </m:sSubPr>
            <m:e>
              <m:r>
                <m:rPr>
                  <m:nor/>
                </m:rPr>
                <m:t>prisoner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Victim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Republican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Democrat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Punitive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PenalPunitiveness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DeservingHelpGroups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m:rPr>
                  <m:nor/>
                </m:rPr>
                <m:t>Black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m:rPr>
                  <m:nor/>
                </m:rPr>
                <m:t>Hispanic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m:rPr>
                  <m:nor/>
                </m:rPr>
                <m:t>OtherRace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71BD891" w14:textId="77777777" w:rsidR="000A00D8" w:rsidRDefault="00CC5719">
      <w:r>
        <w:rPr>
          <w:noProof/>
        </w:rPr>
        <w:pict w14:anchorId="1F2DC8DA">
          <v:rect id="_x0000_i1025" alt="" style="width:468pt;height:.05pt;mso-width-percent:0;mso-height-percent:0;mso-width-percent:0;mso-height-percent:0" o:hralign="center" o:hrstd="t" o:hr="t"/>
        </w:pict>
      </w:r>
    </w:p>
    <w:p w14:paraId="025020AD" w14:textId="77777777" w:rsidR="000A00D8" w:rsidRDefault="00000000">
      <w:pPr>
        <w:pStyle w:val="Heading1"/>
      </w:pPr>
      <w:bookmarkStart w:id="15" w:name="implications"/>
      <w:bookmarkStart w:id="16" w:name="_Toc195628914"/>
      <w:bookmarkEnd w:id="11"/>
      <w:bookmarkEnd w:id="13"/>
      <w:bookmarkEnd w:id="14"/>
      <w:r>
        <w:t>1. Implications</w:t>
      </w:r>
      <w:bookmarkEnd w:id="16"/>
    </w:p>
    <w:p w14:paraId="570232D6" w14:textId="77777777" w:rsidR="000A00D8" w:rsidRDefault="00000000">
      <w:r>
        <w:t>. . .</w:t>
      </w:r>
    </w:p>
    <w:p w14:paraId="0A65191C" w14:textId="77777777" w:rsidR="000A00D8" w:rsidRDefault="00000000">
      <w:r>
        <w:t xml:space="preserve">[^1] Schneider and Ingram’s theory of social construction goes on to note that policymakers respond not only to their constituencies’ perceptions of target deservingness, but also to the political power of target groups, or their ability to ability to access, reward, and/or retaliate against policymakers. These interacting dimensions (power and deservingness) produce four categories of groups in society, to whom policy makers respond with distinct policy. Policymakers are incentivized to help groups who are “advantaged” – both powerful and </w:t>
      </w:r>
      <w:r>
        <w:lastRenderedPageBreak/>
        <w:t>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Faricy 2020).</w:t>
      </w:r>
    </w:p>
    <w:p w14:paraId="6380F7B9" w14:textId="77777777" w:rsidR="000A00D8" w:rsidRDefault="00000000">
      <w:r>
        <w:t>[^SossNewman] ….impulse to self-differentiate may motivate individuals who experience arrest alone to maintain distinct narratives — given that contact with policies that convey ‘undeserving’ messages can motivate beneficiaries to differentiate themselves and their networks from other beneficiaries, for whom they maintain negative social constructions (Soss 2005), and neighborhood inequality motivates a belief in meritocracy for affluent individuals (Newman et al 2014).</w:t>
      </w:r>
    </w:p>
    <w:p w14:paraId="65AC6905" w14:textId="77777777" w:rsidR="000A00D8" w:rsidRDefault="00000000">
      <w:r>
        <w:t>[^3] Fresh (2024) finds that the rise of punitive attitudes in the late twentieth century was not simply a response to crime rates or victimization, but was structured by racialized political appeals that mobilized white voters, particularly in the South. Together, these findings suggest that victims may hold complex policy views and may diverge in reality from narratives used to justify their punishment-oriented representation.</w:t>
      </w:r>
    </w:p>
    <w:p w14:paraId="2245C57A" w14:textId="77777777" w:rsidR="000A00D8" w:rsidRDefault="00000000">
      <w:r>
        <w:t>[]In the criminal legal domain, these representations are often shaped by racialized media portrayals and political discourse that emphasize danger and individual blame (Lopez 2015; Vasiljevic and Viki 2014)</w:t>
      </w:r>
    </w:p>
    <w:p w14:paraId="69B598EF" w14:textId="77777777" w:rsidR="000A00D8" w:rsidRDefault="00000000">
      <w:r>
        <w:t>[] For example, contact may lead individuals to see incarcerated people as facing substantial hardships (</w:t>
      </w:r>
      <w:r>
        <w:rPr>
          <w:i/>
          <w:iCs/>
        </w:rPr>
        <w:t>need</w:t>
      </w:r>
      <w:r>
        <w:t>), with less control over the conditions that led to incarceration (</w:t>
      </w:r>
      <w:r>
        <w:rPr>
          <w:i/>
          <w:iCs/>
        </w:rPr>
        <w:t>control</w:t>
      </w:r>
      <w:r>
        <w:t>), and as capable of gratitude, growth, or giving back (</w:t>
      </w:r>
      <w:r>
        <w:rPr>
          <w:i/>
          <w:iCs/>
        </w:rPr>
        <w:t>reciprocity</w:t>
      </w:r>
      <w:r>
        <w:t xml:space="preserve">, </w:t>
      </w:r>
      <w:r>
        <w:rPr>
          <w:i/>
          <w:iCs/>
        </w:rPr>
        <w:t>attitude</w:t>
      </w:r>
      <w:r>
        <w:t xml:space="preserve">). In contrast to dominant constructions that depict incarcerated people as undeserving, contact may “fill in” these criteria with lived or vicarious knowledge. On this dimension, then, contact may generate warmer </w:t>
      </w:r>
      <w:r>
        <w:lastRenderedPageBreak/>
        <w:t>deservingness perceptions by replacing stereotypes with personalized, alternative narratives about who carceral citizens are and what their conditions and the consequences of confinement.</w:t>
      </w:r>
    </w:p>
    <w:p w14:paraId="76B8EAD4" w14:textId="77777777" w:rsidR="000A00D8" w:rsidRDefault="00000000">
      <w:r>
        <w:t>[^10] This literature also variations by policy type vis-a-vis hidden or visible policy, 1st and second order effects, and non-effects (Mettler 2011, Soss and Schram 2007, SoRelle 202).</w:t>
      </w:r>
    </w:p>
    <w:p w14:paraId="2F15B756" w14:textId="77777777" w:rsidR="000A00D8" w:rsidRDefault="00000000">
      <w:r>
        <w:t>[^12] Soss (1999) explains a tendancy of recipients of 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 “undeserving” perception of their own beneficiary group, but also splinters any sense of group solidarity and disaggregates policy views from perceptions of beneficiary deservingness.</w:t>
      </w:r>
    </w:p>
    <w:p w14:paraId="6F271C81" w14:textId="77777777" w:rsidR="000A00D8" w:rsidRDefault="00000000">
      <w:r>
        <w:t>[]One notable exception is Levine and Russell (2023), who show how the design and financing of victim compensation law constructs victims as morally deserving and politically worthy, helping expand state responsibility. Yet even here, the analysis centers on state building and symbolic policy meaning—rather than how victimization itself may function as a form of lived experience that may alter how individuals perceive the state, it’s targets, and what policies they deserve</w:t>
      </w:r>
    </w:p>
    <w:p w14:paraId="4A7D7EE4" w14:textId="77777777" w:rsidR="000A00D8" w:rsidRDefault="00000000">
      <w:r>
        <w:t>[^2]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(Wolff et al 2009).</w:t>
      </w:r>
    </w:p>
    <w:p w14:paraId="4B79DEBF" w14:textId="77777777" w:rsidR="000A00D8" w:rsidRDefault="00000000">
      <w:r>
        <w:t>[^4] Explain sorting into ABC. Survey participants were randomly assorded into three sections (A, B, and C). All respondents saw the same 45 (</w:t>
      </w:r>
      <w:r>
        <w:rPr>
          <w:i/>
          <w:iCs/>
        </w:rPr>
        <w:t>double check)</w:t>
      </w:r>
      <w:r>
        <w:t xml:space="preserve"> groups. Each section then reviewed an additional (20) unique groups.</w:t>
      </w:r>
    </w:p>
    <w:p w14:paraId="1D633123" w14:textId="77777777" w:rsidR="000A00D8" w:rsidRDefault="00000000">
      <w:r>
        <w:lastRenderedPageBreak/>
        <w:t>[^5] The underrepresentation of Republicans may have a minimizing effect.</w:t>
      </w:r>
    </w:p>
    <w:p w14:paraId="0160C6D6" w14:textId="77777777" w:rsidR="000A00D8" w:rsidRDefault="00000000">
      <w:r>
        <w:t>[^6] 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retributive justifications for punishment, and value commitments to law and order that are often fundamental to conservative ideology (Burton et al 2020, Mancici et al 2021, Wilson et al 2015).</w:t>
      </w:r>
    </w:p>
    <w:p w14:paraId="78B8BF47" w14:textId="77777777" w:rsidR="000A00D8" w:rsidRDefault="00000000">
      <w:r>
        <w:t>[^7] To reduce potential ordering effects and context bias, the survey randomized the presentation of (1) deservingness target groups, (2) the order of major survey sections, and (3) the assignment of additional deservingness targets beyond a shared core set. Specifically, all respondents rated a common set of groups—including “incarcerated people,” “criminals,” and “incarcerated women”—while a subset of respondents were randomized into seeing additional groups such as “incarcerated parents,” “sex offenders,” or “formerly incarcerated individuals.” Respondents also completed survey modules in varied order (e.g., deservingness, policy preferences, and ideology), and the ordering of target groups within the deservingness battery was fully randomized.</w:t>
      </w:r>
    </w:p>
    <w:p w14:paraId="628F0832" w14:textId="77777777" w:rsidR="000A00D8" w:rsidRDefault="00000000">
      <w:r>
        <w:t>To assess whether results are sensitive to these randomized elements, I conducted a series of robustness checks. First, I tested whether the </w:t>
      </w:r>
      <w:r>
        <w:rPr>
          <w:i/>
          <w:iCs/>
        </w:rPr>
        <w:t>position</w:t>
      </w:r>
      <w:r>
        <w:t> of a group within the list influenced its average rating. Regressing deservingness scores on group order (with respondent-level controls) revealed no significant trends, suggesting minimal fatigue or anchoring effects. Second, I examined whether the order of survey modules affected the relationship between key predictors (e.g., deservingness or ideology) and outcomes. These models revealed no systematic variation in effect sizes or significance based on presentation order. Finally, I re-estimated core models separately within each randomized assignment block (e.g., those who rated “sex offenders” vs. “incarcerated parents”). Results were substantively consistent across groups, indicating that exposure to additional deservingness targets did not meaningfully alter the relationship between perceptions of incarcerated people and policy attitudes.</w:t>
      </w:r>
    </w:p>
    <w:p w14:paraId="243A3FDB" w14:textId="77777777" w:rsidR="000A00D8" w:rsidRDefault="00000000">
      <w:r>
        <w:lastRenderedPageBreak/>
        <w:t>Taken together, these checks help determine whether findings are robust to random variation in the presentation and structure of the survey. Full regression tables for all robustness checks are available in the appendix (Tables A#–A#).</w:t>
      </w:r>
    </w:p>
    <w:p w14:paraId="69B0784B" w14:textId="77777777" w:rsidR="000A00D8" w:rsidRDefault="00000000">
      <w:r>
        <w:t>[^8] go through policies here</w:t>
      </w:r>
    </w:p>
    <w:p w14:paraId="3203B6E1" w14:textId="77777777" w:rsidR="000A00D8" w:rsidRDefault="00000000">
      <w:r>
        <w:t>[^9] explain why ed and rural/urban is important here.</w:t>
      </w:r>
    </w:p>
    <w:p w14:paraId="538BA337" w14:textId="77777777" w:rsidR="000A00D8" w:rsidRDefault="00000000">
      <w:pPr>
        <w:pStyle w:val="Heading1"/>
      </w:pPr>
      <w:bookmarkStart w:id="17" w:name="references"/>
      <w:bookmarkStart w:id="18" w:name="_Toc195628915"/>
      <w:bookmarkEnd w:id="15"/>
      <w:r>
        <w:t>2. References</w:t>
      </w:r>
      <w:bookmarkEnd w:id="18"/>
    </w:p>
    <w:p w14:paraId="2F0147C7" w14:textId="77777777" w:rsidR="000A00D8" w:rsidRDefault="00000000">
      <w:pPr>
        <w:pStyle w:val="Heading2"/>
      </w:pPr>
      <w:bookmarkStart w:id="19" w:name="appendix"/>
      <w:bookmarkStart w:id="20" w:name="_Toc195628916"/>
      <w:r>
        <w:t>2.1 Appendix</w:t>
      </w:r>
      <w:bookmarkEnd w:id="20"/>
    </w:p>
    <w:p w14:paraId="5F2B6C1E" w14:textId="77777777" w:rsidR="000A00D8" w:rsidRDefault="00000000">
      <w:pPr>
        <w:pStyle w:val="Heading4"/>
      </w:pPr>
      <w:bookmarkStart w:id="21" w:name="variable-directory"/>
      <w:r>
        <w:t>2.1.0.1 Variable Directory</w:t>
      </w:r>
    </w:p>
    <w:p w14:paraId="1FDF9809" w14:textId="77777777" w:rsidR="000A00D8" w:rsidRDefault="00000000">
      <w:pPr>
        <w:pStyle w:val="Heading3"/>
      </w:pPr>
      <w:bookmarkStart w:id="22" w:name="variable-dictionary"/>
      <w:bookmarkStart w:id="23" w:name="_Toc195628917"/>
      <w:bookmarkEnd w:id="21"/>
      <w:r>
        <w:t>2.1.1 Variable Dictionary</w:t>
      </w:r>
      <w:bookmarkEnd w:id="23"/>
    </w:p>
    <w:tbl>
      <w:tblPr>
        <w:tblW w:w="5000" w:type="pct"/>
        <w:tblLayout w:type="fixed"/>
        <w:tblLook w:val="0020" w:firstRow="1" w:lastRow="0" w:firstColumn="0" w:lastColumn="0" w:noHBand="0" w:noVBand="0"/>
      </w:tblPr>
      <w:tblGrid>
        <w:gridCol w:w="2340"/>
        <w:gridCol w:w="2340"/>
        <w:gridCol w:w="4680"/>
      </w:tblGrid>
      <w:tr w:rsidR="000A00D8" w14:paraId="6C79CC3B" w14:textId="77777777">
        <w:trPr>
          <w:tblHeader/>
        </w:trPr>
        <w:tc>
          <w:tcPr>
            <w:tcW w:w="1980" w:type="dxa"/>
          </w:tcPr>
          <w:p w14:paraId="5FD862A4" w14:textId="77777777" w:rsidR="000A00D8" w:rsidRDefault="00000000">
            <w:r>
              <w:t>Variable Name</w:t>
            </w:r>
          </w:p>
        </w:tc>
        <w:tc>
          <w:tcPr>
            <w:tcW w:w="1980" w:type="dxa"/>
          </w:tcPr>
          <w:p w14:paraId="0B4D1176" w14:textId="77777777" w:rsidR="000A00D8" w:rsidRDefault="00000000">
            <w:r>
              <w:t>Type</w:t>
            </w:r>
          </w:p>
        </w:tc>
        <w:tc>
          <w:tcPr>
            <w:tcW w:w="3960" w:type="dxa"/>
          </w:tcPr>
          <w:p w14:paraId="26A39437" w14:textId="77777777" w:rsidR="000A00D8" w:rsidRDefault="00000000">
            <w:r>
              <w:t>Description</w:t>
            </w:r>
          </w:p>
        </w:tc>
      </w:tr>
      <w:tr w:rsidR="000A00D8" w14:paraId="44601A53" w14:textId="77777777">
        <w:tc>
          <w:tcPr>
            <w:tcW w:w="1980" w:type="dxa"/>
          </w:tcPr>
          <w:p w14:paraId="179CF3DD" w14:textId="77777777" w:rsidR="000A00D8" w:rsidRDefault="00000000">
            <w:r>
              <w:t>impact</w:t>
            </w:r>
          </w:p>
        </w:tc>
        <w:tc>
          <w:tcPr>
            <w:tcW w:w="1980" w:type="dxa"/>
          </w:tcPr>
          <w:p w14:paraId="7B4425A5" w14:textId="77777777" w:rsidR="000A00D8" w:rsidRDefault="00000000">
            <w:r>
              <w:t>Binary</w:t>
            </w:r>
          </w:p>
        </w:tc>
        <w:tc>
          <w:tcPr>
            <w:tcW w:w="3960" w:type="dxa"/>
          </w:tcPr>
          <w:p w14:paraId="00652C46" w14:textId="77777777" w:rsidR="000A00D8" w:rsidRDefault="00000000">
            <w:r>
              <w:t>Any carceral or victimization contact</w:t>
            </w:r>
          </w:p>
        </w:tc>
      </w:tr>
      <w:tr w:rsidR="000A00D8" w14:paraId="3EE9179A" w14:textId="77777777">
        <w:tc>
          <w:tcPr>
            <w:tcW w:w="1980" w:type="dxa"/>
          </w:tcPr>
          <w:p w14:paraId="35DEB207" w14:textId="77777777" w:rsidR="000A00D8" w:rsidRDefault="00000000">
            <w:r>
              <w:t>incarc</w:t>
            </w:r>
          </w:p>
        </w:tc>
        <w:tc>
          <w:tcPr>
            <w:tcW w:w="1980" w:type="dxa"/>
          </w:tcPr>
          <w:p w14:paraId="3B609088" w14:textId="77777777" w:rsidR="000A00D8" w:rsidRDefault="00000000">
            <w:r>
              <w:t>Binary</w:t>
            </w:r>
          </w:p>
        </w:tc>
        <w:tc>
          <w:tcPr>
            <w:tcW w:w="3960" w:type="dxa"/>
          </w:tcPr>
          <w:p w14:paraId="02959105" w14:textId="77777777" w:rsidR="000A00D8" w:rsidRDefault="00000000">
            <w:r>
              <w:t>Has been incarcerated</w:t>
            </w:r>
          </w:p>
        </w:tc>
      </w:tr>
      <w:tr w:rsidR="000A00D8" w14:paraId="3D153EA2" w14:textId="77777777">
        <w:tc>
          <w:tcPr>
            <w:tcW w:w="1980" w:type="dxa"/>
          </w:tcPr>
          <w:p w14:paraId="0F3B3DED" w14:textId="77777777" w:rsidR="000A00D8" w:rsidRDefault="00000000">
            <w:r>
              <w:t>knowincarc</w:t>
            </w:r>
          </w:p>
        </w:tc>
        <w:tc>
          <w:tcPr>
            <w:tcW w:w="1980" w:type="dxa"/>
          </w:tcPr>
          <w:p w14:paraId="6EC36272" w14:textId="77777777" w:rsidR="000A00D8" w:rsidRDefault="00000000">
            <w:r>
              <w:t>Binary</w:t>
            </w:r>
          </w:p>
        </w:tc>
        <w:tc>
          <w:tcPr>
            <w:tcW w:w="3960" w:type="dxa"/>
          </w:tcPr>
          <w:p w14:paraId="58A495D7" w14:textId="77777777" w:rsidR="000A00D8" w:rsidRDefault="00000000">
            <w:r>
              <w:t>Knows someone incarcerated</w:t>
            </w:r>
          </w:p>
        </w:tc>
      </w:tr>
      <w:tr w:rsidR="000A00D8" w14:paraId="176861B4" w14:textId="77777777">
        <w:tc>
          <w:tcPr>
            <w:tcW w:w="1980" w:type="dxa"/>
          </w:tcPr>
          <w:p w14:paraId="7310AB69" w14:textId="77777777" w:rsidR="000A00D8" w:rsidRDefault="00000000">
            <w:r>
              <w:t>vict</w:t>
            </w:r>
          </w:p>
        </w:tc>
        <w:tc>
          <w:tcPr>
            <w:tcW w:w="1980" w:type="dxa"/>
          </w:tcPr>
          <w:p w14:paraId="618CBDD3" w14:textId="77777777" w:rsidR="000A00D8" w:rsidRDefault="00000000">
            <w:r>
              <w:t>Binary</w:t>
            </w:r>
          </w:p>
        </w:tc>
        <w:tc>
          <w:tcPr>
            <w:tcW w:w="3960" w:type="dxa"/>
          </w:tcPr>
          <w:p w14:paraId="6F5B2A08" w14:textId="77777777" w:rsidR="000A00D8" w:rsidRDefault="00000000">
            <w:r>
              <w:t>Has been victim of violent crime</w:t>
            </w:r>
          </w:p>
        </w:tc>
      </w:tr>
      <w:tr w:rsidR="000A00D8" w14:paraId="608049FC" w14:textId="77777777">
        <w:tc>
          <w:tcPr>
            <w:tcW w:w="1980" w:type="dxa"/>
          </w:tcPr>
          <w:p w14:paraId="1A790657" w14:textId="77777777" w:rsidR="000A00D8" w:rsidRDefault="00000000">
            <w:r>
              <w:t>prisonerdeserves</w:t>
            </w:r>
          </w:p>
        </w:tc>
        <w:tc>
          <w:tcPr>
            <w:tcW w:w="1980" w:type="dxa"/>
          </w:tcPr>
          <w:p w14:paraId="2FF50A2E" w14:textId="77777777" w:rsidR="000A00D8" w:rsidRDefault="00000000">
            <w:r>
              <w:t>Continuous</w:t>
            </w:r>
          </w:p>
        </w:tc>
        <w:tc>
          <w:tcPr>
            <w:tcW w:w="3960" w:type="dxa"/>
          </w:tcPr>
          <w:p w14:paraId="669440A1" w14:textId="77777777" w:rsidR="000A00D8" w:rsidRDefault="00000000">
            <w:r>
              <w:t>Centered deservingness of incarcerated people</w:t>
            </w:r>
          </w:p>
        </w:tc>
      </w:tr>
      <w:tr w:rsidR="000A00D8" w14:paraId="3E4B8D79" w14:textId="77777777">
        <w:tc>
          <w:tcPr>
            <w:tcW w:w="1980" w:type="dxa"/>
          </w:tcPr>
          <w:p w14:paraId="34A33F29" w14:textId="77777777" w:rsidR="000A00D8" w:rsidRDefault="00000000">
            <w:r>
              <w:t>prisonhelp</w:t>
            </w:r>
          </w:p>
        </w:tc>
        <w:tc>
          <w:tcPr>
            <w:tcW w:w="1980" w:type="dxa"/>
          </w:tcPr>
          <w:p w14:paraId="75BACFF9" w14:textId="77777777" w:rsidR="000A00D8" w:rsidRDefault="00000000">
            <w:r>
              <w:t>Index</w:t>
            </w:r>
          </w:p>
        </w:tc>
        <w:tc>
          <w:tcPr>
            <w:tcW w:w="3960" w:type="dxa"/>
          </w:tcPr>
          <w:p w14:paraId="1AC9799F" w14:textId="77777777" w:rsidR="000A00D8" w:rsidRDefault="00000000">
            <w:r>
              <w:t>Support for prison-assistance policies</w:t>
            </w:r>
          </w:p>
        </w:tc>
      </w:tr>
      <w:tr w:rsidR="000A00D8" w14:paraId="2D95A651" w14:textId="77777777">
        <w:tc>
          <w:tcPr>
            <w:tcW w:w="1980" w:type="dxa"/>
          </w:tcPr>
          <w:p w14:paraId="737F2416" w14:textId="77777777" w:rsidR="000A00D8" w:rsidRDefault="00000000">
            <w:r>
              <w:t>prisonpen</w:t>
            </w:r>
          </w:p>
        </w:tc>
        <w:tc>
          <w:tcPr>
            <w:tcW w:w="1980" w:type="dxa"/>
          </w:tcPr>
          <w:p w14:paraId="6F98449E" w14:textId="77777777" w:rsidR="000A00D8" w:rsidRDefault="00000000">
            <w:r>
              <w:t>Index</w:t>
            </w:r>
          </w:p>
        </w:tc>
        <w:tc>
          <w:tcPr>
            <w:tcW w:w="3960" w:type="dxa"/>
          </w:tcPr>
          <w:p w14:paraId="3F8D5F81" w14:textId="77777777" w:rsidR="000A00D8" w:rsidRDefault="00000000">
            <w:r>
              <w:t>Support for punitive carceral policies</w:t>
            </w:r>
          </w:p>
        </w:tc>
      </w:tr>
      <w:tr w:rsidR="000A00D8" w14:paraId="1309EE91" w14:textId="77777777">
        <w:tc>
          <w:tcPr>
            <w:tcW w:w="1980" w:type="dxa"/>
          </w:tcPr>
          <w:p w14:paraId="611A2BB8" w14:textId="77777777" w:rsidR="000A00D8" w:rsidRDefault="00000000">
            <w:r>
              <w:lastRenderedPageBreak/>
              <w:t>variance_help</w:t>
            </w:r>
          </w:p>
        </w:tc>
        <w:tc>
          <w:tcPr>
            <w:tcW w:w="1980" w:type="dxa"/>
          </w:tcPr>
          <w:p w14:paraId="440C17D2" w14:textId="77777777" w:rsidR="000A00D8" w:rsidRDefault="00000000">
            <w:r>
              <w:t>Continuous</w:t>
            </w:r>
          </w:p>
        </w:tc>
        <w:tc>
          <w:tcPr>
            <w:tcW w:w="3960" w:type="dxa"/>
          </w:tcPr>
          <w:p w14:paraId="1EFAB54C" w14:textId="77777777" w:rsidR="000A00D8" w:rsidRDefault="00000000">
            <w:r>
              <w:t>Variance across prison-help policy support items</w:t>
            </w:r>
          </w:p>
        </w:tc>
      </w:tr>
      <w:tr w:rsidR="000A00D8" w14:paraId="038DD54F" w14:textId="77777777">
        <w:tc>
          <w:tcPr>
            <w:tcW w:w="1980" w:type="dxa"/>
          </w:tcPr>
          <w:p w14:paraId="7F11EEDD" w14:textId="77777777" w:rsidR="000A00D8" w:rsidRDefault="00000000">
            <w:r>
              <w:t>sd_help</w:t>
            </w:r>
          </w:p>
        </w:tc>
        <w:tc>
          <w:tcPr>
            <w:tcW w:w="1980" w:type="dxa"/>
          </w:tcPr>
          <w:p w14:paraId="6E058B58" w14:textId="77777777" w:rsidR="000A00D8" w:rsidRDefault="00000000">
            <w:r>
              <w:t>Continuous</w:t>
            </w:r>
          </w:p>
        </w:tc>
        <w:tc>
          <w:tcPr>
            <w:tcW w:w="3960" w:type="dxa"/>
          </w:tcPr>
          <w:p w14:paraId="65BFA0EF" w14:textId="77777777" w:rsidR="000A00D8" w:rsidRDefault="00000000">
            <w:r>
              <w:t>Standard deviation of help-policy support items</w:t>
            </w:r>
          </w:p>
        </w:tc>
      </w:tr>
      <w:tr w:rsidR="000A00D8" w14:paraId="5B1B7FC1" w14:textId="77777777">
        <w:tc>
          <w:tcPr>
            <w:tcW w:w="1980" w:type="dxa"/>
          </w:tcPr>
          <w:p w14:paraId="733CDB10" w14:textId="77777777" w:rsidR="000A00D8" w:rsidRDefault="00000000">
            <w:r>
              <w:t>polorientation / pol-or</w:t>
            </w:r>
          </w:p>
        </w:tc>
        <w:tc>
          <w:tcPr>
            <w:tcW w:w="1980" w:type="dxa"/>
          </w:tcPr>
          <w:p w14:paraId="00ACEAD4" w14:textId="77777777" w:rsidR="000A00D8" w:rsidRDefault="00000000">
            <w:r>
              <w:t>Index</w:t>
            </w:r>
          </w:p>
        </w:tc>
        <w:tc>
          <w:tcPr>
            <w:tcW w:w="3960" w:type="dxa"/>
          </w:tcPr>
          <w:p w14:paraId="04B97DCB" w14:textId="77777777" w:rsidR="000A00D8" w:rsidRDefault="00000000">
            <w:r>
              <w:t>General orientation toward social policy help</w:t>
            </w:r>
          </w:p>
        </w:tc>
      </w:tr>
      <w:tr w:rsidR="000A00D8" w14:paraId="18C1B6BE" w14:textId="77777777">
        <w:tc>
          <w:tcPr>
            <w:tcW w:w="1980" w:type="dxa"/>
          </w:tcPr>
          <w:p w14:paraId="4900FE7D" w14:textId="77777777" w:rsidR="000A00D8" w:rsidRDefault="00000000">
            <w:r>
              <w:t>desor</w:t>
            </w:r>
          </w:p>
        </w:tc>
        <w:tc>
          <w:tcPr>
            <w:tcW w:w="1980" w:type="dxa"/>
          </w:tcPr>
          <w:p w14:paraId="462FE72A" w14:textId="77777777" w:rsidR="000A00D8" w:rsidRDefault="00000000">
            <w:r>
              <w:t>Continuous</w:t>
            </w:r>
          </w:p>
        </w:tc>
        <w:tc>
          <w:tcPr>
            <w:tcW w:w="3960" w:type="dxa"/>
          </w:tcPr>
          <w:p w14:paraId="36C4035C" w14:textId="77777777" w:rsidR="000A00D8" w:rsidRDefault="00000000">
            <w:r>
              <w:t>Centered deservingness of help-receiving groups</w:t>
            </w:r>
          </w:p>
        </w:tc>
      </w:tr>
      <w:tr w:rsidR="000A00D8" w14:paraId="42C6CA0E" w14:textId="77777777">
        <w:tc>
          <w:tcPr>
            <w:tcW w:w="1980" w:type="dxa"/>
          </w:tcPr>
          <w:p w14:paraId="5A8C5417" w14:textId="77777777" w:rsidR="000A00D8" w:rsidRDefault="00000000">
            <w:r>
              <w:t>Republican</w:t>
            </w:r>
          </w:p>
        </w:tc>
        <w:tc>
          <w:tcPr>
            <w:tcW w:w="1980" w:type="dxa"/>
          </w:tcPr>
          <w:p w14:paraId="5482D19E" w14:textId="77777777" w:rsidR="000A00D8" w:rsidRDefault="00000000">
            <w:r>
              <w:t>Dummy</w:t>
            </w:r>
          </w:p>
        </w:tc>
        <w:tc>
          <w:tcPr>
            <w:tcW w:w="3960" w:type="dxa"/>
          </w:tcPr>
          <w:p w14:paraId="39B07D61" w14:textId="77777777" w:rsidR="000A00D8" w:rsidRDefault="00000000">
            <w:r>
              <w:t>Identifies as Republican</w:t>
            </w:r>
          </w:p>
        </w:tc>
      </w:tr>
      <w:tr w:rsidR="000A00D8" w14:paraId="5A464010" w14:textId="77777777">
        <w:tc>
          <w:tcPr>
            <w:tcW w:w="1980" w:type="dxa"/>
          </w:tcPr>
          <w:p w14:paraId="5F42506D" w14:textId="77777777" w:rsidR="000A00D8" w:rsidRDefault="00000000">
            <w:r>
              <w:t>Democrat</w:t>
            </w:r>
          </w:p>
        </w:tc>
        <w:tc>
          <w:tcPr>
            <w:tcW w:w="1980" w:type="dxa"/>
          </w:tcPr>
          <w:p w14:paraId="0E146188" w14:textId="77777777" w:rsidR="000A00D8" w:rsidRDefault="00000000">
            <w:r>
              <w:t>Dummy</w:t>
            </w:r>
          </w:p>
        </w:tc>
        <w:tc>
          <w:tcPr>
            <w:tcW w:w="3960" w:type="dxa"/>
          </w:tcPr>
          <w:p w14:paraId="3EEE6284" w14:textId="77777777" w:rsidR="000A00D8" w:rsidRDefault="00000000">
            <w:r>
              <w:t>Identifies as Democrat</w:t>
            </w:r>
          </w:p>
        </w:tc>
      </w:tr>
      <w:tr w:rsidR="000A00D8" w14:paraId="7669C075" w14:textId="77777777">
        <w:tc>
          <w:tcPr>
            <w:tcW w:w="1980" w:type="dxa"/>
          </w:tcPr>
          <w:p w14:paraId="5414850C" w14:textId="77777777" w:rsidR="000A00D8" w:rsidRDefault="00000000">
            <w:r>
              <w:t>ideology</w:t>
            </w:r>
          </w:p>
        </w:tc>
        <w:tc>
          <w:tcPr>
            <w:tcW w:w="1980" w:type="dxa"/>
          </w:tcPr>
          <w:p w14:paraId="3240F208" w14:textId="77777777" w:rsidR="000A00D8" w:rsidRDefault="00000000">
            <w:r>
              <w:t>Index</w:t>
            </w:r>
          </w:p>
        </w:tc>
        <w:tc>
          <w:tcPr>
            <w:tcW w:w="3960" w:type="dxa"/>
          </w:tcPr>
          <w:p w14:paraId="0091DA20" w14:textId="77777777" w:rsidR="000A00D8" w:rsidRDefault="00000000">
            <w:r>
              <w:t>Political ideology (0 = liberal, 1 = conservative)</w:t>
            </w:r>
          </w:p>
        </w:tc>
      </w:tr>
      <w:tr w:rsidR="000A00D8" w14:paraId="068DEEA0" w14:textId="77777777">
        <w:tc>
          <w:tcPr>
            <w:tcW w:w="1980" w:type="dxa"/>
          </w:tcPr>
          <w:p w14:paraId="5209499B" w14:textId="77777777" w:rsidR="000A00D8" w:rsidRDefault="00000000">
            <w:r>
              <w:t>Punitive</w:t>
            </w:r>
          </w:p>
        </w:tc>
        <w:tc>
          <w:tcPr>
            <w:tcW w:w="1980" w:type="dxa"/>
          </w:tcPr>
          <w:p w14:paraId="4959A37D" w14:textId="77777777" w:rsidR="000A00D8" w:rsidRDefault="00000000">
            <w:r>
              <w:t>Index</w:t>
            </w:r>
          </w:p>
        </w:tc>
        <w:tc>
          <w:tcPr>
            <w:tcW w:w="3960" w:type="dxa"/>
          </w:tcPr>
          <w:p w14:paraId="0EE1C6A2" w14:textId="77777777" w:rsidR="000A00D8" w:rsidRDefault="00000000">
            <w:r>
              <w:t>General punitive orientation</w:t>
            </w:r>
          </w:p>
        </w:tc>
      </w:tr>
      <w:tr w:rsidR="000A00D8" w14:paraId="53EF7245" w14:textId="77777777">
        <w:tc>
          <w:tcPr>
            <w:tcW w:w="1980" w:type="dxa"/>
          </w:tcPr>
          <w:p w14:paraId="0E082554" w14:textId="77777777" w:rsidR="000A00D8" w:rsidRDefault="00000000">
            <w:r>
              <w:t>PenalPunitiveness</w:t>
            </w:r>
          </w:p>
        </w:tc>
        <w:tc>
          <w:tcPr>
            <w:tcW w:w="1980" w:type="dxa"/>
          </w:tcPr>
          <w:p w14:paraId="698CB9A4" w14:textId="77777777" w:rsidR="000A00D8" w:rsidRDefault="00000000">
            <w:r>
              <w:t>Ordinal / Rescaled</w:t>
            </w:r>
          </w:p>
        </w:tc>
        <w:tc>
          <w:tcPr>
            <w:tcW w:w="3960" w:type="dxa"/>
          </w:tcPr>
          <w:p w14:paraId="56BAB646" w14:textId="77777777" w:rsidR="000A00D8" w:rsidRDefault="00000000">
            <w:r>
              <w:t>Beliefs about punishment vs rehabilitation</w:t>
            </w:r>
          </w:p>
        </w:tc>
      </w:tr>
      <w:tr w:rsidR="000A00D8" w14:paraId="39002845" w14:textId="77777777">
        <w:tc>
          <w:tcPr>
            <w:tcW w:w="1980" w:type="dxa"/>
          </w:tcPr>
          <w:p w14:paraId="23FFAEEA" w14:textId="77777777" w:rsidR="000A00D8" w:rsidRDefault="00000000">
            <w:r>
              <w:t>PolicyDisposition</w:t>
            </w:r>
          </w:p>
        </w:tc>
        <w:tc>
          <w:tcPr>
            <w:tcW w:w="1980" w:type="dxa"/>
          </w:tcPr>
          <w:p w14:paraId="22E6056D" w14:textId="77777777" w:rsidR="000A00D8" w:rsidRDefault="00000000">
            <w:r>
              <w:t>Index</w:t>
            </w:r>
          </w:p>
        </w:tc>
        <w:tc>
          <w:tcPr>
            <w:tcW w:w="3960" w:type="dxa"/>
          </w:tcPr>
          <w:p w14:paraId="6D6AE5D6" w14:textId="77777777" w:rsidR="000A00D8" w:rsidRDefault="00000000">
            <w:r>
              <w:t>Support for redistributive and social help policies</w:t>
            </w:r>
          </w:p>
        </w:tc>
      </w:tr>
      <w:tr w:rsidR="000A00D8" w14:paraId="175B251C" w14:textId="77777777">
        <w:tc>
          <w:tcPr>
            <w:tcW w:w="1980" w:type="dxa"/>
          </w:tcPr>
          <w:p w14:paraId="5615BDB3" w14:textId="77777777" w:rsidR="000A00D8" w:rsidRDefault="00000000">
            <w:r>
              <w:t>racialresentment</w:t>
            </w:r>
          </w:p>
        </w:tc>
        <w:tc>
          <w:tcPr>
            <w:tcW w:w="1980" w:type="dxa"/>
          </w:tcPr>
          <w:p w14:paraId="1B1B65AE" w14:textId="77777777" w:rsidR="000A00D8" w:rsidRDefault="00000000">
            <w:r>
              <w:t>Index</w:t>
            </w:r>
          </w:p>
        </w:tc>
        <w:tc>
          <w:tcPr>
            <w:tcW w:w="3960" w:type="dxa"/>
          </w:tcPr>
          <w:p w14:paraId="05187C09" w14:textId="77777777" w:rsidR="000A00D8" w:rsidRDefault="00000000">
            <w:r>
              <w:t>Racial resentment scale (FIRE + Kinder items)</w:t>
            </w:r>
          </w:p>
        </w:tc>
      </w:tr>
      <w:tr w:rsidR="000A00D8" w14:paraId="7DB32B83" w14:textId="77777777">
        <w:tc>
          <w:tcPr>
            <w:tcW w:w="1980" w:type="dxa"/>
          </w:tcPr>
          <w:p w14:paraId="1EAB73B9" w14:textId="77777777" w:rsidR="000A00D8" w:rsidRDefault="00000000">
            <w:r>
              <w:t>gender</w:t>
            </w:r>
          </w:p>
        </w:tc>
        <w:tc>
          <w:tcPr>
            <w:tcW w:w="1980" w:type="dxa"/>
          </w:tcPr>
          <w:p w14:paraId="32833DCD" w14:textId="77777777" w:rsidR="000A00D8" w:rsidRDefault="00000000">
            <w:r>
              <w:t>Dummy</w:t>
            </w:r>
          </w:p>
        </w:tc>
        <w:tc>
          <w:tcPr>
            <w:tcW w:w="3960" w:type="dxa"/>
          </w:tcPr>
          <w:p w14:paraId="6FE6A0C9" w14:textId="77777777" w:rsidR="000A00D8" w:rsidRDefault="00000000">
            <w:r>
              <w:t>0 = woman/other, 1 = man</w:t>
            </w:r>
          </w:p>
        </w:tc>
      </w:tr>
      <w:tr w:rsidR="000A00D8" w14:paraId="58C40314" w14:textId="77777777">
        <w:tc>
          <w:tcPr>
            <w:tcW w:w="1980" w:type="dxa"/>
          </w:tcPr>
          <w:p w14:paraId="5D994164" w14:textId="77777777" w:rsidR="000A00D8" w:rsidRDefault="00000000">
            <w:r>
              <w:t>education</w:t>
            </w:r>
          </w:p>
        </w:tc>
        <w:tc>
          <w:tcPr>
            <w:tcW w:w="1980" w:type="dxa"/>
          </w:tcPr>
          <w:p w14:paraId="5B6E7C75" w14:textId="77777777" w:rsidR="000A00D8" w:rsidRDefault="00000000">
            <w:r>
              <w:t>Ordinal</w:t>
            </w:r>
          </w:p>
        </w:tc>
        <w:tc>
          <w:tcPr>
            <w:tcW w:w="3960" w:type="dxa"/>
          </w:tcPr>
          <w:p w14:paraId="38A97A42" w14:textId="77777777" w:rsidR="000A00D8" w:rsidRDefault="00000000">
            <w:r>
              <w:t>Educational attainment level</w:t>
            </w:r>
          </w:p>
        </w:tc>
      </w:tr>
      <w:tr w:rsidR="000A00D8" w14:paraId="0E962A8C" w14:textId="77777777">
        <w:tc>
          <w:tcPr>
            <w:tcW w:w="1980" w:type="dxa"/>
          </w:tcPr>
          <w:p w14:paraId="72B6EC95" w14:textId="77777777" w:rsidR="000A00D8" w:rsidRDefault="00000000">
            <w:r>
              <w:t>urban</w:t>
            </w:r>
          </w:p>
        </w:tc>
        <w:tc>
          <w:tcPr>
            <w:tcW w:w="1980" w:type="dxa"/>
          </w:tcPr>
          <w:p w14:paraId="6E9EF38E" w14:textId="77777777" w:rsidR="000A00D8" w:rsidRDefault="00000000">
            <w:r>
              <w:t>Dummy</w:t>
            </w:r>
          </w:p>
        </w:tc>
        <w:tc>
          <w:tcPr>
            <w:tcW w:w="3960" w:type="dxa"/>
          </w:tcPr>
          <w:p w14:paraId="62F29049" w14:textId="77777777" w:rsidR="000A00D8" w:rsidRDefault="00000000">
            <w:r>
              <w:t>0 = urban, 1 = non-urban</w:t>
            </w:r>
          </w:p>
        </w:tc>
      </w:tr>
      <w:tr w:rsidR="000A00D8" w14:paraId="1EB08F83" w14:textId="77777777">
        <w:tc>
          <w:tcPr>
            <w:tcW w:w="1980" w:type="dxa"/>
          </w:tcPr>
          <w:p w14:paraId="31EAF129" w14:textId="77777777" w:rsidR="000A00D8" w:rsidRDefault="00000000">
            <w:r>
              <w:lastRenderedPageBreak/>
              <w:t>Black, Hispanic, OtherRace</w:t>
            </w:r>
          </w:p>
        </w:tc>
        <w:tc>
          <w:tcPr>
            <w:tcW w:w="1980" w:type="dxa"/>
          </w:tcPr>
          <w:p w14:paraId="1D32837E" w14:textId="77777777" w:rsidR="000A00D8" w:rsidRDefault="00000000">
            <w:r>
              <w:t>Dummy</w:t>
            </w:r>
          </w:p>
        </w:tc>
        <w:tc>
          <w:tcPr>
            <w:tcW w:w="3960" w:type="dxa"/>
          </w:tcPr>
          <w:p w14:paraId="35EB4B32" w14:textId="77777777" w:rsidR="000A00D8" w:rsidRDefault="00000000">
            <w:r>
              <w:t>Racial group identifiers</w:t>
            </w:r>
          </w:p>
        </w:tc>
      </w:tr>
      <w:tr w:rsidR="000A00D8" w14:paraId="1D0FBC7D" w14:textId="77777777">
        <w:tc>
          <w:tcPr>
            <w:tcW w:w="1980" w:type="dxa"/>
          </w:tcPr>
          <w:p w14:paraId="767E5FF7" w14:textId="77777777" w:rsidR="000A00D8" w:rsidRDefault="00000000">
            <w:r>
              <w:t>impact × ideology</w:t>
            </w:r>
          </w:p>
        </w:tc>
        <w:tc>
          <w:tcPr>
            <w:tcW w:w="1980" w:type="dxa"/>
          </w:tcPr>
          <w:p w14:paraId="69347C97" w14:textId="77777777" w:rsidR="000A00D8" w:rsidRDefault="00000000">
            <w:r>
              <w:t>Interaction</w:t>
            </w:r>
          </w:p>
        </w:tc>
        <w:tc>
          <w:tcPr>
            <w:tcW w:w="3960" w:type="dxa"/>
          </w:tcPr>
          <w:p w14:paraId="1D9CA26C" w14:textId="77777777" w:rsidR="000A00D8" w:rsidRDefault="00000000">
            <w:r>
              <w:t>Tests moderation by ideology</w:t>
            </w:r>
          </w:p>
        </w:tc>
      </w:tr>
      <w:tr w:rsidR="000A00D8" w14:paraId="1CFDD2EC" w14:textId="77777777">
        <w:tc>
          <w:tcPr>
            <w:tcW w:w="1980" w:type="dxa"/>
          </w:tcPr>
          <w:p w14:paraId="7FBEC42C" w14:textId="77777777" w:rsidR="000A00D8" w:rsidRDefault="00000000">
            <w:r>
              <w:t>impact × race</w:t>
            </w:r>
          </w:p>
        </w:tc>
        <w:tc>
          <w:tcPr>
            <w:tcW w:w="1980" w:type="dxa"/>
          </w:tcPr>
          <w:p w14:paraId="5478D819" w14:textId="77777777" w:rsidR="000A00D8" w:rsidRDefault="00000000">
            <w:r>
              <w:t>Interaction</w:t>
            </w:r>
          </w:p>
        </w:tc>
        <w:tc>
          <w:tcPr>
            <w:tcW w:w="3960" w:type="dxa"/>
          </w:tcPr>
          <w:p w14:paraId="3B072AB2" w14:textId="77777777" w:rsidR="000A00D8" w:rsidRDefault="00000000">
            <w:r>
              <w:t>Tests moderation by race</w:t>
            </w:r>
          </w:p>
        </w:tc>
      </w:tr>
      <w:tr w:rsidR="000A00D8" w14:paraId="6925D761" w14:textId="77777777">
        <w:tc>
          <w:tcPr>
            <w:tcW w:w="1980" w:type="dxa"/>
          </w:tcPr>
          <w:p w14:paraId="50915C8F" w14:textId="77777777" w:rsidR="000A00D8" w:rsidRDefault="00000000">
            <w:r>
              <w:t>Deservingness × Contact</w:t>
            </w:r>
          </w:p>
        </w:tc>
        <w:tc>
          <w:tcPr>
            <w:tcW w:w="1980" w:type="dxa"/>
          </w:tcPr>
          <w:p w14:paraId="7398B5F5" w14:textId="77777777" w:rsidR="000A00D8" w:rsidRDefault="00000000">
            <w:r>
              <w:t>Interaction</w:t>
            </w:r>
          </w:p>
        </w:tc>
        <w:tc>
          <w:tcPr>
            <w:tcW w:w="3960" w:type="dxa"/>
          </w:tcPr>
          <w:p w14:paraId="44897A4E" w14:textId="77777777" w:rsidR="000A00D8" w:rsidRDefault="00000000">
            <w:r>
              <w:t>Moderation of deservingness effect</w:t>
            </w:r>
          </w:p>
        </w:tc>
      </w:tr>
      <w:tr w:rsidR="000A00D8" w14:paraId="5FC032C4" w14:textId="77777777">
        <w:tc>
          <w:tcPr>
            <w:tcW w:w="1980" w:type="dxa"/>
          </w:tcPr>
          <w:p w14:paraId="6BC4844B" w14:textId="77777777" w:rsidR="000A00D8" w:rsidRDefault="00000000">
            <w:r>
              <w:t>X_i' ⋅ controls</w:t>
            </w:r>
          </w:p>
        </w:tc>
        <w:tc>
          <w:tcPr>
            <w:tcW w:w="1980" w:type="dxa"/>
          </w:tcPr>
          <w:p w14:paraId="6D142C33" w14:textId="77777777" w:rsidR="000A00D8" w:rsidRDefault="00000000">
            <w:r>
              <w:t>Vector</w:t>
            </w:r>
          </w:p>
        </w:tc>
        <w:tc>
          <w:tcPr>
            <w:tcW w:w="3960" w:type="dxa"/>
          </w:tcPr>
          <w:p w14:paraId="39F0A394" w14:textId="77777777" w:rsidR="000A00D8" w:rsidRDefault="00000000">
            <w:r>
              <w:t>Full vector of demographic and attitudinal controls</w:t>
            </w:r>
          </w:p>
        </w:tc>
      </w:tr>
      <w:bookmarkEnd w:id="17"/>
      <w:bookmarkEnd w:id="19"/>
      <w:bookmarkEnd w:id="22"/>
    </w:tbl>
    <w:p w14:paraId="6B686669" w14:textId="77777777" w:rsidR="00CC5719" w:rsidRDefault="00CC5719"/>
    <w:sectPr w:rsidR="00CC5719" w:rsidSect="00B3053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D02D" w14:textId="77777777" w:rsidR="00CC5719" w:rsidRDefault="00CC5719">
      <w:pPr>
        <w:spacing w:before="0" w:after="0" w:line="240" w:lineRule="auto"/>
      </w:pPr>
      <w:r>
        <w:separator/>
      </w:r>
    </w:p>
  </w:endnote>
  <w:endnote w:type="continuationSeparator" w:id="0">
    <w:p w14:paraId="106AFF6C" w14:textId="77777777" w:rsidR="00CC5719" w:rsidRDefault="00CC57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
    <w:panose1 w:val="00000500000000000000"/>
    <w:charset w:val="80"/>
    <w:family w:val="auto"/>
    <w:pitch w:val="variable"/>
    <w:sig w:usb0="2000020F" w:usb1="08070003" w:usb2="00000010" w:usb3="00000000" w:csb0="00020197"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183E1BE1" w14:textId="77777777" w:rsidR="00000000"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351B8B">
          <w:rPr>
            <w:rStyle w:val="PageNumber"/>
          </w:rPr>
          <w:fldChar w:fldCharType="separate"/>
        </w:r>
        <w:r w:rsidR="00351B8B">
          <w:rPr>
            <w:rStyle w:val="PageNumber"/>
            <w:noProof/>
          </w:rPr>
          <w:t>16</w:t>
        </w:r>
        <w:r>
          <w:rPr>
            <w:rStyle w:val="PageNumber"/>
          </w:rPr>
          <w:fldChar w:fldCharType="end"/>
        </w:r>
      </w:p>
    </w:sdtContent>
  </w:sdt>
  <w:p w14:paraId="21C037AB" w14:textId="77777777" w:rsidR="00000000" w:rsidRDefault="00000000"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1D6BCCC7" w14:textId="77777777" w:rsidR="00000000"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9BAFC8" w14:textId="77777777" w:rsidR="00000000" w:rsidRDefault="00000000" w:rsidP="00B305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C773" w14:textId="77777777" w:rsidR="00CC5719" w:rsidRDefault="00CC5719">
      <w:r>
        <w:separator/>
      </w:r>
    </w:p>
  </w:footnote>
  <w:footnote w:type="continuationSeparator" w:id="0">
    <w:p w14:paraId="5CDAC58D" w14:textId="77777777" w:rsidR="00CC5719" w:rsidRDefault="00CC57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BEAB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5284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D2079B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638216208">
    <w:abstractNumId w:val="3"/>
  </w:num>
  <w:num w:numId="2" w16cid:durableId="359673956">
    <w:abstractNumId w:val="2"/>
  </w:num>
  <w:num w:numId="3" w16cid:durableId="568348965">
    <w:abstractNumId w:val="0"/>
  </w:num>
  <w:num w:numId="4" w16cid:durableId="2033604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D8"/>
    <w:rsid w:val="000A00D8"/>
    <w:rsid w:val="00351B8B"/>
    <w:rsid w:val="00C14B11"/>
    <w:rsid w:val="00CC5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6F588"/>
  <w15:docId w15:val="{8C4209DD-189B-C440-96F9-4EA42C4AA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00"/>
    <w:pPr>
      <w:adjustRightInd w:val="0"/>
      <w:spacing w:before="240" w:after="100" w:afterAutospacing="1" w:line="360" w:lineRule="auto"/>
    </w:pPr>
    <w:rPr>
      <w:rFonts w:ascii="Times New Roman" w:hAnsi="Times New Roman" w:cs="Times New Roman"/>
    </w:rPr>
  </w:style>
  <w:style w:type="paragraph" w:styleId="Heading1">
    <w:name w:val="heading 1"/>
    <w:basedOn w:val="Normal"/>
    <w:next w:val="Normal"/>
    <w:link w:val="Heading1Char"/>
    <w:uiPriority w:val="9"/>
    <w:qFormat/>
    <w:rsid w:val="00A13878"/>
    <w:pPr>
      <w:keepNext/>
      <w:keepLines/>
      <w:spacing w:before="360" w:after="80"/>
      <w:outlineLvl w:val="0"/>
    </w:pPr>
    <w:rPr>
      <w:rFonts w:ascii="Arial" w:eastAsiaTheme="majorEastAsia" w:hAnsi="Arial" w:cstheme="majorBidi"/>
      <w:color w:val="000000" w:themeColor="text1"/>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D1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7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7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7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7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pPr>
  </w:style>
  <w:style w:type="character" w:customStyle="1" w:styleId="Heading1Char">
    <w:name w:val="Heading 1 Char"/>
    <w:basedOn w:val="DefaultParagraphFont"/>
    <w:link w:val="Heading1"/>
    <w:uiPriority w:val="9"/>
    <w:rsid w:val="00A13878"/>
    <w:rPr>
      <w:rFonts w:ascii="Arial" w:eastAsiaTheme="majorEastAsia" w:hAnsi="Arial" w:cstheme="majorBidi"/>
      <w:color w:val="000000" w:themeColor="text1"/>
      <w:sz w:val="40"/>
      <w:szCs w:val="40"/>
    </w:rPr>
  </w:style>
  <w:style w:type="character" w:customStyle="1" w:styleId="Heading3Char">
    <w:name w:val="Heading 3 Char"/>
    <w:basedOn w:val="DefaultParagraphFont"/>
    <w:link w:val="Heading3"/>
    <w:uiPriority w:val="9"/>
    <w:semiHidden/>
    <w:rsid w:val="003D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D17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D17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D17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D17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D171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D17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7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7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D1712"/>
    <w:rPr>
      <w:i/>
      <w:iCs/>
      <w:color w:val="0F4761" w:themeColor="accent1" w:themeShade="BF"/>
    </w:rPr>
  </w:style>
  <w:style w:type="paragraph" w:styleId="IntenseQuote">
    <w:name w:val="Intense Quote"/>
    <w:basedOn w:val="Normal"/>
    <w:next w:val="Normal"/>
    <w:link w:val="IntenseQuoteChar"/>
    <w:uiPriority w:val="30"/>
    <w:qFormat/>
    <w:rsid w:val="003D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D1712"/>
    <w:rPr>
      <w:b/>
      <w:bCs/>
      <w:smallCaps/>
      <w:color w:val="0F4761" w:themeColor="accent1" w:themeShade="BF"/>
      <w:spacing w:val="5"/>
    </w:rPr>
  </w:style>
  <w:style w:type="paragraph" w:styleId="Footer">
    <w:name w:val="footer"/>
    <w:basedOn w:val="Normal"/>
    <w:link w:val="FooterChar"/>
    <w:uiPriority w:val="99"/>
    <w:unhideWhenUsed/>
    <w:rsid w:val="00B30532"/>
    <w:pPr>
      <w:tabs>
        <w:tab w:val="center" w:pos="4680"/>
        <w:tab w:val="right" w:pos="9360"/>
      </w:tabs>
    </w:pPr>
  </w:style>
  <w:style w:type="character" w:customStyle="1" w:styleId="FooterChar">
    <w:name w:val="Footer Char"/>
    <w:basedOn w:val="DefaultParagraphFont"/>
    <w:link w:val="Footer"/>
    <w:uiPriority w:val="99"/>
    <w:rsid w:val="00B30532"/>
    <w:rPr>
      <w:rFonts w:ascii="Open Sans" w:hAnsi="Open Sans" w:cs="Times New Roman"/>
      <w:sz w:val="22"/>
    </w:rPr>
  </w:style>
  <w:style w:type="character" w:styleId="PageNumber">
    <w:name w:val="page number"/>
    <w:basedOn w:val="DefaultParagraphFont"/>
    <w:uiPriority w:val="99"/>
    <w:semiHidden/>
    <w:unhideWhenUsed/>
    <w:rsid w:val="00B30532"/>
  </w:style>
  <w:style w:type="paragraph" w:styleId="Caption">
    <w:name w:val="caption"/>
    <w:basedOn w:val="Normal"/>
    <w:next w:val="Normal"/>
    <w:uiPriority w:val="35"/>
    <w:unhideWhenUsed/>
    <w:qFormat/>
    <w:rsid w:val="00A13878"/>
    <w:pPr>
      <w:spacing w:before="0" w:after="200" w:line="240" w:lineRule="auto"/>
    </w:pPr>
    <w:rPr>
      <w:i/>
      <w:iCs/>
      <w:color w:val="0E2841" w:themeColor="text2"/>
      <w:sz w:val="18"/>
      <w:szCs w:val="18"/>
    </w:rPr>
  </w:style>
  <w:style w:type="numbering" w:customStyle="1" w:styleId="CurrentList1">
    <w:name w:val="Current List1"/>
    <w:uiPriority w:val="99"/>
    <w:rsid w:val="00A62200"/>
    <w:pPr>
      <w:numPr>
        <w:numId w:val="2"/>
      </w:numPr>
    </w:p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2">
    <w:name w:val="toc 2"/>
    <w:basedOn w:val="Normal"/>
    <w:next w:val="Normal"/>
    <w:autoRedefine/>
    <w:uiPriority w:val="39"/>
    <w:unhideWhenUsed/>
    <w:rsid w:val="00351B8B"/>
    <w:pPr>
      <w:ind w:left="240"/>
    </w:pPr>
  </w:style>
  <w:style w:type="paragraph" w:styleId="TOC1">
    <w:name w:val="toc 1"/>
    <w:basedOn w:val="Normal"/>
    <w:next w:val="Normal"/>
    <w:autoRedefine/>
    <w:uiPriority w:val="39"/>
    <w:unhideWhenUsed/>
    <w:rsid w:val="00351B8B"/>
  </w:style>
  <w:style w:type="paragraph" w:styleId="TOC3">
    <w:name w:val="toc 3"/>
    <w:basedOn w:val="Normal"/>
    <w:next w:val="Normal"/>
    <w:autoRedefine/>
    <w:uiPriority w:val="39"/>
    <w:unhideWhenUsed/>
    <w:rsid w:val="00351B8B"/>
    <w:pPr>
      <w:ind w:left="480"/>
    </w:pPr>
  </w:style>
  <w:style w:type="character" w:styleId="Hyperlink">
    <w:name w:val="Hyperlink"/>
    <w:basedOn w:val="DefaultParagraphFont"/>
    <w:uiPriority w:val="99"/>
    <w:unhideWhenUsed/>
    <w:rsid w:val="00351B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9426</Words>
  <Characters>53733</Characters>
  <Application>Microsoft Office Word</Application>
  <DocSecurity>0</DocSecurity>
  <Lines>447</Lines>
  <Paragraphs>126</Paragraphs>
  <ScaleCrop>false</ScaleCrop>
  <Company/>
  <LinksUpToDate>false</LinksUpToDate>
  <CharactersWithSpaces>63033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Politics of Proximity: Attitudinal Feedback Effects of the Carceral State</dc:title>
  <dc:creator>Kristina Mensik</dc:creator>
  <cp:keywords/>
  <cp:lastModifiedBy>Kristina Mensik</cp:lastModifiedBy>
  <cp:revision>2</cp:revision>
  <dcterms:created xsi:type="dcterms:W3CDTF">2025-04-15T21:00:00Z</dcterms:created>
  <dcterms:modified xsi:type="dcterms:W3CDTF">2025-04-15T21:04:00Z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