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Prelim</w:t>
      </w:r>
      <w:r>
        <w:t xml:space="preserve"> </w:t>
      </w:r>
      <w:r>
        <w:t xml:space="preserve">3-23</w:t>
      </w:r>
    </w:p>
    <w:p>
      <w:pPr>
        <w:pStyle w:val="Author"/>
      </w:pPr>
      <w:r>
        <w:t xml:space="preserve">Kristina</w:t>
      </w:r>
      <w:r>
        <w:t xml:space="preserve"> </w:t>
      </w:r>
      <w:r>
        <w:t xml:space="preserve">Mensik</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37" w:name="Xf628438b7cbb2c6b47905ef2dcb2aa692b6508c"/>
    <w:p>
      <w:pPr>
        <w:pStyle w:val="Heading1"/>
      </w:pPr>
      <w:r>
        <w:t xml:space="preserve">1. Politics of Proximity: Attitudinal Feedback Effects of the Carceral State</w:t>
      </w:r>
    </w:p>
    <w:p>
      <w:pPr>
        <w:pStyle w:val="FirstParagraph"/>
      </w:pPr>
      <w:r>
        <w:t xml:space="preserve">Contact with carceral policy in the United States is extensive. By year-end 2001, more than 5.6 million U.S. adults had served time in a state or federal prison (BOP 2003), and by 2010, an estimated 8 % of adults in the US had a felony conviction and 3 % had served or were serving prison time (Shannon et al 2017). While systematized data on non-felony convictions remain, as Stenson and Mayson (2018) put it,</w:t>
      </w:r>
      <w:r>
        <w:t xml:space="preserve"> </w:t>
      </w:r>
      <w:r>
        <w:t xml:space="preserve">“</w:t>
      </w:r>
      <w:r>
        <w:t xml:space="preserve">absurdly, embarassingly</w:t>
      </w:r>
      <w:r>
        <w:t xml:space="preserve">”</w:t>
      </w:r>
      <w:r>
        <w:t xml:space="preserve"> </w:t>
      </w:r>
      <w:r>
        <w:t xml:space="preserve">(p. 732) elusive, they estimate 13.2 million such cases are filed annually. Many millions more experience incarceration indirectly – through proximal contact – as family, friends, or neighbors of those incarcerated – or through victimization, having been harmed by a crime prosecuted by the state.</w:t>
      </w:r>
    </w:p>
    <w:p>
      <w:pPr>
        <w:pStyle w:val="BodyText"/>
      </w:pPr>
      <w:r>
        <w:t xml:space="preserve">This widespread direct and proximal carceral contact with the carceral state has generated a growing body of scholarship that attempts to understand how contact with this particular state policy feeds back to shape attitudes towards the state (Lerman and Weaver 2014), political identities (Owens 2014), and political engagement (White 2019). Implicit in much of this literature is the contention that feedbacks matter not only because they reshape political participation, but because they may influence what citizens come to demand from the state — and thus subsequent policy outcomes (Skocpol 1992, Mettler and SoRelle 2023). Yet, while this theoretical possibility is widely acknowledged, most empirical studies have probed strictly electoral consequences (Manza and Uggen 2006, Burch 2011), leaving open questions of how contact with the carceral state shapes individuals’ views</w:t>
      </w:r>
      <w:r>
        <w:t xml:space="preserve"> </w:t>
      </w:r>
      <w:r>
        <w:rPr>
          <w:iCs/>
          <w:i/>
        </w:rPr>
        <w:t xml:space="preserve">on criminal legal policy itself</w:t>
      </w:r>
      <w:r>
        <w:t xml:space="preserve"> </w:t>
      </w:r>
      <w:r>
        <w:t xml:space="preserve">(White 2022). Moreover, while the overlap between those targeted by the criminal legal system and victims, in behalf of whose interest it purportedly acts, is well-established (Godsoe 2022), little is known about feedback effects of victimization.</w:t>
      </w:r>
    </w:p>
    <w:p>
      <w:pPr>
        <w:pStyle w:val="BodyText"/>
      </w:pPr>
      <w:r>
        <w:t xml:space="preserve">At the same time, scholars across policy domains have shown that public support for state intervention is shaped by beliefs about whether a given target group is</w:t>
      </w:r>
      <w:r>
        <w:t xml:space="preserve"> </w:t>
      </w:r>
      <w:r>
        <w:rPr>
          <w:iCs/>
          <w:i/>
        </w:rPr>
        <w:t xml:space="preserve">deserving</w:t>
      </w:r>
      <w:r>
        <w:t xml:space="preserve"> </w:t>
      </w:r>
      <w:r>
        <w:t xml:space="preserve">(Ellis and Faricy 2019, DeSante 2013). Further still, such</w:t>
      </w:r>
      <w:r>
        <w:t xml:space="preserve"> </w:t>
      </w:r>
      <w:r>
        <w:t xml:space="preserve">‘</w:t>
      </w:r>
      <w:r>
        <w:t xml:space="preserve">deservingness perceptions</w:t>
      </w:r>
      <w:r>
        <w:t xml:space="preserve">’</w:t>
      </w:r>
      <w:r>
        <w:t xml:space="preserve"> </w:t>
      </w:r>
      <w:r>
        <w:t xml:space="preserve">often predict state policy outcomes (Kreitzer, Maltby and Smith 2022). These perceptions are not purely personal – they shape and are shaped by policy design (Schneider and Ingram 2019). Yet, their direct role in shaping opinions of</w:t>
      </w:r>
      <w:r>
        <w:t xml:space="preserve"> </w:t>
      </w:r>
      <w:r>
        <w:rPr>
          <w:iCs/>
          <w:i/>
        </w:rPr>
        <w:t xml:space="preserve">criminal legal policy</w:t>
      </w:r>
      <w:r>
        <w:t xml:space="preserve"> </w:t>
      </w:r>
      <w:r>
        <w:t xml:space="preserve">– and how they are shaped</w:t>
      </w:r>
      <w:r>
        <w:t xml:space="preserve"> </w:t>
      </w:r>
      <w:r>
        <w:rPr>
          <w:iCs/>
          <w:i/>
        </w:rPr>
        <w:t xml:space="preserve">by</w:t>
      </w:r>
      <w:r>
        <w:t xml:space="preserve"> </w:t>
      </w:r>
      <w:r>
        <w:t xml:space="preserve">contact with criminal legal policy – remains undertheorized and empirically underexamined.</w:t>
      </w:r>
    </w:p>
    <w:p>
      <w:pPr>
        <w:pStyle w:val="BodyText"/>
      </w:pPr>
      <w:r>
        <w:t xml:space="preserve">This paper brings these frameworks together to address these three gaps. I explore how direct and proximal experiences with the carceral state shape perceptions of what incarcerated people deserve – and how or whether their effects on perceptions of deservingness, broadly conceived, translate to opinions on policy. Building on both liness of scholarship, I theorize that carceral contact may disrupt dominant discursive cues about who incarcerated people are and what they deserve. Further still, I draw suggest that contact may change</w:t>
      </w:r>
      <w:r>
        <w:t xml:space="preserve"> </w:t>
      </w:r>
      <w:r>
        <w:rPr>
          <w:iCs/>
          <w:i/>
        </w:rPr>
        <w:t xml:space="preserve">how</w:t>
      </w:r>
      <w:r>
        <w:t xml:space="preserve"> </w:t>
      </w:r>
      <w:r>
        <w:t xml:space="preserve">individuals</w:t>
      </w:r>
      <w:r>
        <w:t xml:space="preserve"> </w:t>
      </w:r>
      <w:r>
        <w:rPr>
          <w:iCs/>
          <w:i/>
        </w:rPr>
        <w:t xml:space="preserve">respond</w:t>
      </w:r>
      <w:r>
        <w:t xml:space="preserve"> </w:t>
      </w:r>
      <w:r>
        <w:t xml:space="preserve">to such cues – or constructions of carceral citizens – loosening the relationship between deservingness and policy preferences altogether, especially when contact fosters distrust in the legitimacy of the state itself (Walker 2020, Harris 2025).</w:t>
      </w:r>
    </w:p>
    <w:p>
      <w:pPr>
        <w:pStyle w:val="BodyText"/>
      </w:pPr>
      <w:r>
        <w:t xml:space="preserve">I test these propositions using original 2024 survey data capturing Americans’ experiences with the carceral system, their perceptions of a range of policy targets, and their attitudes towards prison-related policy reforms. The data allow for a unique empirical examination of how deservingness judgementss may vary across direct and indirect experiences with incarceration and victimization – and how these judgements structure policy preferences.</w:t>
      </w:r>
    </w:p>
    <w:p>
      <w:pPr>
        <w:pStyle w:val="BodyText"/>
      </w:pPr>
      <w:r>
        <w:t xml:space="preserve">In doing so, this paper makes three contributions. First, it extends theories of social constructions and deservingness – the latter of which was largely developed in the context of welfare and redistributive policy - into the domain of criminal legal policy. Second, it sheds new light on how policy or institutional experience and proximity modifies deservingness perceptions and their correspondence to</w:t>
      </w:r>
      <w:r>
        <w:t xml:space="preserve"> </w:t>
      </w:r>
      <w:r>
        <w:rPr>
          <w:iCs/>
          <w:i/>
        </w:rPr>
        <w:t xml:space="preserve">substantive policy views</w:t>
      </w:r>
      <w:r>
        <w:t xml:space="preserve"> </w:t>
      </w:r>
      <w:r>
        <w:t xml:space="preserve">– allowing for a contribution to our understanding of policy feedback of the carceral state. Last, it responds to recent interventions that experiences of victimization constitute a critical but understudied component of this feedback loop (Levine and Russell 2023) and deepens our understanding of how it – in relation to direct and proximal contact, and as a kind of proximal contact of it’s own – can alter the public’s orientation toward punishment, policy, and state legitimacy. More broadly, these findings are useful to audiences outside of the strictly academic domain. Policymakers and advocates for criminal legal policy reform increasingly target the exclusion of those</w:t>
      </w:r>
      <w:r>
        <w:t xml:space="preserve"> </w:t>
      </w:r>
      <w:r>
        <w:t xml:space="preserve">“</w:t>
      </w:r>
      <w:r>
        <w:t xml:space="preserve">closest to the pain,</w:t>
      </w:r>
      <w:r>
        <w:t xml:space="preserve">”</w:t>
      </w:r>
      <w:r>
        <w:t xml:space="preserve"> </w:t>
      </w:r>
      <w:r>
        <w:t xml:space="preserve">or with first-hand experience with the carceral state, from from agenda-setting, policy making, and policy implementation (see</w:t>
      </w:r>
      <w:r>
        <w:t xml:space="preserve"> </w:t>
      </w:r>
      <w:hyperlink r:id="rId20">
        <w:r>
          <w:rPr>
            <w:rStyle w:val="Hyperlink"/>
          </w:rPr>
          <w:t xml:space="preserve">Pressley 2023</w:t>
        </w:r>
      </w:hyperlink>
      <w:r>
        <w:t xml:space="preserve">). Understanding how impacted groups differ in their approach to policy – and whether the preferences of most victims and perpetrators are as far apart as dominant narratives would suggest – may be particularly useful in this domain.</w:t>
      </w:r>
    </w:p>
    <w:p>
      <w:pPr>
        <w:pStyle w:val="BodyText"/>
      </w:pPr>
      <w:r>
        <w:t xml:space="preserve">The remainder of this paper proceeds as follows. In section 2, I elaborate first on key findings from social constructions, deservingness, and policy feedback literature, with particular attention to how they inform expectations about criminal legal policy. Section 3 develops theoretical framework, outlining how carceral contact may shape perceptions of deservingness and how those perceptions may, in turn, influence policy views. Section 4 then presents the data and analytic strategy, drawing on a newly fielded national survey to test these relationships. I conclude in section 5 with a brief discussion of implications for theories of deservingness, policy feedback, the politics of punishment.</w:t>
      </w:r>
    </w:p>
    <w:p>
      <w:pPr>
        <w:pStyle w:val="BodyText"/>
      </w:pPr>
      <w:r>
        <w:t xml:space="preserve">. . .</w:t>
      </w:r>
    </w:p>
    <w:bookmarkStart w:id="24" w:name="literature"/>
    <w:p>
      <w:pPr>
        <w:pStyle w:val="Heading2"/>
      </w:pPr>
      <w:r>
        <w:t xml:space="preserve">1.1 Literature</w:t>
      </w:r>
    </w:p>
    <w:p>
      <w:pPr>
        <w:pStyle w:val="FirstParagraph"/>
      </w:pPr>
      <w:r>
        <w:t xml:space="preserve">How does contact with the criminal legal system affect perceptions of its targets? And what do these deservingness perceptions mean for policy views? These questions intersect with two literatures. First, scholarship on social constructions and deservingness examines how groups become characterized as deserving or undeserving of government assistance, and shows that both policy views and outcomes hinge on such characterizations (Schneider and Ingram 1993, Smith and Kreitzer 2024, Oorschot 2006). While this literature leaves open the question of how experiences with policy might alter characterizations about it’s targets, lessons from policy feedback literature suggest they might. Across domains, including the carceral state, policy feedback literature shows that policies can shape attitudes towards the state and institutions, one’s sense of</w:t>
      </w:r>
      <w:r>
        <w:t xml:space="preserve"> </w:t>
      </w:r>
      <w:r>
        <w:t xml:space="preserve">“</w:t>
      </w:r>
      <w:r>
        <w:t xml:space="preserve">civic self,</w:t>
      </w:r>
      <w:r>
        <w:t xml:space="preserve">”</w:t>
      </w:r>
      <w:r>
        <w:t xml:space="preserve"> </w:t>
      </w:r>
      <w:r>
        <w:t xml:space="preserve">and political behavior through</w:t>
      </w:r>
      <w:r>
        <w:t xml:space="preserve"> </w:t>
      </w:r>
      <w:r>
        <w:t xml:space="preserve">“</w:t>
      </w:r>
      <w:r>
        <w:t xml:space="preserve">resource</w:t>
      </w:r>
      <w:r>
        <w:t xml:space="preserve">”</w:t>
      </w:r>
      <w:r>
        <w:t xml:space="preserve"> </w:t>
      </w:r>
      <w:r>
        <w:t xml:space="preserve">and</w:t>
      </w:r>
      <w:r>
        <w:t xml:space="preserve"> </w:t>
      </w:r>
      <w:r>
        <w:t xml:space="preserve">“</w:t>
      </w:r>
      <w:r>
        <w:t xml:space="preserve">interpretive</w:t>
      </w:r>
      <w:r>
        <w:t xml:space="preserve">”</w:t>
      </w:r>
      <w:r>
        <w:t xml:space="preserve"> </w:t>
      </w:r>
      <w:r>
        <w:t xml:space="preserve">effects (see Mettler and SoRelle 2023, White 2022). In the criminal legal domain, scholars find that these effects culminate in diminished trust in the state, but increasingly debate when and why targets respond not with political withdrawal, but with apparant reappraisal – of both the state and the messages it sends about it’s targets (Walker 2020, Anoll et al 2019). As we will see, much of this work maintains an interest in but does test how how direct or proximal criminal legal contact shapes attitudes not towards the state, but rather what it’s targets deserve from it. I briefly review these literatures below.</w:t>
      </w:r>
    </w:p>
    <w:bookmarkStart w:id="21" w:name="scotp"/>
    <w:p>
      <w:pPr>
        <w:pStyle w:val="Heading4"/>
      </w:pPr>
      <w:r>
        <w:t xml:space="preserve">1.1.0.1 SCOTP</w:t>
      </w:r>
    </w:p>
    <w:p>
      <w:pPr>
        <w:pStyle w:val="FirstParagraph"/>
      </w:pPr>
      <w:r>
        <w:t xml:space="preserve">In the wake of Schneider and Ingram’s (1993) theory of social constructions, scholars have coalesced around the idea that attitudes towards policy targets are in dialectic with policy. That is, policy design not only has</w:t>
      </w:r>
      <w:r>
        <w:t xml:space="preserve"> </w:t>
      </w:r>
      <w:r>
        <w:t xml:space="preserve">“</w:t>
      </w:r>
      <w:r>
        <w:t xml:space="preserve">interpretive effects</w:t>
      </w:r>
      <w:r>
        <w:t xml:space="preserve">”</w:t>
      </w:r>
      <w:r>
        <w:t xml:space="preserve"> </w:t>
      </w:r>
      <w:r>
        <w:t xml:space="preserve">on its targets but also shapes discourse</w:t>
      </w:r>
      <w:r>
        <w:t xml:space="preserve"> </w:t>
      </w:r>
      <w:r>
        <w:rPr>
          <w:iCs/>
          <w:i/>
        </w:rPr>
        <w:t xml:space="preserve">about</w:t>
      </w:r>
      <w:r>
        <w:t xml:space="preserve"> </w:t>
      </w:r>
      <w:r>
        <w:t xml:space="preserve">them. In this way, policy can</w:t>
      </w:r>
      <w:r>
        <w:t xml:space="preserve"> </w:t>
      </w:r>
      <w:r>
        <w:t xml:space="preserve">“</w:t>
      </w:r>
      <w:r>
        <w:t xml:space="preserve">telegraph to the public how target groups should be treated,</w:t>
      </w:r>
      <w:r>
        <w:t xml:space="preserve">”</w:t>
      </w:r>
      <w:r>
        <w:t xml:space="preserve"> </w:t>
      </w:r>
      <w:r>
        <w:t xml:space="preserve">and helps to produce social constructions or</w:t>
      </w:r>
      <w:r>
        <w:t xml:space="preserve"> </w:t>
      </w:r>
      <w:r>
        <w:t xml:space="preserve">“</w:t>
      </w:r>
      <w:r>
        <w:t xml:space="preserve">value-laden components, including stereotypes, dominant ideologies, and assumptions</w:t>
      </w:r>
      <w:r>
        <w:t xml:space="preserve">”</w:t>
      </w:r>
      <w:r>
        <w:t xml:space="preserve"> </w:t>
      </w:r>
      <w:r>
        <w:t xml:space="preserve">about groups (Smith and Kreitzer 2024, PAGE). As consequence, social constructions are contingent. They are contingent, for example, on local, state, and political and cultural contexts and also on the political identity of and ideology held by the</w:t>
      </w:r>
      <w:r>
        <w:t xml:space="preserve"> </w:t>
      </w:r>
      <w:r>
        <w:t xml:space="preserve">‘</w:t>
      </w:r>
      <w:r>
        <w:t xml:space="preserve">perceiver</w:t>
      </w:r>
      <w:r>
        <w:t xml:space="preserve">’</w:t>
      </w:r>
      <w:r>
        <w:t xml:space="preserve"> </w:t>
      </w:r>
      <w:r>
        <w:t xml:space="preserve">(Smith and Kreitzer 2018, 768). This means both that policy can</w:t>
      </w:r>
      <w:r>
        <w:t xml:space="preserve"> </w:t>
      </w:r>
      <w:r>
        <w:rPr>
          <w:iCs/>
          <w:i/>
        </w:rPr>
        <w:t xml:space="preserve">reflect</w:t>
      </w:r>
      <w:r>
        <w:t xml:space="preserve"> </w:t>
      </w:r>
      <w:r>
        <w:t xml:space="preserve">existing social constructions, and that it can feed back to causally affect further social constructions of who targets are. The notion of who targets</w:t>
      </w:r>
      <w:r>
        <w:t xml:space="preserve"> </w:t>
      </w:r>
      <w:r>
        <w:rPr>
          <w:iCs/>
          <w:i/>
        </w:rPr>
        <w:t xml:space="preserve">are</w:t>
      </w:r>
      <w:r>
        <w:t xml:space="preserve"> </w:t>
      </w:r>
      <w:r>
        <w:t xml:space="preserve">in turn affects how people perceive what they</w:t>
      </w:r>
      <w:r>
        <w:t xml:space="preserve"> </w:t>
      </w:r>
      <w:r>
        <w:rPr>
          <w:iCs/>
          <w:i/>
        </w:rPr>
        <w:t xml:space="preserve">should</w:t>
      </w:r>
      <w:r>
        <w:t xml:space="preserve"> </w:t>
      </w:r>
      <w:r>
        <w:t xml:space="preserve">receive – i.e., what they deserve. These perceptions matter because they are theorized to be understood as policy preferences and translated by policymakers into policy that helps or hinders groups, reinforcing their social constructions (Schneider and ingram 2019).</w:t>
      </w:r>
    </w:p>
    <w:bookmarkEnd w:id="21"/>
    <w:bookmarkStart w:id="22" w:name="carin"/>
    <w:p>
      <w:pPr>
        <w:pStyle w:val="Heading4"/>
      </w:pPr>
      <w:r>
        <w:t xml:space="preserve">1.1.0.2 CARIN</w:t>
      </w:r>
    </w:p>
    <w:p>
      <w:pPr>
        <w:pStyle w:val="FirstParagraph"/>
      </w:pPr>
      <w:r>
        <w:t xml:space="preserve">A related stream of literature explains that people form quick judgements about policy targets’ deservingness by evaluating constructions along five dimensions in an evolutionarily-grounded impulse to help</w:t>
      </w:r>
      <w:r>
        <w:t xml:space="preserve"> </w:t>
      </w:r>
      <w:r>
        <w:t xml:space="preserve">“</w:t>
      </w:r>
      <w:r>
        <w:t xml:space="preserve">reciprocators</w:t>
      </w:r>
      <w:r>
        <w:t xml:space="preserve">”</w:t>
      </w:r>
      <w:r>
        <w:t xml:space="preserve"> </w:t>
      </w:r>
      <w:r>
        <w:t xml:space="preserve">and avoid</w:t>
      </w:r>
      <w:r>
        <w:t xml:space="preserve"> </w:t>
      </w:r>
      <w:r>
        <w:t xml:space="preserve">“</w:t>
      </w:r>
      <w:r>
        <w:t xml:space="preserve">free-riders</w:t>
      </w:r>
      <w:r>
        <w:t xml:space="preserve">”</w:t>
      </w:r>
      <w:r>
        <w:t xml:space="preserve"> </w:t>
      </w:r>
      <w:r>
        <w:t xml:space="preserve">(Petersen 2012, Aaroe and Petersen 2014). These</w:t>
      </w:r>
      <w:r>
        <w:t xml:space="preserve"> </w:t>
      </w:r>
      <w:r>
        <w:t xml:space="preserve">“</w:t>
      </w:r>
      <w:r>
        <w:t xml:space="preserve">CARIN</w:t>
      </w:r>
      <w:r>
        <w:t xml:space="preserve">”</w:t>
      </w:r>
      <w:r>
        <w:t xml:space="preserve"> </w:t>
      </w:r>
      <w:r>
        <w:t xml:space="preserve">criteria primarily attend to cues about whether recipients cannot help their circumstances, or whether they are seeking unearned benefits. They refer to:</w:t>
      </w:r>
      <w:r>
        <w:t xml:space="preserve"> </w:t>
      </w:r>
      <w:r>
        <w:rPr>
          <w:iCs/>
          <w:i/>
        </w:rPr>
        <w:t xml:space="preserve">control,</w:t>
      </w:r>
      <w:r>
        <w:t xml:space="preserve"> </w:t>
      </w:r>
      <w:r>
        <w:t xml:space="preserve">which in its original conception was closely related to</w:t>
      </w:r>
      <w:r>
        <w:t xml:space="preserve"> </w:t>
      </w:r>
      <w:r>
        <w:rPr>
          <w:iCs/>
          <w:i/>
        </w:rPr>
        <w:t xml:space="preserve">need</w:t>
      </w:r>
      <w:r>
        <w:t xml:space="preserve">, referring to whether someone is perceived as lazy or unlucky – a consideration Oorschot (2006) argues can override all others. More recently, perception of a group or individual’s</w:t>
      </w:r>
      <w:r>
        <w:t xml:space="preserve"> </w:t>
      </w:r>
      <w:r>
        <w:rPr>
          <w:iCs/>
          <w:i/>
        </w:rPr>
        <w:t xml:space="preserve">need</w:t>
      </w:r>
      <w:r>
        <w:t xml:space="preserve"> </w:t>
      </w:r>
      <w:r>
        <w:t xml:space="preserve">for assistance has considered the severity of their neediness and</w:t>
      </w:r>
      <w:r>
        <w:t xml:space="preserve"> </w:t>
      </w:r>
      <w:r>
        <w:rPr>
          <w:iCs/>
          <w:i/>
        </w:rPr>
        <w:t xml:space="preserve">control,</w:t>
      </w:r>
      <w:r>
        <w:t xml:space="preserve"> </w:t>
      </w:r>
      <w:r>
        <w:t xml:space="preserve">or the degree to which they are responsible (SoRelle and Laws 2024). Perceptions of the group’s</w:t>
      </w:r>
      <w:r>
        <w:t xml:space="preserve"> </w:t>
      </w:r>
      <w:r>
        <w:rPr>
          <w:iCs/>
          <w:i/>
        </w:rPr>
        <w:t xml:space="preserve">attitude</w:t>
      </w:r>
      <w:r>
        <w:t xml:space="preserve"> </w:t>
      </w:r>
      <w:r>
        <w:t xml:space="preserve">refer to whether the beneficiary is grateful and likeable, and closely related perceptions of the group’s</w:t>
      </w:r>
      <w:r>
        <w:t xml:space="preserve"> </w:t>
      </w:r>
      <w:r>
        <w:rPr>
          <w:iCs/>
          <w:i/>
        </w:rPr>
        <w:t xml:space="preserve">reciprocity</w:t>
      </w:r>
      <w:r>
        <w:t xml:space="preserve"> </w:t>
      </w:r>
      <w:r>
        <w:t xml:space="preserve">connote their history or apparent willingness to contribute to society. Last, the</w:t>
      </w:r>
      <w:r>
        <w:t xml:space="preserve"> </w:t>
      </w:r>
      <w:r>
        <w:rPr>
          <w:iCs/>
          <w:i/>
        </w:rPr>
        <w:t xml:space="preserve">identity</w:t>
      </w:r>
      <w:r>
        <w:t xml:space="preserve"> </w:t>
      </w:r>
      <w:r>
        <w:t xml:space="preserve">characteristic holds that people will evaluate more generously the deservingness of others whose identity is aligned with their own (Oorschot 2000, 2006).</w:t>
      </w:r>
    </w:p>
    <w:p>
      <w:pPr>
        <w:pStyle w:val="BodyText"/>
      </w:pPr>
      <w:r>
        <w:t xml:space="preserve">Do experiences with policy change how these constructions and characteristics are interpreted? While the deservingness literature on this is limited, there is some evidence it can. In the context of student debt relief, SoRelle and Laws (2023) find that people who have had student loans themselves view borrowers as more deserving of debt forgiveness – reflecting perceived closeness of</w:t>
      </w:r>
      <w:r>
        <w:t xml:space="preserve"> </w:t>
      </w:r>
      <w:r>
        <w:t xml:space="preserve">“</w:t>
      </w:r>
      <w:r>
        <w:t xml:space="preserve">identity.</w:t>
      </w:r>
      <w:r>
        <w:t xml:space="preserve">”</w:t>
      </w:r>
      <w:r>
        <w:t xml:space="preserve"> </w:t>
      </w:r>
      <w:r>
        <w:t xml:space="preserve">In the context of welfare, Maltby and Kreitzer (2022) find that such solidaristic effects of policy experience begin to erode when individuals consider beneficiaries of welfare programs that are</w:t>
      </w:r>
      <w:r>
        <w:t xml:space="preserve"> </w:t>
      </w:r>
      <w:r>
        <w:rPr>
          <w:iCs/>
          <w:i/>
        </w:rPr>
        <w:t xml:space="preserve">different</w:t>
      </w:r>
      <w:r>
        <w:t xml:space="preserve"> </w:t>
      </w:r>
      <w:r>
        <w:t xml:space="preserve">than one’s own – a finding social constructionists may note reflects</w:t>
      </w:r>
      <w:r>
        <w:t xml:space="preserve"> </w:t>
      </w:r>
      <w:r>
        <w:t xml:space="preserve">“</w:t>
      </w:r>
      <w:r>
        <w:t xml:space="preserve">stickiness</w:t>
      </w:r>
      <w:r>
        <w:t xml:space="preserve">”</w:t>
      </w:r>
      <w:r>
        <w:t xml:space="preserve"> </w:t>
      </w:r>
      <w:r>
        <w:t xml:space="preserve">or persistence of negative constructions, and tendency elevate</w:t>
      </w:r>
      <w:r>
        <w:t xml:space="preserve"> </w:t>
      </w:r>
      <w:r>
        <w:t xml:space="preserve">“</w:t>
      </w:r>
      <w:r>
        <w:t xml:space="preserve">deserving</w:t>
      </w:r>
      <w:r>
        <w:t xml:space="preserve">”</w:t>
      </w:r>
      <w:r>
        <w:t xml:space="preserve"> </w:t>
      </w:r>
      <w:r>
        <w:t xml:space="preserve">subgroups within an</w:t>
      </w:r>
      <w:r>
        <w:t xml:space="preserve"> </w:t>
      </w:r>
      <w:r>
        <w:t xml:space="preserve">“</w:t>
      </w:r>
      <w:r>
        <w:t xml:space="preserve">undeserving</w:t>
      </w:r>
      <w:r>
        <w:t xml:space="preserve">”</w:t>
      </w:r>
      <w:r>
        <w:t xml:space="preserve"> </w:t>
      </w:r>
      <w:r>
        <w:t xml:space="preserve">population while further stigmatizing others (Schneider and Ingram 1990, Matos 2019). While one recent study (Maltby and Kreitzer 2022) take up the question of carceral contact’s effect on target deservingness, several limitations in the design raise questions about whether their findings reflect a measurement artifact.[^MK]</w:t>
      </w:r>
    </w:p>
    <w:p>
      <w:pPr>
        <w:pStyle w:val="BodyText"/>
      </w:pPr>
      <w:r>
        <w:t xml:space="preserve">At the same time, recent work suggests deservingness does not always translate into support for policy. Schneider and Ingram (2019) note that even</w:t>
      </w:r>
      <w:r>
        <w:t xml:space="preserve"> </w:t>
      </w:r>
      <w:r>
        <w:t xml:space="preserve">“</w:t>
      </w:r>
      <w:r>
        <w:t xml:space="preserve">deviant</w:t>
      </w:r>
      <w:r>
        <w:t xml:space="preserve">”</w:t>
      </w:r>
      <w:r>
        <w:t xml:space="preserve"> </w:t>
      </w:r>
      <w:r>
        <w:t xml:space="preserve">groups – long presumed to be negatively constructed – can become beneficiaries of policy help, especially when cossts, visibility, or broader group associations shift. Likewise, SoRelle and Laws (2023) observe that deservingness perceptions may not linearly translate into support for policy overall. Together, these insights highlight the need to examine not just whether contact reshapes deservingness perceptions, but whether and how those perceptions relate to support for state intervention.</w:t>
      </w:r>
    </w:p>
    <w:p>
      <w:pPr>
        <w:pStyle w:val="BodyText"/>
      </w:pPr>
      <w:r>
        <w:t xml:space="preserve">The criminal legal system is a unique context for studying these questions. Its high costs, high visibility, and moral - including life and death - charge, and cumulative burdens prompt scholars to study</w:t>
      </w:r>
      <w:r>
        <w:t xml:space="preserve"> </w:t>
      </w:r>
      <w:r>
        <w:t xml:space="preserve">“</w:t>
      </w:r>
      <w:r>
        <w:t xml:space="preserve">policy contact</w:t>
      </w:r>
      <w:r>
        <w:t xml:space="preserve">”</w:t>
      </w:r>
      <w:r>
        <w:t xml:space="preserve"> </w:t>
      </w:r>
      <w:r>
        <w:t xml:space="preserve">not only in terms of direct contact – e.g. arrest, incarceration, fines and fees. It is also studied in terms of proximate exposure, such as the experiences of the disproportionately Black, Latinx, and low-income social networks and neighborhhoods of the incarcerated (Baumbartner, Epp, and Shoub 2018; Davenport, Soule, and Armstrong 2011, Western et al 2004, Massoglia 2008). To better understand how both direct and proximate criminal legal contact may shape perceptions of targets of the system’s targets, how contact may shape views on criminal legal policy, and the link between the two, I turn next to insights from the policy feedback literature.</w:t>
      </w:r>
    </w:p>
    <w:bookmarkEnd w:id="22"/>
    <w:bookmarkStart w:id="23" w:name="policy-feedback"/>
    <w:p>
      <w:pPr>
        <w:pStyle w:val="Heading4"/>
      </w:pPr>
      <w:r>
        <w:t xml:space="preserve">1.1.0.3 Policy Feedback</w:t>
      </w:r>
    </w:p>
    <w:p>
      <w:pPr>
        <w:pStyle w:val="FirstParagraph"/>
      </w:pPr>
      <w:r>
        <w:t xml:space="preserve">Feedback scholars show that across domains, policies have the capacity to shape and reshape subsequent policy landscapes (Skocpol 1992, Campbell 2012). This increasingly wide-reaching scholarship shows that whether responding to visible or hidden policy, or producing first or second-order actual or noneffects, such</w:t>
      </w:r>
      <w:r>
        <w:t xml:space="preserve"> </w:t>
      </w:r>
      <w:r>
        <w:t xml:space="preserve">“</w:t>
      </w:r>
      <w:r>
        <w:t xml:space="preserve">feedbacks</w:t>
      </w:r>
      <w:r>
        <w:t xml:space="preserve">”</w:t>
      </w:r>
      <w:r>
        <w:t xml:space="preserve"> </w:t>
      </w:r>
      <w:r>
        <w:t xml:space="preserve">operate through two broad mechanisms (Mettler 2011, Soss and Schram 2007, SoRelle 2020, 2021). First, policies create resource effects: policies distribute benefits and imposing costs that can alter political capacities, and create incentives or disincentives to political engagement – costs incurred in domains that are not strictly</w:t>
      </w:r>
      <w:r>
        <w:t xml:space="preserve"> </w:t>
      </w:r>
      <w:r>
        <w:t xml:space="preserve">“</w:t>
      </w:r>
      <w:r>
        <w:t xml:space="preserve">political</w:t>
      </w:r>
      <w:r>
        <w:t xml:space="preserve">”</w:t>
      </w:r>
      <w:r>
        <w:t xml:space="preserve"> </w:t>
      </w:r>
      <w:r>
        <w:t xml:space="preserve">have political ramifications (Campbell 2003, Mettler 2005). Similarly,</w:t>
      </w:r>
      <w:r>
        <w:t xml:space="preserve"> </w:t>
      </w:r>
      <w:r>
        <w:t xml:space="preserve">“</w:t>
      </w:r>
      <w:r>
        <w:t xml:space="preserve">interpretive</w:t>
      </w:r>
      <w:r>
        <w:t xml:space="preserve">”</w:t>
      </w:r>
      <w:r>
        <w:t xml:space="preserve"> </w:t>
      </w:r>
      <w:r>
        <w:t xml:space="preserve">effects connote the ability of policy design and implementation to convey messages to it’s targets about what they can expect and may ask of government as a whole. This interpretive element involves but is distinct from social construction theory, in that it stresses the messages a policy target translates from interacting with policy, rather than the more general messages conveyed</w:t>
      </w:r>
      <w:r>
        <w:t xml:space="preserve"> </w:t>
      </w:r>
      <w:r>
        <w:rPr>
          <w:iCs/>
          <w:i/>
        </w:rPr>
        <w:t xml:space="preserve">about</w:t>
      </w:r>
      <w:r>
        <w:t xml:space="preserve"> </w:t>
      </w:r>
      <w:r>
        <w:t xml:space="preserve">targets from policy.</w:t>
      </w:r>
    </w:p>
    <w:p>
      <w:pPr>
        <w:pStyle w:val="BodyText"/>
      </w:pPr>
      <w:r>
        <w:t xml:space="preserve">Importantly, scholars note that targets can respond to policy design by rejecting a negative construction or message imbued in or derived from it, and engage in collective action (Goss 2013, Thurston 2018, SoRelle 2020, Lacombe 2021). Of course, this is not always the case: Soss (1999) explains a tendancy of recipients of means-tested welfare (AFDC) to maintain negative constructions about beneficiaries of the same policy (unlike recipients of the non-means tested disability benefits) as a product of political learning while on the AFDC: benefits are burdensome to access, involve stringent behavioral monitoring, and involve more caseworker discretion than standardized rules, conveying to AFDC beneficiaries that government views them as responsible for their need and untrustworthy. This leads beneficiaries to not only internalize a more</w:t>
      </w:r>
      <w:r>
        <w:t xml:space="preserve"> </w:t>
      </w:r>
      <w:r>
        <w:t xml:space="preserve">“</w:t>
      </w:r>
      <w:r>
        <w:t xml:space="preserve">undeserving</w:t>
      </w:r>
      <w:r>
        <w:t xml:space="preserve">”</w:t>
      </w:r>
      <w:r>
        <w:t xml:space="preserve"> </w:t>
      </w:r>
      <w:r>
        <w:t xml:space="preserve">perception of their own beneficiary group, but also splinters any sense of group solidarity and disaggregates policy views from perceptions of beneficiary deservingness.</w:t>
      </w:r>
    </w:p>
    <w:p>
      <w:pPr>
        <w:pStyle w:val="BodyText"/>
      </w:pPr>
      <w:r>
        <w:t xml:space="preserve">Further, feedback scholarship dilineates distinct processes and outcomes for with people with direct contact versus those with indirect (or</w:t>
      </w:r>
      <w:r>
        <w:t xml:space="preserve"> </w:t>
      </w:r>
      <w:r>
        <w:t xml:space="preserve">“</w:t>
      </w:r>
      <w:r>
        <w:t xml:space="preserve">proximate) contact such families of targets and neighborhood effects. This is particularly so in the literature on policy feedbacks of the carceral state. At the neighborhood level, Burch (2014) finds that high concentrations of incarceration and community supervision reduce political participation, creating</w:t>
      </w:r>
      <w:r>
        <w:t xml:space="preserve">”</w:t>
      </w:r>
      <w:r>
        <w:t xml:space="preserve">important spillover effects that suppress participation not only of the supervised individual but also of those living around him or her” (197). Lee et al. (2014) highight that such</w:t>
      </w:r>
      <w:r>
        <w:t xml:space="preserve"> </w:t>
      </w:r>
      <w:r>
        <w:t xml:space="preserve">‘</w:t>
      </w:r>
      <w:r>
        <w:t xml:space="preserve">spillovers</w:t>
      </w:r>
      <w:r>
        <w:t xml:space="preserve">’</w:t>
      </w:r>
      <w:r>
        <w:t xml:space="preserve"> </w:t>
      </w:r>
      <w:r>
        <w:t xml:space="preserve">involve the families and loved ones of incarcerated people, who incur both</w:t>
      </w:r>
      <w:r>
        <w:t xml:space="preserve"> </w:t>
      </w:r>
      <w:r>
        <w:t xml:space="preserve">‘</w:t>
      </w:r>
      <w:r>
        <w:t xml:space="preserve">direct</w:t>
      </w:r>
      <w:r>
        <w:t xml:space="preserve">’</w:t>
      </w:r>
      <w:r>
        <w:t xml:space="preserve"> </w:t>
      </w:r>
      <w:r>
        <w:t xml:space="preserve">and</w:t>
      </w:r>
      <w:r>
        <w:t xml:space="preserve"> </w:t>
      </w:r>
      <w:r>
        <w:t xml:space="preserve">‘</w:t>
      </w:r>
      <w:r>
        <w:t xml:space="preserve">indirect</w:t>
      </w:r>
      <w:r>
        <w:t xml:space="preserve">’</w:t>
      </w:r>
      <w:r>
        <w:t xml:space="preserve"> </w:t>
      </w:r>
      <w:r>
        <w:t xml:space="preserve">resource effects via costs of visitation and communication, and supporting loved ones’ commissary or paying off fines and fees. Compounded with embittering policy messages, these effects translate to less ability and interest in political participation, as the proximally impacted understand government as failing to work for or listen to them, and setting their loved one’s up to fail.</w:t>
      </w:r>
    </w:p>
    <w:p>
      <w:pPr>
        <w:pStyle w:val="BodyText"/>
      </w:pPr>
      <w:r>
        <w:t xml:space="preserve">Yet, others find that proximal spillovers can politically mobilize (Lawless and Fox 2001, Owens 2014, Walker 2014). Walker and García-Castañon (2017) find that for women of color especially, caregiving responsibilities for incarcerated loved ones can become politicized labor leading to increased non-electoral political participation. Anoll and Israel-Trummel (2019) find evidence such proximate mobilization is a produce of</w:t>
      </w:r>
      <w:r>
        <w:t xml:space="preserve"> </w:t>
      </w:r>
      <w:r>
        <w:t xml:space="preserve">“</w:t>
      </w:r>
      <w:r>
        <w:t xml:space="preserve">surrogate</w:t>
      </w:r>
      <w:r>
        <w:t xml:space="preserve">”</w:t>
      </w:r>
      <w:r>
        <w:t xml:space="preserve"> </w:t>
      </w:r>
      <w:r>
        <w:t xml:space="preserve">participation, or a motivation to participate specifically on behalf of or</w:t>
      </w:r>
      <w:r>
        <w:t xml:space="preserve"> </w:t>
      </w:r>
      <w:r>
        <w:rPr>
          <w:iCs/>
          <w:i/>
        </w:rPr>
        <w:t xml:space="preserve">due</w:t>
      </w:r>
      <w:r>
        <w:t xml:space="preserve"> </w:t>
      </w:r>
      <w:r>
        <w:t xml:space="preserve">to the disenfranchisement or incarceration of another. In another study of neighborhood effects, Anoll et all (2022) find that visible forms of policing politically mobilize specifically when they are understood as racially discriminatory.</w:t>
      </w:r>
    </w:p>
    <w:p>
      <w:pPr>
        <w:pStyle w:val="BodyText"/>
      </w:pPr>
      <w:r>
        <w:t xml:space="preserve">While</w:t>
      </w:r>
      <w:r>
        <w:t xml:space="preserve"> </w:t>
      </w:r>
      <w:r>
        <w:rPr>
          <w:iCs/>
          <w:i/>
        </w:rPr>
        <w:t xml:space="preserve">direct</w:t>
      </w:r>
      <w:r>
        <w:t xml:space="preserve"> </w:t>
      </w:r>
      <w:r>
        <w:t xml:space="preserve">contact with the carceral system has traditionally been understood to depress political participation via resource and interpretive mechanisms, scholars increasingly find that responses to these mechanisms are not unidirectional (Comfort 2008, Page et al 2019). Lerman and Weaver (2014) find that court, police, and prison encounters foster government distrust and perceptions of a reduced civic status, thereby “actively construct[ing] a different citizenship. Others have reinforced and extended these findings, noting that even brief stints in jail (White 2019) or more</w:t>
      </w:r>
      <w:r>
        <w:t xml:space="preserve"> </w:t>
      </w:r>
      <w:r>
        <w:t xml:space="preserve">‘</w:t>
      </w:r>
      <w:r>
        <w:t xml:space="preserve">routine</w:t>
      </w:r>
      <w:r>
        <w:t xml:space="preserve">’</w:t>
      </w:r>
      <w:r>
        <w:t xml:space="preserve"> </w:t>
      </w:r>
      <w:r>
        <w:t xml:space="preserve">interactions like traffic stops diminish political engagement (Ben-Menachem and Morris 2023).</w:t>
      </w:r>
    </w:p>
    <w:p>
      <w:pPr>
        <w:pStyle w:val="BodyText"/>
      </w:pPr>
      <w:r>
        <w:t xml:space="preserve">As with proximally impacted individuals, people directly affected by the carceral system sometimes respond to policy contact with political mobilization rather than withdrawal – although the messages conveyed and resource burdens imposed by policy remain unchanged (Rosenthhal and Farhart 2023). Owens and Walker (2018), for example, find that connections to civil society organizations can increase non-voting political participation among those with the heaviest criminal justice contact, suggesting institutional factors may mediate feedback effects, they and others emphasize that criminal legal contact mobilizes</w:t>
      </w:r>
      <w:r>
        <w:t xml:space="preserve"> </w:t>
      </w:r>
      <w:r>
        <w:rPr>
          <w:iCs/>
          <w:i/>
        </w:rPr>
        <w:t xml:space="preserve">despite</w:t>
      </w:r>
      <w:r>
        <w:t xml:space="preserve"> </w:t>
      </w:r>
      <w:r>
        <w:t xml:space="preserve">diminished institutional trust, and because of perceptions of procedural unfairness towards one’s group – an apparent perception of deserving better (Owens 2014, Walker 2020). Thus, mobilization in response to both direct and proximal contact involve meaning-making processes that wed social solidarity with dampened perceptions of institutional legitimacy and trust – what Walker (2020) terms a sense of</w:t>
      </w:r>
      <w:r>
        <w:t xml:space="preserve"> </w:t>
      </w:r>
      <w:r>
        <w:t xml:space="preserve">“</w:t>
      </w:r>
      <w:r>
        <w:t xml:space="preserve">systemic injustice.</w:t>
      </w:r>
      <w:r>
        <w:t xml:space="preserve">”</w:t>
      </w:r>
    </w:p>
    <w:p>
      <w:pPr>
        <w:pStyle w:val="BodyText"/>
      </w:pPr>
      <w:r>
        <w:t xml:space="preserve">While the literature has productively distinguished between direct and proximate contact, feedback scholars also acknowledge with endogeneity challenges inherent to such categorizations in a context of</w:t>
      </w:r>
      <w:r>
        <w:t xml:space="preserve"> </w:t>
      </w:r>
      <w:r>
        <w:t xml:space="preserve">“</w:t>
      </w:r>
      <w:r>
        <w:t xml:space="preserve">cumulative burdens</w:t>
      </w:r>
      <w:r>
        <w:t xml:space="preserve">”</w:t>
      </w:r>
      <w:r>
        <w:t xml:space="preserve"> </w:t>
      </w:r>
      <w:r>
        <w:t xml:space="preserve">(Lerman and Weaver 2014; Weaver and Lerman 2010; Michener 2018). Experiences of victimization amplify this tension: they often occur alongside policing and incarceration in the same communities, yet are rarely conceptualized as a form of policy contact in their own right. One notable exception is Levine and Russell (2023), who show how the design and financing of victim compensation law constructs victims as morally deserving and politically worthy, helping expand state responsibility. Yet even here, the analysis centers on state building and symbolic policy meaning—rather than how victimization itself may function as a form of lived experience that may alter how individuals perceive the state, it’s targets, and what policies they deserve.</w:t>
      </w:r>
    </w:p>
    <w:p>
      <w:pPr>
        <w:pStyle w:val="BodyText"/>
      </w:pPr>
      <w:r>
        <w:t xml:space="preserve">Although victims of crime are rarely theorized as policy feedback subjects, the concept of victimization is implicitly central to the literature. Policy feedback scholars emphasize how individuals interpret state actions—especially punitive or discriminatory ones—as signals of exclusion, abandonment, or devaluation (Soss 1999; Lerman and Weaver 2014). These</w:t>
      </w:r>
      <w:r>
        <w:t xml:space="preserve"> </w:t>
      </w:r>
      <w:r>
        <w:t xml:space="preserve">“</w:t>
      </w:r>
      <w:r>
        <w:t xml:space="preserve">interpretive effects</w:t>
      </w:r>
      <w:r>
        <w:t xml:space="preserve">”</w:t>
      </w:r>
      <w:r>
        <w:t xml:space="preserve"> </w:t>
      </w:r>
      <w:r>
        <w:t xml:space="preserve">can leave people feeling targeted, disrespected, or undeserving in the eyes of the state. In this context, experiences of secondary victimization—such as being disbelieved, ignored, or emotionally constrained by the criminal justice process (Lens et al. 2014) — can function much like the demobilizing interpretive effects faced by other negatively constructed policy targets. Yet unlike welfare recipients or formerly incarcerated people, crime victims are more often assumed to support the very policies and institutions that may reproduce their harm. Recognizing victimization as a form of state contact—and a potential site of interpretive rupture—opens new terrain for understanding how criminal legal experience shapes not only institutional trust and political participation, but also deservingness perceptions and carceral policy attitudes. This paper takes up that challenge by analyzing victimization alongside other forms of contact to assess how they each influence perceptions of who deserves help or harm—and what role the state should play.</w:t>
      </w:r>
    </w:p>
    <w:bookmarkEnd w:id="23"/>
    <w:bookmarkEnd w:id="24"/>
    <w:bookmarkStart w:id="31" w:name="theory"/>
    <w:p>
      <w:pPr>
        <w:pStyle w:val="Heading2"/>
      </w:pPr>
      <w:r>
        <w:t xml:space="preserve">1.2 Theory</w:t>
      </w:r>
    </w:p>
    <w:p>
      <w:pPr>
        <w:pStyle w:val="FirstParagraph"/>
      </w:pPr>
      <w:r>
        <w:t xml:space="preserve">How does being directly or proximally impacted by the criminal legal system shape perceptions of what policy carceral citizens deserve? My theoretical starting point is that perceptions of what groups like carceral citizens deserve are often shaped by social constructions about them (Schneider and Ingram 1993). Like stereotypes, these constructions are produced by policy and discourse – both political, cultural, and popular. On the individual level, then, these constructions are often taken up in a heuristic process to form quick judgements about what a target group deserves. Thus, predominant racialized constructions of incarcerated people –</w:t>
      </w:r>
      <w:r>
        <w:t xml:space="preserve"> </w:t>
      </w:r>
      <w:r>
        <w:t xml:space="preserve">“</w:t>
      </w:r>
      <w:r>
        <w:t xml:space="preserve">thugs,</w:t>
      </w:r>
      <w:r>
        <w:t xml:space="preserve">”</w:t>
      </w:r>
      <w:r>
        <w:t xml:space="preserve"> </w:t>
      </w:r>
      <w:r>
        <w:t xml:space="preserve">“</w:t>
      </w:r>
      <w:r>
        <w:t xml:space="preserve">felons,</w:t>
      </w:r>
      <w:r>
        <w:t xml:space="preserve">”</w:t>
      </w:r>
      <w:r>
        <w:t xml:space="preserve"> </w:t>
      </w:r>
      <w:r>
        <w:t xml:space="preserve">or</w:t>
      </w:r>
      <w:r>
        <w:t xml:space="preserve"> </w:t>
      </w:r>
      <w:r>
        <w:t xml:space="preserve">“</w:t>
      </w:r>
      <w:r>
        <w:t xml:space="preserve">inmates</w:t>
      </w:r>
      <w:r>
        <w:t xml:space="preserve">”</w:t>
      </w:r>
      <w:r>
        <w:t xml:space="preserve"> </w:t>
      </w:r>
      <w:r>
        <w:t xml:space="preserve">– suggesting culpable, ungrateful,</w:t>
      </w:r>
      <w:r>
        <w:t xml:space="preserve"> </w:t>
      </w:r>
      <w:r>
        <w:t xml:space="preserve">“</w:t>
      </w:r>
      <w:r>
        <w:t xml:space="preserve">takers</w:t>
      </w:r>
      <w:r>
        <w:t xml:space="preserve">”</w:t>
      </w:r>
      <w:r>
        <w:t xml:space="preserve"> </w:t>
      </w:r>
      <w:r>
        <w:t xml:space="preserve">responsible for their condition of confinement are likely interpolated as undeserving, translating (following Schneider and Ingram 1993) to support for punitive carceral policy. </w:t>
      </w:r>
    </w:p>
    <w:p>
      <w:pPr>
        <w:pStyle w:val="BodyText"/>
      </w:pPr>
      <w:r>
        <w:t xml:space="preserve">I suggest that contact with the carceral system affects this process (</w:t>
      </w:r>
      <w:r>
        <w:rPr>
          <w:iCs/>
          <w:i/>
        </w:rPr>
        <w:t xml:space="preserve">by/on xyz levels – overview when draft finalized</w:t>
      </w:r>
      <w:r>
        <w:t xml:space="preserve">). Applying insights from the policy feedback literature to matters of target deservingness, I suggest that experience with the criminal legal system – including victimization – leads people to more strongly and consistently support policies that help incarcerated people, and to more nuanced ways of thinking about the relationship between what a carceral target</w:t>
      </w:r>
      <w:r>
        <w:t xml:space="preserve"> </w:t>
      </w:r>
      <w:r>
        <w:t xml:space="preserve">‘</w:t>
      </w:r>
      <w:r>
        <w:t xml:space="preserve">deserves</w:t>
      </w:r>
      <w:r>
        <w:t xml:space="preserve">’</w:t>
      </w:r>
      <w:r>
        <w:t xml:space="preserve"> </w:t>
      </w:r>
      <w:r>
        <w:t xml:space="preserve">and what policy is appropriate.</w:t>
      </w:r>
    </w:p>
    <w:p>
      <w:pPr>
        <w:pStyle w:val="BodyText"/>
      </w:pPr>
      <w:r>
        <w:t xml:space="preserve">Contact may inform information about targets, (2) attitudes towards targets, (3) attitudes towards criminal legal institutions, and (3) the extent to which typical notions of deservingness dictate judgements about what makes good policy. These factors, I propose, may drive distinct perceptual outcomes and policy preferences between, and more support for policy help across, the three impact groups than</w:t>
      </w:r>
      <w:r>
        <w:t xml:space="preserve"> </w:t>
      </w:r>
      <w:r>
        <w:t xml:space="preserve">“</w:t>
      </w:r>
      <w:r>
        <w:t xml:space="preserve">non-impacted</w:t>
      </w:r>
      <w:r>
        <w:t xml:space="preserve">”</w:t>
      </w:r>
      <w:r>
        <w:t xml:space="preserve"> </w:t>
      </w:r>
      <w:r>
        <w:t xml:space="preserve">constituencies.</w:t>
      </w:r>
    </w:p>
    <w:bookmarkStart w:id="25" w:name="Xf0d05062b81593b0951ce5446f9ee3a9d9efb71"/>
    <w:p>
      <w:pPr>
        <w:pStyle w:val="Heading4"/>
      </w:pPr>
      <w:r>
        <w:t xml:space="preserve">1.2.0.1</w:t>
      </w:r>
      <w:r>
        <w:t xml:space="preserve"> </w:t>
      </w:r>
      <w:r>
        <w:rPr>
          <w:iCs/>
          <w:i/>
        </w:rPr>
        <w:t xml:space="preserve">(H1A &amp; B) Direct and Proximal Carceral Contact on Target Deservingness</w:t>
      </w:r>
    </w:p>
    <w:p>
      <w:pPr>
        <w:pStyle w:val="FirstParagraph"/>
      </w:pPr>
      <w:r>
        <w:t xml:space="preserve">In the criminal legal domain, these representations are often shaped by racialized media portrayals and political discourse that emphasize danger and individual blame (Lopez 2015; Vasiljevic and Viki 2014) By definition, direct impact – incarceration – and proximate impact will change what information individuals have about its targets. Someone who is in and knows people in prison has access to information about who an incarcerated personal is outside of their</w:t>
      </w:r>
      <w:r>
        <w:t xml:space="preserve"> </w:t>
      </w:r>
      <w:r>
        <w:t xml:space="preserve">“</w:t>
      </w:r>
      <w:r>
        <w:t xml:space="preserve">criminal</w:t>
      </w:r>
      <w:r>
        <w:t xml:space="preserve">”</w:t>
      </w:r>
      <w:r>
        <w:t xml:space="preserve"> </w:t>
      </w:r>
      <w:r>
        <w:t xml:space="preserve">identity in a way that someone who has only seen</w:t>
      </w:r>
      <w:r>
        <w:t xml:space="preserve"> </w:t>
      </w:r>
      <w:r>
        <w:t xml:space="preserve">“</w:t>
      </w:r>
      <w:r>
        <w:t xml:space="preserve">prisoners</w:t>
      </w:r>
      <w:r>
        <w:t xml:space="preserve">”</w:t>
      </w:r>
      <w:r>
        <w:t xml:space="preserve"> </w:t>
      </w:r>
      <w:r>
        <w:t xml:space="preserve">on TV may not. This informational effect alone could translate to more generous interpretations of deservingness (Oorschot 2000, 2006, Feather 2009).</w:t>
      </w:r>
    </w:p>
    <w:p>
      <w:pPr>
        <w:pStyle w:val="BodyText"/>
      </w:pPr>
      <w:r>
        <w:t xml:space="preserve">For example, contact may lead individuals to see incarcerated people as facing substantial hardships (</w:t>
      </w:r>
      <w:r>
        <w:rPr>
          <w:iCs/>
          <w:i/>
        </w:rPr>
        <w:t xml:space="preserve">need</w:t>
      </w:r>
      <w:r>
        <w:t xml:space="preserve">), with less control over the conditions that led to incarceration (</w:t>
      </w:r>
      <w:r>
        <w:rPr>
          <w:iCs/>
          <w:i/>
        </w:rPr>
        <w:t xml:space="preserve">control</w:t>
      </w:r>
      <w:r>
        <w:t xml:space="preserve">), and as capable of gratitude, growth, or giving back (</w:t>
      </w:r>
      <w:r>
        <w:rPr>
          <w:iCs/>
          <w:i/>
        </w:rPr>
        <w:t xml:space="preserve">reciprocity</w:t>
      </w:r>
      <w:r>
        <w:t xml:space="preserve">,</w:t>
      </w:r>
      <w:r>
        <w:t xml:space="preserve"> </w:t>
      </w:r>
      <w:r>
        <w:rPr>
          <w:iCs/>
          <w:i/>
        </w:rPr>
        <w:t xml:space="preserve">attitude</w:t>
      </w:r>
      <w:r>
        <w:t xml:space="preserve">). In contrast to dominant constructions that depict incarcerated people as undeserving, contact may</w:t>
      </w:r>
      <w:r>
        <w:t xml:space="preserve"> </w:t>
      </w:r>
      <w:r>
        <w:t xml:space="preserve">“</w:t>
      </w:r>
      <w:r>
        <w:t xml:space="preserve">fill in</w:t>
      </w:r>
      <w:r>
        <w:t xml:space="preserve">”</w:t>
      </w:r>
      <w:r>
        <w:t xml:space="preserve"> </w:t>
      </w:r>
      <w:r>
        <w:t xml:space="preserve">these criteria with lived or vicarious knowledge. On this dimension, then, contact may generate warmer deservingness perceptions by replacing stereotypes with personalized, alternative narratives about who carceral citizens are and what they endure.</w:t>
      </w:r>
    </w:p>
    <w:p>
      <w:pPr>
        <w:pStyle w:val="BodyText"/>
      </w:pPr>
      <w:r>
        <w:t xml:space="preserve">While policy feedback literature shows that many carceral citizens and their networks internalize the clear</w:t>
      </w:r>
      <w:r>
        <w:t xml:space="preserve"> </w:t>
      </w:r>
      <w:r>
        <w:t xml:space="preserve">“</w:t>
      </w:r>
      <w:r>
        <w:t xml:space="preserve">undeserving</w:t>
      </w:r>
      <w:r>
        <w:t xml:space="preserve">”</w:t>
      </w:r>
      <w:r>
        <w:t xml:space="preserve"> </w:t>
      </w:r>
      <w:r>
        <w:t xml:space="preserve">messages that prison policy sends, it also shows that, across contexts where interactions with the criminal legal system mobilize or demobilize, these experiences shape attitudes towards the state (Anoll et al 2022, Anoll and Israel-Trummel 2019, Walker 2020, Lerman and Weaver 2014). As such, I propose that interactions with the criminal legal system should also shape attitudes towards</w:t>
      </w:r>
      <w:r>
        <w:t xml:space="preserve"> </w:t>
      </w:r>
      <w:r>
        <w:rPr>
          <w:iCs/>
          <w:i/>
        </w:rPr>
        <w:t xml:space="preserve">targets</w:t>
      </w:r>
      <w:r>
        <w:t xml:space="preserve"> </w:t>
      </w:r>
      <w:r>
        <w:t xml:space="preserve">of the state. While some work finds that targets of policy can internalize negative or undeserving constructions (Soss 1999), much of the work on criminal legal contact stresses that demobilization is a product of resource effects or interpretive effects</w:t>
      </w:r>
      <w:r>
        <w:t xml:space="preserve"> </w:t>
      </w:r>
      <w:r>
        <w:rPr>
          <w:iCs/>
          <w:i/>
        </w:rPr>
        <w:t xml:space="preserve">distinct</w:t>
      </w:r>
      <w:r>
        <w:t xml:space="preserve"> </w:t>
      </w:r>
      <w:r>
        <w:t xml:space="preserve">from an</w:t>
      </w:r>
      <w:r>
        <w:t xml:space="preserve"> </w:t>
      </w:r>
      <w:r>
        <w:t xml:space="preserve">“</w:t>
      </w:r>
      <w:r>
        <w:t xml:space="preserve">undeserving</w:t>
      </w:r>
      <w:r>
        <w:t xml:space="preserve">”</w:t>
      </w:r>
      <w:r>
        <w:t xml:space="preserve"> </w:t>
      </w:r>
      <w:r>
        <w:t xml:space="preserve">self-conception (Lerman and Weaver 2014, White 2019). Instead, other work emphasizes that direct contact with the criminal legal system can heighten in-group solidarity and mobilize in spite resource and interpretive feedbacks that should be demobilizing, specifically when policy targets reject policy</w:t>
      </w:r>
      <w:r>
        <w:t xml:space="preserve"> </w:t>
      </w:r>
      <w:r>
        <w:t xml:space="preserve">“</w:t>
      </w:r>
      <w:r>
        <w:t xml:space="preserve">teachings</w:t>
      </w:r>
      <w:r>
        <w:t xml:space="preserve">”</w:t>
      </w:r>
      <w:r>
        <w:t xml:space="preserve"> </w:t>
      </w:r>
      <w:r>
        <w:t xml:space="preserve">about their lower civic status as part of a sense of systemic injustice – suggesting a perception that the criminal legal system is less legitimate or authoritative, and of its targets as distinctly deserving (Walker 2020).</w:t>
      </w:r>
    </w:p>
    <w:p>
      <w:pPr>
        <w:pStyle w:val="BodyText"/>
      </w:pPr>
      <w:r>
        <w:t xml:space="preserve">Proximal contact also generates political mobilization despite policy experiences that</w:t>
      </w:r>
      <w:r>
        <w:t xml:space="preserve"> </w:t>
      </w:r>
      <w:r>
        <w:t xml:space="preserve">“</w:t>
      </w:r>
      <w:r>
        <w:t xml:space="preserve">should</w:t>
      </w:r>
      <w:r>
        <w:t xml:space="preserve">”</w:t>
      </w:r>
      <w:r>
        <w:t xml:space="preserve"> </w:t>
      </w:r>
      <w:r>
        <w:t xml:space="preserve">demobilize (Anoll et al 2022, White 2019b). Anoll’s (2022) findings that family of the incarcerated vote at higher rates in states with more stringent carceral disenfranchisement policies suggests that</w:t>
      </w:r>
      <w:r>
        <w:t xml:space="preserve"> </w:t>
      </w:r>
      <w:r>
        <w:t xml:space="preserve">“</w:t>
      </w:r>
      <w:r>
        <w:t xml:space="preserve">surrogate</w:t>
      </w:r>
      <w:r>
        <w:t xml:space="preserve">”</w:t>
      </w:r>
      <w:r>
        <w:t xml:space="preserve"> </w:t>
      </w:r>
      <w:r>
        <w:t xml:space="preserve">mobilization is motivated by a desire to act on behalf a</w:t>
      </w:r>
      <w:r>
        <w:t xml:space="preserve"> </w:t>
      </w:r>
      <w:r>
        <w:t xml:space="preserve">“</w:t>
      </w:r>
      <w:r>
        <w:t xml:space="preserve">deserving</w:t>
      </w:r>
      <w:r>
        <w:t xml:space="preserve">”</w:t>
      </w:r>
      <w:r>
        <w:t xml:space="preserve"> </w:t>
      </w:r>
      <w:r>
        <w:t xml:space="preserve">incarcerated citizen. Her findings with Israel-Trummel (2019) that neighborhood exposure to racially discriminatory policing generate perceptions of institutional</w:t>
      </w:r>
      <w:r>
        <w:t xml:space="preserve"> </w:t>
      </w:r>
      <w:r>
        <w:rPr>
          <w:iCs/>
          <w:i/>
        </w:rPr>
        <w:t xml:space="preserve">il</w:t>
      </w:r>
      <w:r>
        <w:t xml:space="preserve">legitimacy – distrust in police and government – suggest exposure should also alter and perhaps enhance perceptions in institutional targets as well.</w:t>
      </w:r>
    </w:p>
    <w:p>
      <w:pPr>
        <w:pStyle w:val="BodyText"/>
      </w:pPr>
      <w:r>
        <w:t xml:space="preserve">Like others (Anoll and Israel-Trummel 2019, Walker 2014), I note that those proximally impacted may be somewhat more removed from undeserving messages than the incarcerated, which should lead to warmer perceptions of carceral deservingness for the proximally than directly impacted. A limitation of this hypothesis is the improbability of people who have been incarcerated not knowing another incarcerated person well.</w:t>
      </w:r>
    </w:p>
    <w:p>
      <w:pPr>
        <w:pStyle w:val="BodyText"/>
      </w:pPr>
      <w:r>
        <w:rPr>
          <w:bCs/>
          <w:b/>
        </w:rPr>
        <w:t xml:space="preserve">(H1)</w:t>
      </w:r>
      <w:r>
        <w:t xml:space="preserve"> </w:t>
      </w:r>
      <w:r>
        <w:t xml:space="preserve">those with direct or proximal experiences with the carceral state will view incarcerated people as more deserving, and</w:t>
      </w:r>
      <w:r>
        <w:t xml:space="preserve"> </w:t>
      </w:r>
      <w:r>
        <w:rPr>
          <w:bCs/>
          <w:b/>
        </w:rPr>
        <w:t xml:space="preserve">(H1A)</w:t>
      </w:r>
      <w:r>
        <w:t xml:space="preserve"> </w:t>
      </w:r>
      <w:r>
        <w:t xml:space="preserve">those who know incarcerated people should report the most generosity.</w:t>
      </w:r>
    </w:p>
    <w:bookmarkEnd w:id="25"/>
    <w:bookmarkStart w:id="26" w:name="Xba328f406981a4926f071c0cb33b187fcdfeb2b"/>
    <w:p>
      <w:pPr>
        <w:pStyle w:val="Heading4"/>
      </w:pPr>
      <w:r>
        <w:t xml:space="preserve">1.2.0.2</w:t>
      </w:r>
      <w:r>
        <w:t xml:space="preserve"> </w:t>
      </w:r>
      <w:r>
        <w:rPr>
          <w:iCs/>
          <w:i/>
        </w:rPr>
        <w:t xml:space="preserve">(H1C) Victimization Effects on Deservingness Perceptions</w:t>
      </w:r>
    </w:p>
    <w:p>
      <w:pPr>
        <w:pStyle w:val="FirstParagraph"/>
      </w:pPr>
      <w:r>
        <w:t xml:space="preserve">While victimization might intuitively drive negative perceptions of carceral citizens, I suggest the relationship is more complex. Researchers provide evidence that more abstracted, dehumanized stereotypes about carceral citizens (Vasiljevic and Viki 2014) generate harsher assessments of culpability (Levinson 2007, Levinson et al 2010, Donovan 2007, Israel-Trummel and Streeter 2021) and sentences (Rehavi and Starr 2014) suggesting that information</w:t>
      </w:r>
      <w:r>
        <w:t xml:space="preserve"> </w:t>
      </w:r>
      <w:r>
        <w:rPr>
          <w:iCs/>
          <w:i/>
        </w:rPr>
        <w:t xml:space="preserve">besides</w:t>
      </w:r>
      <w:r>
        <w:t xml:space="preserve"> </w:t>
      </w:r>
      <w:r>
        <w:t xml:space="preserve">conviction and crime about carceral citizens should have a countervailing humanizing effect (Uggen and Manza 2006).</w:t>
      </w:r>
    </w:p>
    <w:p>
      <w:pPr>
        <w:pStyle w:val="BodyText"/>
      </w:pPr>
      <w:r>
        <w:t xml:space="preserve">There are clear reasons why victimization may generate undeserving perceptions: victimization is highly a salient experience that for many drives negative affect toward those who commit crimes (Ditton et al. 1999). Victims usually engage the criminal legal system because they believe their offender is deserving of punishment, and they are deserving of establishing a sense of safety and justice. Evidence that jurists who have experienced property crime are more likely to see defendents who committed that same crime as culpable and convict too may suggest an ungenerous reading of the CARIN criteria, and reluctance to offer carceral citizenss policy help (Culhane et al 2004).</w:t>
      </w:r>
    </w:p>
    <w:p>
      <w:pPr>
        <w:pStyle w:val="BodyText"/>
      </w:pPr>
      <w:r>
        <w:t xml:space="preserve">However, this logic assumes clear victim-offender boundaries and risks ignoring the broader social context in which violence occurs. And victims have few other options than engaging with the criminal legal system – including if they know their perpetrator personally or understand their perpetrator to be in need of help. And such overlap in contact is significant (Gebo 2019). Victims of violent crime are disproportionately part of communities most heavily policed and incarcerated, most victims of violent crime know their offender (Bureau of Justice 2024), and most individuals who experience incarceration have also been victimized.[^victim] Thus, while for many victims the proximity and salience of a criminal may bolster negative social constructions and deservingness perceptions, it might also translate to more nuanced perceptions of culpability and a closer alignment of identity that moderates negative affect.</w:t>
      </w:r>
    </w:p>
    <w:p>
      <w:pPr>
        <w:pStyle w:val="BodyText"/>
      </w:pPr>
      <w:r>
        <w:t xml:space="preserve">Moreover, victims face restrictive,</w:t>
      </w:r>
      <w:r>
        <w:t xml:space="preserve"> </w:t>
      </w:r>
      <w:r>
        <w:t xml:space="preserve">“</w:t>
      </w:r>
      <w:r>
        <w:t xml:space="preserve">sticky</w:t>
      </w:r>
      <w:r>
        <w:t xml:space="preserve">”</w:t>
      </w:r>
      <w:r>
        <w:t xml:space="preserve"> </w:t>
      </w:r>
      <w:r>
        <w:t xml:space="preserve">social constructions – what Lens et al (2014) note generate negative feedbacks. While navigating narrow expectations of</w:t>
      </w:r>
      <w:r>
        <w:t xml:space="preserve"> </w:t>
      </w:r>
      <w:r>
        <w:t xml:space="preserve">“</w:t>
      </w:r>
      <w:r>
        <w:t xml:space="preserve">appropriate</w:t>
      </w:r>
      <w:r>
        <w:t xml:space="preserve">”</w:t>
      </w:r>
      <w:r>
        <w:t xml:space="preserve"> </w:t>
      </w:r>
      <w:r>
        <w:t xml:space="preserve">emotional responses in the criminal justice process – non-emotional victims risk disbelief while overly emotional victims face judgment – victims experience</w:t>
      </w:r>
      <w:r>
        <w:t xml:space="preserve"> </w:t>
      </w:r>
      <w:r>
        <w:t xml:space="preserve">“</w:t>
      </w:r>
      <w:r>
        <w:t xml:space="preserve">secondary victimizations</w:t>
      </w:r>
      <w:r>
        <w:t xml:space="preserve">”</w:t>
      </w:r>
      <w:r>
        <w:t xml:space="preserve"> </w:t>
      </w:r>
      <w:r>
        <w:t xml:space="preserve">that foment institutional distrust. In this way, victims may come to share with incarcerated individuals not only carceral exposure, but also skepticism toward the system itself and its moral judgments about who is or isn’t deserving (Walker 2020; Anoll &amp; Israel-Trummel 2019). For some, this may produce more nuanced assessments of incarcerated people as victims of systemic injustice rather than mere perpetrators. For others, especially those who strongly identify with retributive justice or lack personal connection to offenders, deservingness perceptions may remain harsher. I therefore expect that:</w:t>
      </w:r>
    </w:p>
    <w:p>
      <w:pPr>
        <w:pStyle w:val="BodyText"/>
      </w:pPr>
      <w:r>
        <w:rPr>
          <w:bCs/>
          <w:b/>
        </w:rPr>
        <w:t xml:space="preserve">(H1C)</w:t>
      </w:r>
      <w:r>
        <w:t xml:space="preserve"> </w:t>
      </w:r>
      <w:r>
        <w:rPr>
          <w:iCs/>
          <w:i/>
        </w:rPr>
        <w:t xml:space="preserve">Victims of violent crime may vary more than other impacted groups in their perceptions of incarcerated people’s deservingness, but on average, will still express more generous views than individuals with no direct or proximate contact with the carceral system.</w:t>
      </w:r>
    </w:p>
    <w:bookmarkEnd w:id="26"/>
    <w:bookmarkStart w:id="27" w:name="h2-contact-on-policy-preferences"/>
    <w:p>
      <w:pPr>
        <w:pStyle w:val="Heading4"/>
      </w:pPr>
      <w:r>
        <w:t xml:space="preserve">1.2.0.3 (H2)</w:t>
      </w:r>
      <w:r>
        <w:t xml:space="preserve"> </w:t>
      </w:r>
      <w:r>
        <w:rPr>
          <w:iCs/>
          <w:i/>
        </w:rPr>
        <w:t xml:space="preserve">Contact on Policy Preferences</w:t>
      </w:r>
    </w:p>
    <w:p>
      <w:pPr>
        <w:pStyle w:val="FirstParagraph"/>
      </w:pPr>
      <w:r>
        <w:t xml:space="preserve">Social construction theory suggests that perceptions of target deservingness translate directly to policy preferences: groups constructed as undeserving receive punitive policy while deserving groups receive beneficial policy (Schneider and Ingram 1993). Applied to the carceral domain, this means that warmer perceptions of incarcerated people’s deservingness predict greater support for policies that help rather than punish them. Thus, deservingness acts as a mediating bridge between group perception and carceral policy support. I therefore hypothesize that:</w:t>
      </w:r>
    </w:p>
    <w:p>
      <w:pPr>
        <w:pStyle w:val="BodyText"/>
      </w:pPr>
      <w:r>
        <w:rPr>
          <w:bCs/>
          <w:b/>
        </w:rPr>
        <w:t xml:space="preserve">(H2)</w:t>
      </w:r>
      <w:r>
        <w:t xml:space="preserve"> </w:t>
      </w:r>
      <w:r>
        <w:t xml:space="preserve">more generous perceptions of carceral citizens’ deservingness will predict greater support for assistance-oriented policies and reduced support for punitive policies.</w:t>
      </w:r>
    </w:p>
    <w:p>
      <w:pPr>
        <w:pStyle w:val="BodyText"/>
      </w:pPr>
      <w:r>
        <w:t xml:space="preserve">However, evidence from SoRelle and Laws (2023) and others suggests the relationship between deservingness perceptions and policy support may not be straightforward in all contexts. The criminal legal domain may have unique dynamics where perceptions of groups and support for policies directed at them operate through different mechanisms.</w:t>
      </w:r>
    </w:p>
    <w:bookmarkEnd w:id="27"/>
    <w:bookmarkStart w:id="28" w:name="X5b44ca3a0bb242c757b604ed59baf07d10ee104"/>
    <w:p>
      <w:pPr>
        <w:pStyle w:val="Heading4"/>
      </w:pPr>
      <w:r>
        <w:t xml:space="preserve">1.2.0.4</w:t>
      </w:r>
      <w:r>
        <w:t xml:space="preserve"> </w:t>
      </w:r>
      <w:r>
        <w:rPr>
          <w:iCs/>
          <w:i/>
          <w:bCs/>
          <w:b/>
        </w:rPr>
        <w:t xml:space="preserve">(H3) Contact on Deservingness-Policy Mediation</w:t>
      </w:r>
    </w:p>
    <w:p>
      <w:pPr>
        <w:pStyle w:val="FirstParagraph"/>
      </w:pPr>
      <w:r>
        <w:t xml:space="preserve">While deservingness perceptions may be expected to mediate the relationship between policy experience and beliefs, they may not account for all the ways in which experience with the system shapes public opinion, particular in their application to the criminal legal domain. First, Schneider and Ingram (2019) find that even</w:t>
      </w:r>
      <w:r>
        <w:t xml:space="preserve"> </w:t>
      </w:r>
      <w:r>
        <w:t xml:space="preserve">“</w:t>
      </w:r>
      <w:r>
        <w:t xml:space="preserve">deviant</w:t>
      </w:r>
      <w:r>
        <w:t xml:space="preserve">”</w:t>
      </w:r>
      <w:r>
        <w:t xml:space="preserve"> </w:t>
      </w:r>
      <w:r>
        <w:t xml:space="preserve">groups (carceral citizens) can become the beneficiaries of policy change, challenging earlier assumptions about the immovability of negative constructions – or suggesting that perceptions of overall target deservingness may not universally predict policy views. Second, differences in the interpretation of CARIN criteria could equally reflect assessments that, for impacted people, are grounded more clearly in ideas about conditions and consequences of confinement. This may be particularly the case given the wide the informational gap between how people who have been incarcerated or support loved ones who are incarcerated, and those for whom a prison is an abstraction (Lee and Comfort 2014). More broadly, however, deservingness literature was established around questions of how people think about welfare provision, and recent work suggests a predictive power of deservingness may dimnish in other domains (SoRelle and Laws 2023).</w:t>
      </w:r>
    </w:p>
    <w:p>
      <w:pPr>
        <w:pStyle w:val="BodyText"/>
      </w:pPr>
      <w:r>
        <w:t xml:space="preserve">Further, aforementioned policy feedback literature does not test whether altered conceptions of deservingness translate to mobilization in the face of undeserving policy messages – such perceptions of</w:t>
      </w:r>
      <w:r>
        <w:t xml:space="preserve"> </w:t>
      </w:r>
      <w:r>
        <w:t xml:space="preserve">“</w:t>
      </w:r>
      <w:r>
        <w:t xml:space="preserve">systemic injustice</w:t>
      </w:r>
      <w:r>
        <w:t xml:space="preserve">”</w:t>
      </w:r>
      <w:r>
        <w:t xml:space="preserve"> </w:t>
      </w:r>
      <w:r>
        <w:t xml:space="preserve">(Walker 2020),</w:t>
      </w:r>
      <w:r>
        <w:t xml:space="preserve"> </w:t>
      </w:r>
      <w:r>
        <w:t xml:space="preserve">“</w:t>
      </w:r>
      <w:r>
        <w:t xml:space="preserve">surrogate mobilization</w:t>
      </w:r>
      <w:r>
        <w:t xml:space="preserve">”</w:t>
      </w:r>
      <w:r>
        <w:t xml:space="preserve"> </w:t>
      </w:r>
      <w:r>
        <w:t xml:space="preserve">(Anoll 2022), and instititutional illegitimacy (Anoll et al. 2019) and state illigitimacy (Harris 2025) could equally reflect a disjuncture between how generally deserving a group understands themselves to be considered in society, and what policy is fair.</w:t>
      </w:r>
    </w:p>
    <w:p>
      <w:pPr>
        <w:pStyle w:val="BodyText"/>
      </w:pPr>
      <w:r>
        <w:t xml:space="preserve">In short, contact with the carceral system may shape policy views through multiple channels: deservingness is one, but not necessarily the only or dominant one. This hypothesis therefore adjudicates between two theoretical possibilities: (1) contact affects policy views</w:t>
      </w:r>
      <w:r>
        <w:t xml:space="preserve"> </w:t>
      </w:r>
      <w:r>
        <w:rPr>
          <w:iCs/>
          <w:i/>
        </w:rPr>
        <w:t xml:space="preserve">only</w:t>
      </w:r>
      <w:r>
        <w:t xml:space="preserve"> </w:t>
      </w:r>
      <w:r>
        <w:t xml:space="preserve">via changes in deservingness (a mediated effect), or (2) contact also exerts independent effects through broader lessons about institutions, identity, or justice.</w:t>
      </w:r>
    </w:p>
    <w:p>
      <w:pPr>
        <w:pStyle w:val="BodyText"/>
      </w:pPr>
      <w:r>
        <w:rPr>
          <w:bCs/>
          <w:b/>
        </w:rPr>
        <w:t xml:space="preserve">H3.</w:t>
      </w:r>
      <w:r>
        <w:t xml:space="preserve"> </w:t>
      </w:r>
      <w:r>
        <w:t xml:space="preserve">Direct and proximate experiences with incarceration and victimization will predict greater support for assistance-oriented or decarceral policies, even after accounting for perceived deservingness of incarcerated people.</w:t>
      </w:r>
    </w:p>
    <w:p>
      <w:pPr>
        <w:pStyle w:val="BodyText"/>
      </w:pPr>
      <w:r>
        <w:t xml:space="preserve">These findings suggest that carceral contact may affect policy preferences through mechanisms beyond deservingness perceptions alone. I therefore hypothesize that</w:t>
      </w:r>
      <w:r>
        <w:t xml:space="preserve"> </w:t>
      </w:r>
      <w:r>
        <w:rPr>
          <w:bCs/>
          <w:b/>
        </w:rPr>
        <w:t xml:space="preserve">(H4)</w:t>
      </w:r>
      <w:r>
        <w:t xml:space="preserve"> </w:t>
      </w:r>
      <w:r>
        <w:t xml:space="preserve">direct and proximate experiences with incarceration will lead to greater support for decarceral or assistance-oriented policies, even after controlling for deservingness perceptions.</w:t>
      </w:r>
    </w:p>
    <w:bookmarkEnd w:id="28"/>
    <w:bookmarkStart w:id="29" w:name="victimization-and-policy-preferences"/>
    <w:p>
      <w:pPr>
        <w:pStyle w:val="Heading4"/>
      </w:pPr>
      <w:r>
        <w:t xml:space="preserve">1.2.0.5 Victimization and Policy Preferences</w:t>
      </w:r>
    </w:p>
    <w:p>
      <w:pPr>
        <w:pStyle w:val="FirstParagraph"/>
      </w:pPr>
      <w:r>
        <w:t xml:space="preserve">Political narratives invoke victims as proponents of strictly punitive policies and carceral expansion and maintain the assumption their interests align with retribution. Evidence suggest the relationship between victimization and policy preferences is more complicated. First and most straightforwardly, research indicates victimization neither increases punitiveness (Kleck and Jackson 2016) nor drives support for punitive policy. [^Fresh]. Instead, victims appear more concerned with improved compensation (Shapland 1984) and may prioritize social investments in addressing root causes of crime, such as poverty and community disinvestment, over punishment (ASJ 2024).</w:t>
      </w:r>
    </w:p>
    <w:p>
      <w:pPr>
        <w:pStyle w:val="BodyText"/>
      </w:pPr>
      <w:r>
        <w:t xml:space="preserve">What’s more, experiences of</w:t>
      </w:r>
      <w:r>
        <w:t xml:space="preserve"> </w:t>
      </w:r>
      <w:r>
        <w:t xml:space="preserve">“</w:t>
      </w:r>
      <w:r>
        <w:t xml:space="preserve">expectancy violation</w:t>
      </w:r>
      <w:r>
        <w:t xml:space="preserve">”</w:t>
      </w:r>
      <w:r>
        <w:t xml:space="preserve"> </w:t>
      </w:r>
      <w:r>
        <w:t xml:space="preserve">and secondary victimization documented by Lens et al. (2014) suggest victims may develop institutional skepticism that directly shapes their policy views beyond their perceptions of perpetrators. Victims who experience the criminal justice system as imposing restrictive narratives may develop policy preferences focused on systemic reform rather than individual punishment. Further still, evidence that victimization increases political participation (Bateson 2012), including in resource-intensive community organizing, further suggests victims develop nuanced policy perspectives that may not align with simple punitive impulses – or decouple target deservingness from ideas about good policy. Therefore, I extend H4 to include victims, suggesting victimization experience will also predict greater support for assistance-oriented policies beyond what is explained by deservingness perceptions.</w:t>
      </w:r>
    </w:p>
    <w:bookmarkEnd w:id="29"/>
    <w:bookmarkStart w:id="30" w:name="X1a148f55fe6a827e56428103c3c21df214e4f17"/>
    <w:p>
      <w:pPr>
        <w:pStyle w:val="Heading4"/>
      </w:pPr>
      <w:r>
        <w:t xml:space="preserve">1.2.0.6 (H3) Contact and Policy Support Beyond Deservingness</w:t>
      </w:r>
    </w:p>
    <w:p>
      <w:pPr>
        <w:pStyle w:val="FirstParagraph"/>
      </w:pPr>
      <w:r>
        <w:t xml:space="preserve">This theoretical framework recognizes multiple pathways through which carceral contact may shape both deservingness perceptions and policy preferences. While the deservingness literature suggests a straightforward relationship between deservingness and policy preferences, policy feedback literature indicates contact creates institutional effects that may independently influence policy views. By examining both pathways simultaneously, this study contributes to our understanding of how direct experience with policy shapes political attitudes and preferences.</w:t>
      </w:r>
    </w:p>
    <w:bookmarkEnd w:id="30"/>
    <w:bookmarkEnd w:id="31"/>
    <w:bookmarkStart w:id="33" w:name="data-and-methods"/>
    <w:p>
      <w:pPr>
        <w:pStyle w:val="Heading2"/>
      </w:pPr>
      <w:r>
        <w:t xml:space="preserve">1.3 Data and Methods</w:t>
      </w:r>
    </w:p>
    <w:p>
      <w:pPr>
        <w:pStyle w:val="FirstParagraph"/>
      </w:pPr>
      <w:r>
        <w:t xml:space="preserve">I explore whether policy contact shapes people’s attitudes about deservingness and policy, and the how deservingness perceptions mediate policy views, in a series of linear models using novel survey data collected in September 2024 by Smith, Bowman, and Mensik. The survey mimics the strengths of Kreitzer and Smith’s (2018) empirical mapping of power and deservingness constructions of 87 target populations, and makes important changes like relying on survey respondents recruited from Bovitz proprietary panel and reducing the number of groups individuals access to reduce issues of respondent fatigue.[^abc]</w:t>
      </w:r>
    </w:p>
    <w:p>
      <w:pPr>
        <w:pStyle w:val="BodyText"/>
      </w:pPr>
      <w:r>
        <w:t xml:space="preserve">The targets the US general population. 2,716 eligible participants were recruited to complete the 30-minute survey on the platform Forthright, and were paid 10 dollars. The sample is just under 51% women and 49% men, and leans more Democratic than the national average (39% versus 31%) but is equally Republican (25%).[^1] I apply exclusion restrictions for low response quality, failing to pass all three attention checks, and extreme outlier responses, and also create two response quality variables for robustness checks, resulting in a final sample of [2,286]. Sample details are in Table 1 of the appendix.</w:t>
      </w:r>
    </w:p>
    <w:p>
      <w:pPr>
        <w:pStyle w:val="BodyText"/>
      </w:pPr>
      <w:r>
        <w:rPr>
          <w:bCs/>
          <w:b/>
        </w:rPr>
        <w:t xml:space="preserve">Measuring Deservingness Perceptions, Contact, and Policy Views.</w:t>
      </w:r>
    </w:p>
    <w:p>
      <w:pPr>
        <w:pStyle w:val="BodyText"/>
      </w:pPr>
      <w:r>
        <w:t xml:space="preserve">In this study, I investigate the correlation between criminal legal policy experience and perceptions of criminal legal target deservingness as well as views on criminal legal policy, and the extent to which deservingness perceptions mediate policy views. As such, my primary variables of interest concern deservingness ratings for target groups,</w:t>
      </w:r>
      <w:r>
        <w:t xml:space="preserve"> </w:t>
      </w:r>
      <w:r>
        <w:t xml:space="preserve">“</w:t>
      </w:r>
      <w:r>
        <w:t xml:space="preserve">contact</w:t>
      </w:r>
      <w:r>
        <w:t xml:space="preserve">”</w:t>
      </w:r>
      <w:r>
        <w:t xml:space="preserve"> </w:t>
      </w:r>
      <w:r>
        <w:t xml:space="preserve">with the criminal legal system, and policy views.</w:t>
      </w:r>
    </w:p>
    <w:p>
      <w:pPr>
        <w:pStyle w:val="BodyText"/>
      </w:pPr>
      <w:r>
        <w:t xml:space="preserve">Perceptions of target deservingness are operationalized using 0-100 sliding scale ratings of</w:t>
      </w:r>
      <w:r>
        <w:t xml:space="preserve"> </w:t>
      </w:r>
      <w:r>
        <w:t xml:space="preserve">“</w:t>
      </w:r>
      <w:r>
        <w:t xml:space="preserve">incarcerated people/prisoners.</w:t>
      </w:r>
      <w:r>
        <w:t xml:space="preserve">”</w:t>
      </w:r>
      <w:r>
        <w:t xml:space="preserve"> </w:t>
      </w:r>
      <w:r>
        <w:t xml:space="preserve">After reading a short explanation of what deserving usually connotes (Figure # ), respondents rated the deservingness of a total of 65 groups. I standardize deservingness by taking difference between the score a respondent gives to a given group and the average score the respondent gave across all groups. I also normalize deservingness scores by calculating mean deservingness scores of incarcerated people for all respondents and subtract each respondent’s individual rating of incarcerated people from this mean to report whether incarcerated deservingness ratings are above or below average.</w:t>
      </w:r>
    </w:p>
    <w:p>
      <w:pPr>
        <w:pStyle w:val="BodyText"/>
      </w:pPr>
      <w:r>
        <w:t xml:space="preserve">I argue a respondent’s experience with the criminal legal system affects perceptions of carceral citizens’ deservingness, it’s mediation of policy views, and those views directly. To measure policy contact and proximate contact, I ask respondents whether they or someone they know well have been</w:t>
      </w:r>
      <w:r>
        <w:t xml:space="preserve"> </w:t>
      </w:r>
      <w:r>
        <w:t xml:space="preserve">“</w:t>
      </w:r>
      <w:r>
        <w:t xml:space="preserve">incarcerated in jail or prison,</w:t>
      </w:r>
      <w:r>
        <w:t xml:space="preserve">”</w:t>
      </w:r>
      <w:r>
        <w:t xml:space="preserve"> </w:t>
      </w:r>
      <w:r>
        <w:t xml:space="preserve">and/or whether they and/or someone they now have</w:t>
      </w:r>
      <w:r>
        <w:t xml:space="preserve"> </w:t>
      </w:r>
      <w:r>
        <w:t xml:space="preserve">“</w:t>
      </w:r>
      <w:r>
        <w:t xml:space="preserve">been a victim of violent crime.</w:t>
      </w:r>
      <w:r>
        <w:t xml:space="preserve">”</w:t>
      </w:r>
      <w:r>
        <w:t xml:space="preserve"> </w:t>
      </w:r>
      <w:r>
        <w:t xml:space="preserve">I construct three binary indicators for the three contact types of interest, which represent respondents who have been incarcerated (1), know someone incarcerated (1), or have been victimized (1), with each including respondents who have also experienced other forms of contact, or not (0). Additionally, I construct a single</w:t>
      </w:r>
      <w:r>
        <w:t xml:space="preserve"> </w:t>
      </w:r>
      <w:r>
        <w:t xml:space="preserve">“</w:t>
      </w:r>
      <w:r>
        <w:t xml:space="preserve">impact</w:t>
      </w:r>
      <w:r>
        <w:t xml:space="preserve">”</w:t>
      </w:r>
      <w:r>
        <w:t xml:space="preserve"> </w:t>
      </w:r>
      <w:r>
        <w:t xml:space="preserve">dummy to capture all three impacted groups. I expect that respondents under report both victimization and incarceration because they are stigmatized experience, introducing random noise [under-estimates?? confounding?].</w:t>
      </w:r>
    </w:p>
    <w:p>
      <w:pPr>
        <w:pStyle w:val="BodyText"/>
      </w:pPr>
      <w:r>
        <w:t xml:space="preserve">In extended models, I create separate dummy variables for each possible combinations of contact, including knowing someone who has been victimized.</w:t>
      </w:r>
      <w:r>
        <w:t xml:space="preserve"> </w:t>
      </w:r>
      <w:r>
        <w:rPr>
          <w:iCs/>
          <w:i/>
        </w:rPr>
        <w:t xml:space="preserve">Table X presents the breakdown of respondent experiences</w:t>
      </w:r>
      <w:r>
        <w:t xml:space="preserve">. While my operationalization of victimization precludes the ability to ascertain whether the respondent interacted with the criminal legal system as a victim, weakening claims that changes reflect feedback effects, I argue that understanding feedback effects of the carceral state as a whole and distinctions in how people who have more</w:t>
      </w:r>
      <w:r>
        <w:t xml:space="preserve"> </w:t>
      </w:r>
      <w:r>
        <w:t xml:space="preserve">‘</w:t>
      </w:r>
      <w:r>
        <w:t xml:space="preserve">direct stakes</w:t>
      </w:r>
      <w:r>
        <w:t xml:space="preserve">’</w:t>
      </w:r>
      <w:r>
        <w:t xml:space="preserve"> </w:t>
      </w:r>
      <w:r>
        <w:t xml:space="preserve">in carceral policy differ in how they think about policy from those who do not requires accounting for overlapping burdens. This also enables me to control for countervailing effects of discrete experiences. Because knowing a victim of violent crime may have distinct effects, it is important to operationalize, although exploring those impacts are above the scope of this paper. [Would I discuss robustness checks here?].</w:t>
      </w:r>
    </w:p>
    <w:p>
      <w:pPr>
        <w:pStyle w:val="BodyText"/>
      </w:pPr>
      <w:r>
        <w:t xml:space="preserve">Finally, to explore how contact shapes views on policy views and moderates deservingness’ mediation of policy views, I ask respondents their Likert-scale support/opposition to six items on criminal legal policy. Two items (support for the death penalty and for life without parole) are combined in a</w:t>
      </w:r>
      <w:r>
        <w:t xml:space="preserve"> </w:t>
      </w:r>
      <w:r>
        <w:t xml:space="preserve">‘</w:t>
      </w:r>
      <w:r>
        <w:t xml:space="preserve">prison_penalty</w:t>
      </w:r>
      <w:r>
        <w:t xml:space="preserve">’</w:t>
      </w:r>
      <w:r>
        <w:t xml:space="preserve"> </w:t>
      </w:r>
      <w:r>
        <w:t xml:space="preserve">support index, and the remainder which involve policy help (minimum wage pay requirements for incarcerated workers, voting rights restoration, etc) are combined in a</w:t>
      </w:r>
      <w:r>
        <w:t xml:space="preserve"> </w:t>
      </w:r>
      <w:r>
        <w:t xml:space="preserve">‘</w:t>
      </w:r>
      <w:r>
        <w:t xml:space="preserve">prison_help</w:t>
      </w:r>
      <w:r>
        <w:t xml:space="preserve">’</w:t>
      </w:r>
      <w:r>
        <w:t xml:space="preserve"> </w:t>
      </w:r>
      <w:r>
        <w:t xml:space="preserve">support index.</w:t>
      </w:r>
      <w:r>
        <w:t xml:space="preserve"> </w:t>
      </w:r>
      <w:r>
        <w:rPr>
          <w:iCs/>
          <w:i/>
        </w:rPr>
        <w:t xml:space="preserve">Note: I don’t combine bc testing help vs penalizing.</w:t>
      </w:r>
    </w:p>
    <w:bookmarkStart w:id="32" w:name="other-factors-influencing-policy-views"/>
    <w:p>
      <w:pPr>
        <w:pStyle w:val="Heading4"/>
      </w:pPr>
      <w:r>
        <w:t xml:space="preserve">1.3.0.1 Other Factors Influencing Policy Views</w:t>
      </w:r>
    </w:p>
    <w:p>
      <w:pPr>
        <w:pStyle w:val="FirstParagraph"/>
      </w:pPr>
      <w:r>
        <w:t xml:space="preserve">I include</w:t>
      </w:r>
      <w:r>
        <w:t xml:space="preserve"> </w:t>
      </w:r>
      <w:r>
        <w:rPr>
          <w:iCs/>
          <w:i/>
          <w:bCs/>
          <w:b/>
        </w:rPr>
        <w:t xml:space="preserve">x</w:t>
      </w:r>
      <w:r>
        <w:t xml:space="preserve"> </w:t>
      </w:r>
      <w:r>
        <w:t xml:space="preserve">standard additional controls, and</w:t>
      </w:r>
      <w:r>
        <w:t xml:space="preserve"> </w:t>
      </w:r>
      <w:r>
        <w:rPr>
          <w:iCs/>
          <w:i/>
          <w:bCs/>
          <w:b/>
        </w:rPr>
        <w:t xml:space="preserve">y</w:t>
      </w:r>
      <w:r>
        <w:t xml:space="preserve"> </w:t>
      </w:r>
      <w:r>
        <w:t xml:space="preserve">unique controls to attend alternative explanations of perceptions of deservingness, policy views, and their relationship. First, Smith and Kreitzer (2024) show that while there are different levels of across and within partisan consensus around target group deservingness, partisanship strongly influences target social constructions. To control for party affiliation, respondents indicate whether they are Republican, Democrat, Independent, or</w:t>
      </w:r>
      <w:r>
        <w:t xml:space="preserve"> </w:t>
      </w:r>
      <w:r>
        <w:t xml:space="preserve">‘</w:t>
      </w:r>
      <w:r>
        <w:t xml:space="preserve">other party.</w:t>
      </w:r>
      <w:r>
        <w:t xml:space="preserve">’</w:t>
      </w:r>
      <w:r>
        <w:t xml:space="preserve"> </w:t>
      </w:r>
      <w:r>
        <w:t xml:space="preserve">I will dummy code party, using aggregate independent or other as my reference category, and a Republican dummy variable (1 for Republican, 0 for otherwise) and a Democrat dummy variable (1 for Democrat, 0 for otherwise). Such differences may be ideologically rooted. To capture a broader picture of political ideology, respondents were asked a series of questions related to government funding, regulation, and taxation as indicators of economic conservatism. They were also asked whether they consider themselves</w:t>
      </w:r>
      <w:r>
        <w:t xml:space="preserve"> </w:t>
      </w:r>
      <w:r>
        <w:t xml:space="preserve">“</w:t>
      </w:r>
      <w:r>
        <w:t xml:space="preserve">liberal, conservative, or somewhere in between</w:t>
      </w:r>
      <w:r>
        <w:t xml:space="preserve">”</w:t>
      </w:r>
      <w:r>
        <w:t xml:space="preserve"> </w:t>
      </w:r>
      <w:r>
        <w:t xml:space="preserve">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score.[^ideo]</w:t>
      </w:r>
    </w:p>
    <w:p>
      <w:pPr>
        <w:pStyle w:val="BodyText"/>
      </w:pPr>
      <w:r>
        <w:t xml:space="preserve">While Sniderman and Piazza (1993) contend Democrats’ punitiveness reflects ideological beliefs about personal responsibility and the rule of law, Chouhy and colleagues (2022) recently find evidence that Republican support opposition to policy help is a product of expressive punitiveness, where for Democrats, opposition is more strongly driven by</w:t>
      </w:r>
      <w:r>
        <w:t xml:space="preserve"> </w:t>
      </w:r>
      <w:r>
        <w:t xml:space="preserve">“</w:t>
      </w:r>
      <w:r>
        <w:t xml:space="preserve">culture of control</w:t>
      </w:r>
      <w:r>
        <w:t xml:space="preserve">”</w:t>
      </w:r>
      <w:r>
        <w:t xml:space="preserve"> </w:t>
      </w:r>
      <w:r>
        <w:t xml:space="preserve">impulses to think of citizenship desert in terms of merits (Miller and Alexander 2016). I can control for beliefs about the purpose of punishment using an interval</w:t>
      </w:r>
      <w:r>
        <w:t xml:space="preserve"> </w:t>
      </w:r>
      <w:r>
        <w:t xml:space="preserve">‘</w:t>
      </w:r>
      <w:r>
        <w:t xml:space="preserve">penal_point</w:t>
      </w:r>
      <w:r>
        <w:t xml:space="preserve">’</w:t>
      </w:r>
      <w:r>
        <w:t xml:space="preserve"> </w:t>
      </w:r>
      <w:r>
        <w:t xml:space="preserve">variable, with respondents’ views on whether the purpose of incarceration as to punish primarily, rehabilitate primarily, or somewhere in between, rescaled to a 0-1 metric from a 7 point scale. Because carceral contact could also moderate this view, it also used as an outcome variable.</w:t>
      </w:r>
      <w:r>
        <w:t xml:space="preserve"> </w:t>
      </w:r>
      <w:r>
        <w:rPr>
          <w:iCs/>
          <w:i/>
        </w:rPr>
        <w:t xml:space="preserve">[Mediate?]</w:t>
      </w:r>
    </w:p>
    <w:p>
      <w:pPr>
        <w:pStyle w:val="BodyText"/>
      </w:pPr>
      <w:r>
        <w:t xml:space="preserve">A broader</w:t>
      </w:r>
      <w:r>
        <w:t xml:space="preserve"> </w:t>
      </w:r>
      <w:r>
        <w:t xml:space="preserve">“</w:t>
      </w:r>
      <w:r>
        <w:t xml:space="preserve">punitive</w:t>
      </w:r>
      <w:r>
        <w:t xml:space="preserve">”</w:t>
      </w:r>
      <w:r>
        <w:t xml:space="preserve"> </w:t>
      </w:r>
      <w:r>
        <w:t xml:space="preserve">orientation may influence perceptions of what incarcerated people deserve. By this I mean that policy targets like incarcerated people may, for some, be implicitly constructed as being in need of help or intervention, socially transgressive, or unfamiliar or distant from mainsteam society. As such, deserving perceptions of incarcerated people may reflect broader attitudes towards these groups overall. Similarly, respondents may give these groups ratings that reflect</w:t>
      </w:r>
      <w:r>
        <w:t xml:space="preserve"> </w:t>
      </w:r>
      <w:r>
        <w:t xml:space="preserve">“</w:t>
      </w:r>
      <w:r>
        <w:t xml:space="preserve">deserving of some inferred benefit,</w:t>
      </w:r>
      <w:r>
        <w:t xml:space="preserve">”</w:t>
      </w:r>
      <w:r>
        <w:t xml:space="preserve"> </w:t>
      </w:r>
      <w:r>
        <w:t xml:space="preserve">where others groups, like</w:t>
      </w:r>
      <w:r>
        <w:t xml:space="preserve"> </w:t>
      </w:r>
      <w:r>
        <w:t xml:space="preserve">“</w:t>
      </w:r>
      <w:r>
        <w:t xml:space="preserve">Athiests,</w:t>
      </w:r>
      <w:r>
        <w:t xml:space="preserve">”</w:t>
      </w:r>
      <w:r>
        <w:t xml:space="preserve"> </w:t>
      </w:r>
      <w:r>
        <w:t xml:space="preserve">ratings may reflect a more generalized perception. To account for this general tendency, I construct a control variable based on respondents’ deservingness ratings of groups that are similarly framed in public discourse—such as welfare recipients, Medicaid and 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help as a whole. [^robustness]</w:t>
      </w:r>
    </w:p>
    <w:p>
      <w:pPr>
        <w:pStyle w:val="BodyText"/>
      </w:pPr>
      <w:r>
        <w:t xml:space="preserve">Similarly, some respondents may be less supportive of policies that help such groups. I use standardized survey items on relevant policies to create a policy dispositional index, including support for Mediaid and unemployment assisstence, views on minimum wage and government support for the poor, and the agreement with the importance of accepting refugees.[^help_policy]</w:t>
      </w:r>
    </w:p>
    <w:p>
      <w:pPr>
        <w:pStyle w:val="BodyText"/>
      </w:pPr>
      <w:r>
        <w:t xml:space="preserve">I will also control for respondent race and racial attitudes. Respondents are asked whether they are White, Black or African American, Native American/Alaska Native, Asian/Asian American, Native Hawaiian/Other Pacific Islander, Middle Eastern/North African, Hispanic/Latino/a/e, or</w:t>
      </w:r>
      <w:r>
        <w:t xml:space="preserve"> </w:t>
      </w:r>
      <w:r>
        <w:t xml:space="preserve">“</w:t>
      </w:r>
      <w:r>
        <w:t xml:space="preserve">my preferred response is not listed.</w:t>
      </w:r>
      <w:r>
        <w:t xml:space="preserve">”</w:t>
      </w:r>
      <w:r>
        <w:t xml:space="preserve"> </w:t>
      </w:r>
      <w:r>
        <w:t xml:space="preserve">I will use a series of indicator variables (non-Hispanic white, non-Hispanic Black, Hispanic/Latino, and</w:t>
      </w:r>
      <w:r>
        <w:t xml:space="preserve"> </w:t>
      </w:r>
      <w:r>
        <w:t xml:space="preserve">“</w:t>
      </w:r>
      <w:r>
        <w:t xml:space="preserve">other</w:t>
      </w:r>
      <w:r>
        <w:t xml:space="preserve">”</w:t>
      </w:r>
      <w:r>
        <w:t xml:space="preserve"> </w:t>
      </w:r>
      <w:r>
        <w:t xml:space="preserve">race). To control for racial attitudes, I construct a racial resentment scale combining items from the ANES</w:t>
      </w:r>
      <w:r>
        <w:t xml:space="preserve"> </w:t>
      </w:r>
      <w:r>
        <w:t xml:space="preserve">“</w:t>
      </w:r>
      <w:r>
        <w:t xml:space="preserve">Kinder</w:t>
      </w:r>
      <w:r>
        <w:t xml:space="preserve">”</w:t>
      </w:r>
      <w:r>
        <w:t xml:space="preserve"> </w:t>
      </w:r>
      <w:r>
        <w:t xml:space="preserve">battery and the FIRE scale. All items are coded such that higher values reflect greater racial resentment, with positively worded items (e.g.,</w:t>
      </w:r>
      <w:r>
        <w:t xml:space="preserve"> </w:t>
      </w:r>
      <w:r>
        <w:t xml:space="preserve">“</w:t>
      </w:r>
      <w:r>
        <w:t xml:space="preserve">White people have certain advantages…</w:t>
      </w:r>
      <w:r>
        <w:t xml:space="preserve">”</w:t>
      </w:r>
      <w:r>
        <w:t xml:space="preserve">) reverse-coded. I rescale each item to a common range and average them to produce a continuous measure of racial resentment, which is included as a control in all models.</w:t>
      </w:r>
    </w:p>
    <w:p>
      <w:pPr>
        <w:pStyle w:val="BodyText"/>
      </w:pPr>
      <w:r>
        <w:t xml:space="preserve">Finally, I also control gender, level of education, and location.[^edlocgend] I control for gender with a binary variable where respondents who identified as genderqueer or</w:t>
      </w:r>
      <w:r>
        <w:t xml:space="preserve"> </w:t>
      </w:r>
      <w:r>
        <w:t xml:space="preserve">‘</w:t>
      </w:r>
      <w:r>
        <w:t xml:space="preserve">other</w:t>
      </w:r>
      <w:r>
        <w:t xml:space="preserve">’</w:t>
      </w:r>
      <w:r>
        <w:t xml:space="preserve"> </w:t>
      </w:r>
      <w:r>
        <w:t xml:space="preserve">(of which there were relatively few) will be randomly assigned to woman (0) and men (1). Location – using information on participants state and county, I will create an albeit overly simplified binary for urban (0) or not-urban (1).</w:t>
      </w:r>
    </w:p>
    <w:bookmarkEnd w:id="32"/>
    <w:bookmarkEnd w:id="33"/>
    <w:bookmarkStart w:id="36" w:name="analysis"/>
    <w:p>
      <w:pPr>
        <w:pStyle w:val="Heading2"/>
      </w:pPr>
      <w:r>
        <w:t xml:space="preserve">1.4 Analysis</w:t>
      </w:r>
    </w:p>
    <w:p>
      <w:pPr>
        <w:pStyle w:val="FirstParagraph"/>
      </w:pPr>
      <w:r>
        <w:t xml:space="preserve">TELL WHAT WILL TELL IN ANALYIS SECTION</w:t>
      </w:r>
    </w:p>
    <w:p>
      <w:pPr>
        <w:pStyle w:val="BodyText"/>
      </w:pPr>
      <w:r>
        <w:t xml:space="preserve">I use the above described data to test my three main hypotheses with a series of regression models, with standard errors clustered by participant’s randomization block (A, B, or C). To evaluate the effect of criminal legal contact on desesrvingness perceptions, I perform several additional regressions while controlling for attitudinal conditions and demographic and political factors. This sequence allows me to test robustness and interactive effects, while building toward full specifications.</w:t>
      </w:r>
    </w:p>
    <w:p>
      <w:pPr>
        <w:pStyle w:val="BodyText"/>
      </w:pPr>
      <w:r>
        <w:t xml:space="preserve">NOTE: before the modeling, I will present descriptive summaries of:</w:t>
      </w:r>
    </w:p>
    <w:p>
      <w:pPr>
        <w:numPr>
          <w:ilvl w:val="0"/>
          <w:numId w:val="1001"/>
        </w:numPr>
        <w:pStyle w:val="Compact"/>
      </w:pPr>
      <w:r>
        <w:t xml:space="preserve">Frequencies and overlaps among contact types</w:t>
      </w:r>
    </w:p>
    <w:p>
      <w:pPr>
        <w:numPr>
          <w:ilvl w:val="0"/>
          <w:numId w:val="1001"/>
        </w:numPr>
        <w:pStyle w:val="Compact"/>
      </w:pPr>
      <w:r>
        <w:t xml:space="preserve">Summary statistics for each deservingness and policy composites</w:t>
      </w:r>
    </w:p>
    <w:p>
      <w:pPr>
        <w:numPr>
          <w:ilvl w:val="0"/>
          <w:numId w:val="1001"/>
        </w:numPr>
        <w:pStyle w:val="Compact"/>
      </w:pPr>
      <w:r>
        <w:t xml:space="preserve">Correlations between dispositional controls and core predictors</w:t>
      </w:r>
    </w:p>
    <w:p>
      <w:pPr>
        <w:pStyle w:val="FirstParagraph"/>
      </w:pPr>
      <w:r>
        <w:t xml:space="preserve">It is useful to begin by assessing broad patterns in perceptions of incarcerated people and support for criminal legal policies across impact groups. I anticipate that people who have experienced criminal legal contact will be more generous in their deservingness ratings of incarcerated people and more consistent in their support across policies that help them. To preview these patterns, Table Z presents the mean deservingness scoress (0-100 scale) of incarcerated people across four impact groups: those who have been incarcerated, those who know someone incarcerated, those who have experienced violent victimization, and those with no direct or proximate contact. I also include a fifth group—those who know victims—to examine the effects of victimization exposure alone.</w:t>
      </w:r>
    </w:p>
    <w:p>
      <w:pPr>
        <w:pStyle w:val="BodyText"/>
      </w:pPr>
      <w:r>
        <w:t xml:space="preserve">To address individual variation in baseline generosity, I report both raw scores and standardized scores. The standardization procedure centers each respondent’s rating of incarcerated people around their own average across all 65 groups, isolating their specific perception of this group. I additionally present normalized scores showing each rating’s distance from the sample-wide mean rating of incarcerated people.</w:t>
      </w:r>
    </w:p>
    <w:p>
      <w:pPr>
        <w:pStyle w:val="BodyText"/>
      </w:pPr>
      <w:r>
        <w:t xml:space="preserve">[Table Z: Mean deservingness ratings of incarcerated people by contact type]</w:t>
      </w:r>
    </w:p>
    <w:p>
      <w:pPr>
        <w:pStyle w:val="BodyText"/>
      </w:pPr>
      <w:r>
        <w:t xml:space="preserve">To explore policy opinion variation,</w:t>
      </w:r>
      <w:r>
        <w:t xml:space="preserve"> </w:t>
      </w:r>
      <w:r>
        <w:rPr>
          <w:bCs/>
          <w:b/>
        </w:rPr>
        <w:t xml:space="preserve">Table X</w:t>
      </w:r>
      <w:r>
        <w:t xml:space="preserve"> </w:t>
      </w:r>
      <w:r>
        <w:t xml:space="preserve">shows mean levels of support for prison-assistance policies and other decarceral reforms across the same impact groups. Column A focuses on support for policies that directly assist incarcerated individuals (e.g., education, family support), while Column B reports strictly punitive policy (life without parole and the death penalty). These descriptive patterns offer a first look at the extent to which contact correlates with policy orientations.</w:t>
      </w:r>
    </w:p>
    <w:p>
      <w:pPr>
        <w:pStyle w:val="BodyText"/>
      </w:pPr>
      <w:r>
        <w:t xml:space="preserve">[Table X: ]</w:t>
      </w:r>
    </w:p>
    <w:bookmarkStart w:id="35" w:name="modeling-approach"/>
    <w:p>
      <w:pPr>
        <w:pStyle w:val="Heading4"/>
      </w:pPr>
      <w:r>
        <w:t xml:space="preserve">1.4.0.1</w:t>
      </w:r>
      <w:r>
        <w:t xml:space="preserve"> </w:t>
      </w:r>
      <w:r>
        <w:rPr>
          <w:iCs/>
          <w:i/>
        </w:rPr>
        <w:t xml:space="preserve">Modeling Approach</w:t>
      </w:r>
    </w:p>
    <w:p>
      <w:pPr>
        <w:pStyle w:val="FirstParagraph"/>
      </w:pPr>
      <w:r>
        <w:t xml:space="preserve">To formally evaluate my hypotheses, I fit a series of Ordinary Least Squares (OLS) models examining the relationship between impact experiences, deservingness perceptions, and policy support. Unless otherwise stated, all models include relevant demographic and attitudinal covariates, denoted in vector form as</w:t>
      </w:r>
    </w:p>
    <w:p>
      <w:pPr>
        <w:pStyle w:val="BodyText"/>
      </w:pPr>
      <m:oMathPara>
        <m:oMathParaPr>
          <m:jc m:val="center"/>
        </m:oMathParaPr>
        <m:oMath>
          <m:r>
            <m:t>X</m:t>
          </m:r>
          <m:r>
            <m:t>i</m:t>
          </m:r>
          <m:r>
            <m:rPr>
              <m:sty m:val="p"/>
            </m:rPr>
            <m:t>′</m:t>
          </m:r>
          <m:r>
            <m:rPr>
              <m:sty m:val="p"/>
            </m:rPr>
            <m:t>⋅</m:t>
          </m:r>
          <m:r>
            <m:t>c</m:t>
          </m:r>
          <m:r>
            <m:t>o</m:t>
          </m:r>
          <m:r>
            <m:t>n</m:t>
          </m:r>
          <m:r>
            <m:t>t</m:t>
          </m:r>
          <m:r>
            <m:t>r</m:t>
          </m:r>
          <m:r>
            <m:t>o</m:t>
          </m:r>
          <m:r>
            <m:t>l</m:t>
          </m:r>
          <m:r>
            <m:t>s</m:t>
          </m:r>
          <m:sSub>
            <m:e>
              <m:r>
                <m:t>X</m:t>
              </m:r>
            </m:e>
            <m:sub>
              <m:r>
                <m:t>i</m:t>
              </m:r>
            </m:sub>
          </m:sSub>
          <m:r>
            <m:rPr>
              <m:sty m:val="p"/>
            </m:rPr>
            <m:t>′</m:t>
          </m:r>
          <m:r>
            <m:rPr>
              <m:sty m:val="p"/>
            </m:rPr>
            <m:t>⋅</m:t>
          </m:r>
          <m:r>
            <m:rPr>
              <m:nor/>
              <m:sty m:val="p"/>
            </m:rPr>
            <m:t>controls</m:t>
          </m:r>
          <m:r>
            <m:t>X</m:t>
          </m:r>
          <m:r>
            <m:t>i</m:t>
          </m:r>
          <m:r>
            <m:rPr>
              <m:sty m:val="p"/>
            </m:rPr>
            <m:t>′</m:t>
          </m:r>
        </m:oMath>
      </m:oMathPara>
    </w:p>
    <w:p>
      <w:pPr>
        <w:pStyle w:val="FirstParagraph"/>
      </w:pPr>
      <w:r>
        <w:t xml:space="preserve">​⋅controls, and standard errors are clustered by respondent (if applicable). In all models,</w:t>
      </w:r>
      <w:r>
        <w:t xml:space="preserve"> </w:t>
      </w:r>
      <m:oMath>
        <m:r>
          <m:t>i</m:t>
        </m:r>
      </m:oMath>
      <w:r>
        <w:t xml:space="preserve"> </w:t>
      </w:r>
      <w:r>
        <w:t xml:space="preserve">indexes individual respondents, and</w:t>
      </w:r>
      <w:r>
        <w:t xml:space="preserve"> </w:t>
      </w:r>
      <m:oMath>
        <m:sSub>
          <m:e>
            <m:r>
              <m:rPr>
                <m:nor/>
                <m:sty m:val="p"/>
              </m:rPr>
              <m:t>impact</m:t>
            </m:r>
          </m:e>
          <m:sub>
            <m:r>
              <m:t>i</m:t>
            </m:r>
          </m:sub>
        </m:sSub>
      </m:oMath>
      <w:r>
        <w:t xml:space="preserve"> </w:t>
      </w:r>
      <w:r>
        <w:t xml:space="preserve">captures impacted versus nonimpacted [FIX]. I interpret coefficients of interest using two-tailed hypothesis tests at the</w:t>
      </w:r>
      <w:r>
        <w:t xml:space="preserve"> </w:t>
      </w:r>
      <m:oMath>
        <m:r>
          <m:t>α</m:t>
        </m:r>
        <m:r>
          <m:rPr>
            <m:sty m:val="p"/>
          </m:rPr>
          <m:t>=</m:t>
        </m:r>
        <m:r>
          <m:t>0.05</m:t>
        </m:r>
      </m:oMath>
      <w:r>
        <w:t xml:space="preserve"> </w:t>
      </w:r>
      <w:r>
        <w:t xml:space="preserve">level. I report 95% confidence intervals and standard errors throughout.</w:t>
      </w:r>
    </w:p>
    <w:bookmarkStart w:id="34" w:name="deservingness-models"/>
    <w:p>
      <w:pPr>
        <w:pStyle w:val="Heading5"/>
      </w:pPr>
      <w:r>
        <w:t xml:space="preserve">1.4.0.1.1 Deservingness Models</w:t>
      </w:r>
    </w:p>
    <w:p>
      <w:pPr>
        <w:pStyle w:val="FirstParagraph"/>
      </w:pPr>
      <w:r>
        <w:t xml:space="preserve">My first main hypothesis,</w:t>
      </w:r>
      <w:r>
        <w:t xml:space="preserve"> </w:t>
      </w:r>
      <w:r>
        <w:rPr>
          <w:bCs/>
          <w:b/>
        </w:rPr>
        <w:t xml:space="preserve">H1</w:t>
      </w:r>
      <w:r>
        <w:t xml:space="preserve"> </w:t>
      </w:r>
      <w:r>
        <w:t xml:space="preserve">predicts that individuals with direct or proximate experiences with the criminal legal system (e.g., incarceration, knowing someone incarcerated, or victimization) will perceive incarcerated people as more deserving. I begin by estimating whether average deservingness scores differ across impact groups using one-way ANOVA. Where the omnibus test is significant, I conduct</w:t>
      </w:r>
      <w:r>
        <w:t xml:space="preserve"> </w:t>
      </w:r>
      <w:r>
        <w:rPr>
          <w:bCs/>
          <w:b/>
        </w:rPr>
        <w:t xml:space="preserve">Tukey’s HSD</w:t>
      </w:r>
      <w:r>
        <w:t xml:space="preserve"> </w:t>
      </w:r>
      <w:r>
        <w:t xml:space="preserve">post-hoc comparisons to identify specific group differences. I test this prediction by regressing deservingness scores for incarcerated people on impact status, controlling for demographic and attitudinal factors. Specifically, I estimate:</w:t>
      </w:r>
    </w:p>
    <w:p>
      <w:pPr>
        <w:pStyle w:val="BodyText"/>
      </w:pPr>
      <m:oMathPara>
        <m:oMathParaPr>
          <m:jc m:val="center"/>
        </m:oMathParaPr>
        <m:oMath>
          <m:sSub>
            <m:e>
              <m:r>
                <m:rPr>
                  <m:nor/>
                  <m:sty m:val="p"/>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w:r>
        <w:t xml:space="preserve">Where the key coefficient of interest is</w:t>
      </w:r>
      <w:r>
        <w:t xml:space="preserve"> </w:t>
      </w:r>
      <m:oMath>
        <m:sSub>
          <m:e>
            <m:r>
              <m:t>β</m:t>
            </m:r>
          </m:e>
          <m:sub>
            <m:r>
              <m:t>1</m:t>
            </m:r>
          </m:sub>
        </m:sSub>
      </m:oMath>
      <w:r>
        <w:t xml:space="preserve">​, which estimates the average difference in deservingness perception between those with and without carceral contact, holding other covariates constant. A positive and significant</w:t>
      </w:r>
      <w:r>
        <w:t xml:space="preserve"> </w:t>
      </w:r>
      <m:oMath>
        <m:sSub>
          <m:e>
            <m:r>
              <m:t>β</m:t>
            </m:r>
          </m:e>
          <m:sub>
            <m:r>
              <m:t>1</m:t>
            </m:r>
          </m:sub>
        </m:sSub>
      </m:oMath>
      <w:r>
        <w:t xml:space="preserve"> </w:t>
      </w:r>
      <w:r>
        <w:t xml:space="preserve">would support my hypothesis (H1) that contact is associated with more generous evaluations of incarcerated people.</w:t>
      </w:r>
    </w:p>
    <w:p>
      <w:pPr>
        <w:pStyle w:val="BodyText"/>
      </w:pPr>
      <w:r>
        <w:t xml:space="preserve">To assess how robust the effect of contact is to different control strategies, I use a stepwise modeling approach. First, I estimate a baseline model including only demographic predictors (e.g., race, gender, education). I then add attitudinal variables—such as political ideology and racial resentment—to examine whether the observed relationship between contact and deservingness is confounded by prior beliefs or predispositions. Stability of the</w:t>
      </w:r>
      <w:r>
        <w:t xml:space="preserve"> </w:t>
      </w:r>
      <m:oMath>
        <m:sSub>
          <m:e>
            <m:r>
              <m:t>β</m:t>
            </m:r>
          </m:e>
          <m:sub>
            <m:r>
              <m:t>1</m:t>
            </m:r>
          </m:sub>
        </m:sSub>
      </m:oMath>
      <w:r>
        <w:t xml:space="preserve"> </w:t>
      </w:r>
      <w:r>
        <w:t xml:space="preserve">coefficient across models would increase confidence in a direct association between contact and deservingness. Finally, I explore heterogeneity in the relationship between impact and deservingness by interacting impact with theoretically salient, or potentially explanatory, variables:</w:t>
      </w:r>
    </w:p>
    <w:p>
      <w:pPr>
        <w:pStyle w:val="BodyText"/>
      </w:pPr>
      <m:oMathPara>
        <m:oMathParaPr>
          <m:jc m:val="center"/>
        </m:oMathParaPr>
        <m:oMath>
          <m:sSub>
            <m:e>
              <m:r>
                <m:rPr>
                  <m:nor/>
                  <m:sty m:val="p"/>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gender</m:t>
              </m:r>
            </m:e>
            <m:sub>
              <m:r>
                <m:t>i</m:t>
              </m:r>
            </m:sub>
          </m:sSub>
          <m:r>
            <m:rPr>
              <m:sty m:val="p"/>
            </m:rPr>
            <m:t>+</m:t>
          </m:r>
          <m:sSub>
            <m:e>
              <m:r>
                <m:t>β</m:t>
              </m:r>
            </m:e>
            <m:sub>
              <m:r>
                <m:t>3</m:t>
              </m:r>
            </m:sub>
          </m:sSub>
          <m:r>
            <m:rPr>
              <m:sty m:val="p"/>
            </m:rPr>
            <m:t>⋅</m:t>
          </m:r>
          <m:sSub>
            <m:e>
              <m:r>
                <m:rPr>
                  <m:nor/>
                  <m:sty m:val="p"/>
                </m:rPr>
                <m:t>race</m:t>
              </m:r>
            </m:e>
            <m:sub>
              <m:r>
                <m:t>i</m:t>
              </m:r>
            </m:sub>
          </m:sSub>
          <m:r>
            <m:rPr>
              <m:sty m:val="p"/>
            </m:rPr>
            <m:t>+</m:t>
          </m:r>
          <m:sSub>
            <m:e>
              <m:r>
                <m:t>β</m:t>
              </m:r>
            </m:e>
            <m:sub>
              <m:r>
                <m:t>4</m:t>
              </m:r>
            </m:sub>
          </m:sSub>
          <m:r>
            <m:rPr>
              <m:sty m:val="p"/>
            </m:rPr>
            <m:t>⋅</m:t>
          </m:r>
          <m:sSub>
            <m:e>
              <m:r>
                <m:rPr>
                  <m:nor/>
                  <m:sty m:val="p"/>
                </m:rPr>
                <m:t>education</m:t>
              </m:r>
            </m:e>
            <m:sub>
              <m:r>
                <m:t>i</m:t>
              </m:r>
            </m:sub>
          </m:sSub>
          <m:r>
            <m:rPr>
              <m:sty m:val="p"/>
            </m:rPr>
            <m:t>+</m:t>
          </m:r>
          <m:sSub>
            <m:e>
              <m:r>
                <m:t>β</m:t>
              </m:r>
            </m:e>
            <m:sub>
              <m:r>
                <m:t>5</m:t>
              </m:r>
            </m:sub>
          </m:sSub>
          <m:r>
            <m:rPr>
              <m:sty m:val="p"/>
            </m:rPr>
            <m:t>⋅</m:t>
          </m:r>
          <m:sSub>
            <m:e>
              <m:r>
                <m:rPr>
                  <m:nor/>
                  <m:sty m:val="p"/>
                </m:rPr>
                <m:t>urban</m:t>
              </m:r>
            </m:e>
            <m:sub>
              <m:r>
                <m:t>i</m:t>
              </m:r>
            </m:sub>
          </m:sSub>
          <m:r>
            <m:rPr>
              <m:sty m:val="p"/>
            </m:rPr>
            <m:t>+</m:t>
          </m:r>
          <m:sSub>
            <m:e>
              <m:r>
                <m:t>β</m:t>
              </m:r>
            </m:e>
            <m:sub>
              <m:r>
                <m:t>6</m:t>
              </m:r>
            </m:sub>
          </m:sSub>
          <m:r>
            <m:rPr>
              <m:sty m:val="p"/>
            </m:rPr>
            <m:t>⋅</m:t>
          </m:r>
          <m:sSub>
            <m:e>
              <m:r>
                <m:rPr>
                  <m:nor/>
                  <m:sty m:val="p"/>
                </m:rPr>
                <m:t>party</m:t>
              </m:r>
            </m:e>
            <m:sub>
              <m:r>
                <m:t>i</m:t>
              </m:r>
            </m:sub>
          </m:sSub>
          <m:r>
            <m:rPr>
              <m:sty m:val="p"/>
            </m:rPr>
            <m:t>+</m:t>
          </m:r>
          <m:sSub>
            <m:e>
              <m:r>
                <m:t>β</m:t>
              </m:r>
            </m:e>
            <m:sub>
              <m:r>
                <m:t>7</m:t>
              </m:r>
            </m:sub>
          </m:sSub>
          <m:r>
            <m:rPr>
              <m:sty m:val="p"/>
            </m:rPr>
            <m:t>⋅</m:t>
          </m:r>
          <m:sSub>
            <m:e>
              <m:r>
                <m:rPr>
                  <m:nor/>
                  <m:sty m:val="p"/>
                </m:rPr>
                <m:t>ideology</m:t>
              </m:r>
            </m:e>
            <m:sub>
              <m:r>
                <m:t>i</m:t>
              </m:r>
            </m:sub>
          </m:sSub>
          <m:r>
            <m:rPr>
              <m:sty m:val="p"/>
            </m:rPr>
            <m:t>+</m:t>
          </m:r>
          <m:sSub>
            <m:e>
              <m:r>
                <m:t>β</m:t>
              </m:r>
            </m:e>
            <m:sub>
              <m:r>
                <m:t>8</m:t>
              </m:r>
            </m:sub>
          </m:sSub>
          <m:r>
            <m:rPr>
              <m:sty m:val="p"/>
            </m:rPr>
            <m:t>⋅</m:t>
          </m:r>
          <m:sSub>
            <m:e>
              <m:r>
                <m:rPr>
                  <m:nor/>
                  <m:sty m:val="p"/>
                </m:rPr>
                <m:t>racialresentment</m:t>
              </m:r>
            </m:e>
            <m:sub>
              <m:r>
                <m:t>i</m:t>
              </m:r>
            </m:sub>
          </m:sSub>
          <m:r>
            <m:rPr>
              <m:sty m:val="p"/>
            </m:rPr>
            <m:t>+</m:t>
          </m:r>
          <m:sSub>
            <m:e>
              <m:r>
                <m:t>β</m:t>
              </m:r>
            </m:e>
            <m:sub>
              <m:r>
                <m:t>9</m:t>
              </m:r>
            </m:sub>
          </m:sSub>
          <m:r>
            <m:rPr>
              <m:sty m:val="p"/>
            </m:rPr>
            <m:t>⋅</m:t>
          </m:r>
          <m:sSub>
            <m:e>
              <m:r>
                <m:rPr>
                  <m:nor/>
                  <m:sty m:val="p"/>
                </m:rPr>
                <m:t>desor</m:t>
              </m:r>
            </m:e>
            <m:sub>
              <m:r>
                <m:t>i</m:t>
              </m:r>
            </m:sub>
          </m:sSub>
          <m:r>
            <m:rPr>
              <m:sty m:val="p"/>
            </m:rPr>
            <m:t>+</m:t>
          </m:r>
          <m:sSub>
            <m:e>
              <m:r>
                <m:t>β</m:t>
              </m:r>
            </m:e>
            <m:sub>
              <m:r>
                <m:t>10</m:t>
              </m:r>
            </m:sub>
          </m:sSub>
          <m:r>
            <m:rPr>
              <m:sty m:val="p"/>
            </m:rPr>
            <m:t>⋅</m:t>
          </m:r>
          <m:sSub>
            <m:e>
              <m:r>
                <m:rPr>
                  <m:nor/>
                  <m:sty m:val="p"/>
                </m:rPr>
                <m:t>policydisposition</m:t>
              </m:r>
            </m:e>
            <m:sub>
              <m:r>
                <m:t>i</m:t>
              </m:r>
            </m:sub>
          </m:sSub>
          <m:r>
            <m:rPr>
              <m:sty m:val="p"/>
            </m:rPr>
            <m:t>+</m:t>
          </m:r>
          <m:sSub>
            <m:e>
              <m:r>
                <m:t>β</m:t>
              </m:r>
            </m:e>
            <m:sub>
              <m:r>
                <m:t>11</m:t>
              </m:r>
            </m:sub>
          </m:sSub>
          <m:r>
            <m:rPr>
              <m:sty m:val="p"/>
            </m:rPr>
            <m:t>⋅</m:t>
          </m:r>
          <m:d>
            <m:dPr>
              <m:begChr m:val="("/>
              <m:endChr m:val=")"/>
              <m:sepChr m:val=""/>
              <m:grow/>
            </m:dPr>
            <m:e>
              <m:sSub>
                <m:e>
                  <m:r>
                    <m:rPr>
                      <m:nor/>
                      <m:sty m:val="p"/>
                    </m:rPr>
                    <m:t>impact</m:t>
                  </m:r>
                </m:e>
                <m:sub>
                  <m:r>
                    <m:t>i</m:t>
                  </m:r>
                </m:sub>
              </m:sSub>
              <m:r>
                <m:rPr>
                  <m:sty m:val="p"/>
                </m:rPr>
                <m:t>×</m:t>
              </m:r>
              <m:sSub>
                <m:e>
                  <m:r>
                    <m:rPr>
                      <m:nor/>
                      <m:sty m:val="p"/>
                    </m:rPr>
                    <m:t>ideology</m:t>
                  </m:r>
                </m:e>
                <m:sub>
                  <m:r>
                    <m:t>i</m:t>
                  </m:r>
                </m:sub>
              </m:sSub>
            </m:e>
          </m:d>
          <m:r>
            <m:rPr>
              <m:sty m:val="p"/>
            </m:rPr>
            <m:t>+</m:t>
          </m:r>
          <m:sSub>
            <m:e>
              <m:r>
                <m:t>β</m:t>
              </m:r>
            </m:e>
            <m:sub>
              <m:r>
                <m:t>12</m:t>
              </m:r>
            </m:sub>
          </m:sSub>
          <m:r>
            <m:rPr>
              <m:sty m:val="p"/>
            </m:rPr>
            <m:t>⋅</m:t>
          </m:r>
          <m:d>
            <m:dPr>
              <m:begChr m:val="("/>
              <m:endChr m:val=")"/>
              <m:sepChr m:val=""/>
              <m:grow/>
            </m:dPr>
            <m:e>
              <m:sSub>
                <m:e>
                  <m:r>
                    <m:rPr>
                      <m:nor/>
                      <m:sty m:val="p"/>
                    </m:rPr>
                    <m:t>impact</m:t>
                  </m:r>
                </m:e>
                <m:sub>
                  <m:r>
                    <m:t>i</m:t>
                  </m:r>
                </m:sub>
              </m:sSub>
              <m:r>
                <m:rPr>
                  <m:sty m:val="p"/>
                </m:rPr>
                <m:t>×</m:t>
              </m:r>
              <m:sSub>
                <m:e>
                  <m:r>
                    <m:rPr>
                      <m:nor/>
                      <m:sty m:val="p"/>
                    </m:rPr>
                    <m:t>race</m:t>
                  </m:r>
                </m:e>
                <m:sub>
                  <m:r>
                    <m:t>i</m:t>
                  </m:r>
                </m:sub>
              </m:sSub>
            </m:e>
          </m:d>
          <m:r>
            <m:rPr>
              <m:sty m:val="p"/>
            </m:rPr>
            <m:t>+</m:t>
          </m:r>
          <m:sSub>
            <m:e>
              <m:r>
                <m:t>u</m:t>
              </m:r>
            </m:e>
            <m:sub>
              <m:r>
                <m:t>i</m:t>
              </m:r>
            </m:sub>
          </m:sSub>
        </m:oMath>
      </m:oMathPara>
    </w:p>
    <w:p>
      <w:pPr>
        <w:pStyle w:val="FirstParagraph"/>
      </w:pPr>
      <w:r>
        <w:t xml:space="preserve">If contact reduces deservingness more strongly among liberals than conservatives, for instance, the interaction term</w:t>
      </w:r>
      <w:r>
        <w:t xml:space="preserve"> </w:t>
      </w:r>
      <m:oMath>
        <m:sSub>
          <m:e>
            <m:r>
              <m:t>β</m:t>
            </m:r>
          </m:e>
          <m:sub>
            <m:r>
              <m:t>11</m:t>
            </m:r>
          </m:sub>
        </m:sSub>
      </m:oMath>
      <w:r>
        <w:t xml:space="preserve">​ for impact × ideology should be positive (i.e., a stronger effect of contact for more liberal respondents). Similarly,</w:t>
      </w:r>
      <w:r>
        <w:t xml:space="preserve"> </w:t>
      </w:r>
      <m:oMath>
        <m:sSub>
          <m:e>
            <m:r>
              <m:t>β</m:t>
            </m:r>
          </m:e>
          <m:sub>
            <m:r>
              <m:t>12</m:t>
            </m:r>
          </m:sub>
        </m:sSub>
      </m:oMath>
      <w:r>
        <w:t xml:space="preserve">​ captures whether the relationship between contact and deservingness differs across racial groups, which may reflect distinct lived experiences or differential beliefs about the justice system. A significant interaction term would suggest conditional effects—i.e., that contact does not uniformly affect all individuals’ attitudes.</w:t>
      </w:r>
    </w:p>
    <w:p>
      <w:pPr>
        <w:pStyle w:val="BodyText"/>
      </w:pPr>
      <w:r>
        <w:t xml:space="preserve">To I distinguish among types of contact (H1A-H1D), I estimate separate models in which the impact variable is disaggregated into binary indicators for each type (e.g., been incarcerated, knows someone incarcerated, victim of violent crime). This allows me to test which forms of contact are associated with more generous perceptions, and whether the effects differ in magnitude or direction.</w:t>
      </w:r>
    </w:p>
    <w:p>
      <w:pPr>
        <w:pStyle w:val="BodyText"/>
      </w:pPr>
      <m:oMathPara>
        <m:oMathParaPr>
          <m:jc m:val="center"/>
        </m:oMathParaPr>
        <m:oMath>
          <m:sSub>
            <m:e>
              <m:r>
                <m:rPr>
                  <m:nor/>
                  <m:sty m:val="p"/>
                </m:rPr>
                <m:t>prisonerdeserves</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incarc</m:t>
              </m:r>
            </m:e>
            <m:sub>
              <m:r>
                <m:t>i</m:t>
              </m:r>
            </m:sub>
          </m:sSub>
          <m:r>
            <m:rPr>
              <m:sty m:val="p"/>
            </m:rPr>
            <m:t>+</m:t>
          </m:r>
          <m:sSub>
            <m:e>
              <m:r>
                <m:t>β</m:t>
              </m:r>
            </m:e>
            <m:sub>
              <m:r>
                <m:t>2</m:t>
              </m:r>
            </m:sub>
          </m:sSub>
          <m:r>
            <m:rPr>
              <m:sty m:val="p"/>
            </m:rPr>
            <m:t>⋅</m:t>
          </m:r>
          <m:sSub>
            <m:e>
              <m:r>
                <m:rPr>
                  <m:nor/>
                  <m:sty m:val="p"/>
                </m:rPr>
                <m:t>knowincarc</m:t>
              </m:r>
            </m:e>
            <m:sub>
              <m:r>
                <m:t>i</m:t>
              </m:r>
            </m:sub>
          </m:sSub>
          <m:r>
            <m:rPr>
              <m:sty m:val="p"/>
            </m:rPr>
            <m:t>+</m:t>
          </m:r>
          <m:sSub>
            <m:e>
              <m:r>
                <m:t>β</m:t>
              </m:r>
            </m:e>
            <m:sub>
              <m:r>
                <m:t>3</m:t>
              </m:r>
            </m:sub>
          </m:sSub>
          <m:r>
            <m:rPr>
              <m:sty m:val="p"/>
            </m:rPr>
            <m:t>⋅</m:t>
          </m:r>
          <m:sSub>
            <m:e>
              <m:r>
                <m:rPr>
                  <m:nor/>
                  <m:sty m:val="p"/>
                </m:rPr>
                <m:t>vict</m:t>
              </m:r>
            </m:e>
            <m:sub>
              <m:r>
                <m:t>i</m:t>
              </m:r>
            </m:sub>
          </m:sSub>
          <m:r>
            <m:rPr>
              <m:sty m:val="p"/>
            </m:rPr>
            <m:t>+</m:t>
          </m:r>
          <m:sSub>
            <m:e>
              <m:r>
                <m:t>β</m:t>
              </m:r>
            </m:e>
            <m:sub>
              <m:r>
                <m:t>4</m:t>
              </m:r>
            </m:sub>
          </m:sSub>
          <m:r>
            <m:rPr>
              <m:sty m:val="p"/>
            </m:rPr>
            <m:t>⋅</m:t>
          </m:r>
          <m:sSub>
            <m:e>
              <m:r>
                <m:rPr>
                  <m:nor/>
                  <m:sty m:val="p"/>
                </m:rPr>
                <m:t>desor</m:t>
              </m:r>
            </m:e>
            <m:sub>
              <m:r>
                <m:t>i</m:t>
              </m:r>
            </m:sub>
          </m:sSub>
          <m:r>
            <m:rPr>
              <m:sty m:val="p"/>
            </m:rPr>
            <m:t>+</m:t>
          </m:r>
          <m:sSub>
            <m:e>
              <m:r>
                <m:t>β</m:t>
              </m:r>
            </m:e>
            <m:sub>
              <m:r>
                <m:t>5</m:t>
              </m:r>
            </m:sub>
          </m:sSub>
          <m:r>
            <m:rPr>
              <m:sty m:val="p"/>
            </m:rPr>
            <m:t>⋅</m:t>
          </m:r>
          <m:sSub>
            <m:e>
              <m:r>
                <m:rPr>
                  <m:nor/>
                  <m:sty m:val="p"/>
                </m:rPr>
                <m:t>controls</m:t>
              </m:r>
            </m:e>
            <m:sub>
              <m:r>
                <m:t>i</m:t>
              </m:r>
            </m:sub>
          </m:sSub>
          <m:r>
            <m:rPr>
              <m:sty m:val="p"/>
            </m:rPr>
            <m:t>+</m:t>
          </m:r>
          <m:sSub>
            <m:e>
              <m:r>
                <m:t>u</m:t>
              </m:r>
            </m:e>
            <m:sub>
              <m:r>
                <m:t>i</m:t>
              </m:r>
            </m:sub>
          </m:sSub>
        </m:oMath>
      </m:oMathPara>
    </w:p>
    <w:p>
      <w:pPr>
        <w:pStyle w:val="FirstParagraph"/>
      </w:pPr>
      <w:r>
        <w:t xml:space="preserve">My second core hypothesis (</w:t>
      </w:r>
      <w:r>
        <w:rPr>
          <w:bCs/>
          <w:b/>
        </w:rPr>
        <w:t xml:space="preserve">H2)</w:t>
      </w:r>
      <w:r>
        <w:t xml:space="preserve"> </w:t>
      </w:r>
      <w:r>
        <w:t xml:space="preserve">is greater perceptions of deservingness will correspond to greater support for offering policy help to carceral citizens. I explore this relation by first looking at whether deservingness mediates carceral policy experience. Specifically, I regress the effects of deservingness on policy help</w:t>
      </w:r>
    </w:p>
    <w:p>
      <w:pPr>
        <w:pStyle w:val="BodyText"/>
      </w:pPr>
      <m:oMathPara>
        <m:oMathParaPr>
          <m:jc m:val="center"/>
        </m:oMathParaPr>
        <m:oMath>
          <m:sSub>
            <m:e>
              <m:r>
                <m:rPr>
                  <m:nor/>
                  <m:sty m:val="p"/>
                </m:rPr>
                <m:t>prisonhelp</m:t>
              </m:r>
            </m:e>
            <m:sub>
              <m:r>
                <m:t>i</m:t>
              </m:r>
            </m:sub>
          </m:sSub>
          <m:r>
            <m:rPr>
              <m:sty m:val="p"/>
            </m:rPr>
            <m:t>=</m:t>
          </m:r>
          <m:sSub>
            <m:e>
              <m:r>
                <m:t>δ</m:t>
              </m:r>
            </m:e>
            <m:sub>
              <m:r>
                <m:t>0</m:t>
              </m:r>
            </m:sub>
          </m:sSub>
          <m:r>
            <m:rPr>
              <m:sty m:val="p"/>
            </m:rPr>
            <m:t>+</m:t>
          </m:r>
          <m:sSub>
            <m:e>
              <m:r>
                <m:t>δ</m:t>
              </m:r>
            </m:e>
            <m:sub>
              <m:r>
                <m:t>1</m:t>
              </m:r>
            </m:sub>
          </m:sSub>
          <m:r>
            <m:rPr>
              <m:sty m:val="p"/>
            </m:rPr>
            <m:t>⋅</m:t>
          </m:r>
          <m:sSub>
            <m:e>
              <m:r>
                <m:rPr>
                  <m:nor/>
                  <m:sty m:val="p"/>
                </m:rPr>
                <m:t>impact</m:t>
              </m:r>
            </m:e>
            <m:sub>
              <m:r>
                <m:t>i</m:t>
              </m:r>
            </m:sub>
          </m:sSub>
          <m:r>
            <m:rPr>
              <m:sty m:val="p"/>
            </m:rPr>
            <m:t>+</m:t>
          </m:r>
          <m:sSub>
            <m:e>
              <m:r>
                <m:t>δ</m:t>
              </m:r>
            </m:e>
            <m:sub>
              <m:r>
                <m:t>2</m:t>
              </m:r>
            </m:sub>
          </m:sSub>
          <m:r>
            <m:rPr>
              <m:sty m:val="p"/>
            </m:rPr>
            <m:t>⋅</m:t>
          </m:r>
          <m:sSub>
            <m:e>
              <m:r>
                <m:rPr>
                  <m:nor/>
                  <m:sty m:val="p"/>
                </m:rPr>
                <m:t>prisonerdeserves</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w:r>
        <w:t xml:space="preserve">and on punative policy</w:t>
      </w:r>
    </w:p>
    <w:p>
      <w:pPr>
        <w:pStyle w:val="BodyText"/>
      </w:pPr>
      <m:oMathPara>
        <m:oMathParaPr>
          <m:jc m:val="center"/>
        </m:oMathParaPr>
        <m:oMath>
          <m:sSub>
            <m:e>
              <m:r>
                <m:rPr>
                  <m:nor/>
                  <m:sty m:val="p"/>
                </m:rPr>
                <m:t>prisonpen</m:t>
              </m:r>
            </m:e>
            <m:sub>
              <m:r>
                <m:t>i</m:t>
              </m:r>
            </m:sub>
          </m:sSub>
          <m:r>
            <m:rPr>
              <m:sty m:val="p"/>
            </m:rPr>
            <m:t>=</m:t>
          </m:r>
          <m:sSub>
            <m:e>
              <m:r>
                <m:t>δ</m:t>
              </m:r>
            </m:e>
            <m:sub>
              <m:r>
                <m:t>0</m:t>
              </m:r>
            </m:sub>
          </m:sSub>
          <m:r>
            <m:rPr>
              <m:sty m:val="p"/>
            </m:rPr>
            <m:t>+</m:t>
          </m:r>
          <m:sSub>
            <m:e>
              <m:r>
                <m:t>δ</m:t>
              </m:r>
            </m:e>
            <m:sub>
              <m:r>
                <m:t>1</m:t>
              </m:r>
            </m:sub>
          </m:sSub>
          <m:r>
            <m:rPr>
              <m:sty m:val="p"/>
            </m:rPr>
            <m:t>⋅</m:t>
          </m:r>
          <m:sSub>
            <m:e>
              <m:r>
                <m:rPr>
                  <m:nor/>
                  <m:sty m:val="p"/>
                </m:rPr>
                <m:t>impact</m:t>
              </m:r>
            </m:e>
            <m:sub>
              <m:r>
                <m:t>i</m:t>
              </m:r>
            </m:sub>
          </m:sSub>
          <m:r>
            <m:rPr>
              <m:sty m:val="p"/>
            </m:rPr>
            <m:t>+</m:t>
          </m:r>
          <m:sSub>
            <m:e>
              <m:r>
                <m:t>δ</m:t>
              </m:r>
            </m:e>
            <m:sub>
              <m:r>
                <m:t>2</m:t>
              </m:r>
            </m:sub>
          </m:sSub>
          <m:r>
            <m:rPr>
              <m:sty m:val="p"/>
            </m:rPr>
            <m:t>⋅</m:t>
          </m:r>
          <m:sSub>
            <m:e>
              <m:r>
                <m:rPr>
                  <m:nor/>
                  <m:sty m:val="p"/>
                </m:rPr>
                <m:t>prisonerdeserves</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w:r>
        <w:t xml:space="preserve">In each model,</w:t>
      </w:r>
      <w:r>
        <w:t xml:space="preserve"> </w:t>
      </w:r>
      <m:oMath>
        <m:sSub>
          <m:e>
            <m:r>
              <m:t>β</m:t>
            </m:r>
          </m:e>
          <m:sub>
            <m:r>
              <m:t>1</m:t>
            </m:r>
          </m:sub>
        </m:sSub>
      </m:oMath>
      <w:r>
        <w:t xml:space="preserve">​ captures the association between having contact and support for decarceral or assistance-oriented policies, net of perceived deservingness and other controls.</w:t>
      </w:r>
      <w:r>
        <w:t xml:space="preserve"> </w:t>
      </w:r>
      <m:oMath>
        <m:sSub>
          <m:e>
            <m:r>
              <m:t>β</m:t>
            </m:r>
          </m:e>
          <m:sub>
            <m:r>
              <m:t>2</m:t>
            </m:r>
          </m:sub>
        </m:sSub>
      </m:oMath>
      <w:r>
        <w:t xml:space="preserve"> </w:t>
      </w:r>
      <w:r>
        <w:t xml:space="preserve">estimates the association between deservingness perceptions and policy support, helping test the hypothesis that more generous evaluations of incarcerated people correspond to greater willingness to extend policy help (H2). A positive and significant $\beta_2$​ would support the idea that deservingness mediates support for reform. Evidence that</w:t>
      </w:r>
      <w:r>
        <w:t xml:space="preserve"> </w:t>
      </w:r>
      <m:oMath>
        <m:sSub>
          <m:e>
            <m:r>
              <m:t>β</m:t>
            </m:r>
          </m:e>
          <m:sub>
            <m:r>
              <m:t>1</m:t>
            </m:r>
          </m:sub>
        </m:sSub>
      </m:oMath>
      <w:r>
        <w:t xml:space="preserve"> </w:t>
      </w:r>
      <w:r>
        <w:t xml:space="preserve">remains significant after including deservingness would suggest that contact shapes policy views through additional channels—such as affective identification, knowledge, or group solidarity (H3).</w:t>
      </w:r>
    </w:p>
    <w:p>
      <w:pPr>
        <w:pStyle w:val="BodyText"/>
      </w:pPr>
      <w:r>
        <w:t xml:space="preserve">I assess mediation using the</w:t>
      </w:r>
      <w:r>
        <w:t xml:space="preserve"> </w:t>
      </w:r>
      <w:r>
        <w:rPr>
          <w:rStyle w:val="VerbatimChar"/>
        </w:rPr>
        <w:t xml:space="preserve">mediation</w:t>
      </w:r>
      <w:r>
        <w:t xml:space="preserve"> </w:t>
      </w:r>
      <w:r>
        <w:t xml:space="preserve">package in R, estimating average indirect effects and confidence intervals via bootstrapping. I futher explore this relationship by testing for moderating effects of contact on the relationship between deservingness and policy views.</w:t>
      </w:r>
    </w:p>
    <w:p>
      <w:pPr>
        <w:pStyle w:val="BodyText"/>
      </w:pPr>
      <m:oMathPara>
        <m:oMathParaPr>
          <m:jc m:val="center"/>
        </m:oMathParaPr>
        <m:oMath>
          <m:sSub>
            <m:e>
              <m:r>
                <m:rPr>
                  <m:nor/>
                  <m:sty m:val="p"/>
                </m:rPr>
                <m:t>prisonhelp</m:t>
              </m:r>
            </m:e>
            <m:sub>
              <m:r>
                <m:t>i</m:t>
              </m:r>
            </m:sub>
          </m:sSub>
          <m:r>
            <m:rPr>
              <m:sty m:val="p"/>
            </m:rPr>
            <m:t>=</m:t>
          </m:r>
          <m:sSub>
            <m:e>
              <m:r>
                <m:t>θ</m:t>
              </m:r>
            </m:e>
            <m:sub>
              <m:r>
                <m:t>0</m:t>
              </m:r>
            </m:sub>
          </m:sSub>
          <m:r>
            <m:rPr>
              <m:sty m:val="p"/>
            </m:rPr>
            <m:t>+</m:t>
          </m:r>
          <m:sSub>
            <m:e>
              <m:r>
                <m:t>θ</m:t>
              </m:r>
            </m:e>
            <m:sub>
              <m:r>
                <m:t>1</m:t>
              </m:r>
            </m:sub>
          </m:sSub>
          <m:r>
            <m:rPr>
              <m:sty m:val="p"/>
            </m:rPr>
            <m:t>⋅</m:t>
          </m:r>
          <m:sSub>
            <m:e>
              <m:r>
                <m:rPr>
                  <m:nor/>
                  <m:sty m:val="p"/>
                </m:rPr>
                <m:t>Deservingness</m:t>
              </m:r>
            </m:e>
            <m:sub>
              <m:r>
                <m:t>i</m:t>
              </m:r>
            </m:sub>
          </m:sSub>
          <m:r>
            <m:rPr>
              <m:sty m:val="p"/>
            </m:rPr>
            <m:t>+</m:t>
          </m:r>
          <m:sSub>
            <m:e>
              <m:r>
                <m:t>θ</m:t>
              </m:r>
            </m:e>
            <m:sub>
              <m:r>
                <m:t>2</m:t>
              </m:r>
            </m:sub>
          </m:sSub>
          <m:r>
            <m:rPr>
              <m:sty m:val="p"/>
            </m:rPr>
            <m:t>⋅</m:t>
          </m:r>
          <m:sSub>
            <m:e>
              <m:r>
                <m:rPr>
                  <m:nor/>
                  <m:sty m:val="p"/>
                </m:rPr>
                <m:t>Contact</m:t>
              </m:r>
            </m:e>
            <m:sub>
              <m:r>
                <m:t>i</m:t>
              </m:r>
            </m:sub>
          </m:sSub>
          <m:r>
            <m:rPr>
              <m:sty m:val="p"/>
            </m:rPr>
            <m:t>+</m:t>
          </m:r>
          <m:sSub>
            <m:e>
              <m:r>
                <m:t>θ</m:t>
              </m:r>
            </m:e>
            <m:sub>
              <m:r>
                <m:t>3</m:t>
              </m:r>
            </m:sub>
          </m:sSub>
          <m:d>
            <m:dPr>
              <m:begChr m:val="("/>
              <m:endChr m:val=")"/>
              <m:sepChr m:val=""/>
              <m:grow/>
            </m:dPr>
            <m:e>
              <m:sSub>
                <m:e>
                  <m:r>
                    <m:rPr>
                      <m:nor/>
                      <m:sty m:val="p"/>
                    </m:rPr>
                    <m:t>Deservingness</m:t>
                  </m:r>
                </m:e>
                <m:sub>
                  <m:r>
                    <m:t>i</m:t>
                  </m:r>
                </m:sub>
              </m:sSub>
              <m:r>
                <m:rPr>
                  <m:sty m:val="p"/>
                </m:rPr>
                <m:t>×</m:t>
              </m:r>
              <m:sSub>
                <m:e>
                  <m:r>
                    <m:rPr>
                      <m:nor/>
                      <m:sty m:val="p"/>
                    </m:rPr>
                    <m:t>Contact</m:t>
                  </m:r>
                </m:e>
                <m:sub>
                  <m:r>
                    <m:t>i</m:t>
                  </m:r>
                </m:sub>
              </m:sSub>
            </m:e>
          </m:d>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m:oMathPara>
        <m:oMathParaPr>
          <m:jc m:val="center"/>
        </m:oMathParaPr>
        <m:oMath>
          <m:sSub>
            <m:e>
              <m:r>
                <m:rPr>
                  <m:nor/>
                  <m:sty m:val="p"/>
                </m:rPr>
                <m:t>prisonpen</m:t>
              </m:r>
            </m:e>
            <m:sub>
              <m:r>
                <m:t>i</m:t>
              </m:r>
            </m:sub>
          </m:sSub>
          <m:r>
            <m:rPr>
              <m:sty m:val="p"/>
            </m:rPr>
            <m:t>=</m:t>
          </m:r>
          <m:sSub>
            <m:e>
              <m:r>
                <m:t>θ</m:t>
              </m:r>
            </m:e>
            <m:sub>
              <m:r>
                <m:t>0</m:t>
              </m:r>
            </m:sub>
          </m:sSub>
          <m:r>
            <m:rPr>
              <m:sty m:val="p"/>
            </m:rPr>
            <m:t>+</m:t>
          </m:r>
          <m:sSub>
            <m:e>
              <m:r>
                <m:t>θ</m:t>
              </m:r>
            </m:e>
            <m:sub>
              <m:r>
                <m:t>1</m:t>
              </m:r>
            </m:sub>
          </m:sSub>
          <m:r>
            <m:rPr>
              <m:sty m:val="p"/>
            </m:rPr>
            <m:t>⋅</m:t>
          </m:r>
          <m:sSub>
            <m:e>
              <m:r>
                <m:rPr>
                  <m:nor/>
                  <m:sty m:val="p"/>
                </m:rPr>
                <m:t>Deservingness</m:t>
              </m:r>
            </m:e>
            <m:sub>
              <m:r>
                <m:t>i</m:t>
              </m:r>
            </m:sub>
          </m:sSub>
          <m:r>
            <m:rPr>
              <m:sty m:val="p"/>
            </m:rPr>
            <m:t>+</m:t>
          </m:r>
          <m:sSub>
            <m:e>
              <m:r>
                <m:t>θ</m:t>
              </m:r>
            </m:e>
            <m:sub>
              <m:r>
                <m:t>2</m:t>
              </m:r>
            </m:sub>
          </m:sSub>
          <m:r>
            <m:rPr>
              <m:sty m:val="p"/>
            </m:rPr>
            <m:t>⋅</m:t>
          </m:r>
          <m:sSub>
            <m:e>
              <m:r>
                <m:rPr>
                  <m:nor/>
                  <m:sty m:val="p"/>
                </m:rPr>
                <m:t>Contact</m:t>
              </m:r>
            </m:e>
            <m:sub>
              <m:r>
                <m:t>i</m:t>
              </m:r>
            </m:sub>
          </m:sSub>
          <m:r>
            <m:rPr>
              <m:sty m:val="p"/>
            </m:rPr>
            <m:t>+</m:t>
          </m:r>
          <m:sSub>
            <m:e>
              <m:r>
                <m:t>θ</m:t>
              </m:r>
            </m:e>
            <m:sub>
              <m:r>
                <m:t>3</m:t>
              </m:r>
            </m:sub>
          </m:sSub>
          <m:d>
            <m:dPr>
              <m:begChr m:val="("/>
              <m:endChr m:val=")"/>
              <m:sepChr m:val=""/>
              <m:grow/>
            </m:dPr>
            <m:e>
              <m:sSub>
                <m:e>
                  <m:r>
                    <m:rPr>
                      <m:nor/>
                      <m:sty m:val="p"/>
                    </m:rPr>
                    <m:t>Deservingness</m:t>
                  </m:r>
                </m:e>
                <m:sub>
                  <m:r>
                    <m:t>i</m:t>
                  </m:r>
                </m:sub>
              </m:sSub>
              <m:r>
                <m:rPr>
                  <m:sty m:val="p"/>
                </m:rPr>
                <m:t>×</m:t>
              </m:r>
              <m:sSub>
                <m:e>
                  <m:r>
                    <m:rPr>
                      <m:nor/>
                      <m:sty m:val="p"/>
                    </m:rPr>
                    <m:t>Contact</m:t>
                  </m:r>
                </m:e>
                <m:sub>
                  <m:r>
                    <m:t>i</m:t>
                  </m:r>
                </m:sub>
              </m:sSub>
            </m:e>
          </m:d>
          <m:r>
            <m:rPr>
              <m:sty m:val="p"/>
            </m:rPr>
            <m:t>+</m:t>
          </m:r>
          <m:sSub>
            <m:e>
              <m:r>
                <m:t>X</m:t>
              </m:r>
            </m:e>
            <m:sub>
              <m:r>
                <m:t>i</m:t>
              </m:r>
            </m:sub>
          </m:sSub>
          <m:r>
            <m:rPr>
              <m:sty m:val="p"/>
            </m:rPr>
            <m:t>′</m:t>
          </m:r>
          <m:r>
            <m:rPr>
              <m:sty m:val="p"/>
            </m:rPr>
            <m:t>⋅</m:t>
          </m:r>
          <m:r>
            <m:rPr>
              <m:nor/>
              <m:sty m:val="p"/>
            </m:rPr>
            <m:t>controlsvector</m:t>
          </m:r>
          <m:r>
            <m:rPr>
              <m:sty m:val="p"/>
            </m:rPr>
            <m:t>+</m:t>
          </m:r>
          <m:sSub>
            <m:e>
              <m:r>
                <m:t>ϵ</m:t>
              </m:r>
            </m:e>
            <m:sub>
              <m:r>
                <m:t>i</m:t>
              </m:r>
            </m:sub>
          </m:sSub>
        </m:oMath>
      </m:oMathPara>
    </w:p>
    <w:p>
      <w:pPr>
        <w:pStyle w:val="FirstParagraph"/>
      </w:pPr>
      <w:r>
        <w:t xml:space="preserve">I test this prediction by modeling the relationship between policy help and contact, after accounting for attitudinal and demographic controls using OLS:</w:t>
      </w:r>
    </w:p>
    <w:p>
      <w:pPr>
        <w:pStyle w:val="BodyText"/>
      </w:pPr>
      <m:oMathPara>
        <m:oMathParaPr>
          <m:jc m:val="center"/>
        </m:oMathParaPr>
        <m:oMath>
          <m:sSubSup>
            <m:e>
              <m:r>
                <m:t>y</m:t>
              </m:r>
            </m:e>
            <m:sub>
              <m:r>
                <m:t>i</m:t>
              </m:r>
            </m:sub>
            <m:sup>
              <m:r>
                <m:rPr>
                  <m:nor/>
                  <m:sty m:val="p"/>
                </m:rPr>
                <m:t>prisonhelp</m:t>
              </m:r>
            </m:sup>
          </m:sSubSup>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u</m:t>
              </m:r>
            </m:e>
            <m:sub>
              <m:r>
                <m:t>i</m:t>
              </m:r>
            </m:sub>
          </m:sSub>
        </m:oMath>
      </m:oMathPara>
    </w:p>
    <w:p>
      <w:pPr>
        <w:pStyle w:val="FirstParagraph"/>
      </w:pPr>
      <m:oMathPara>
        <m:oMathParaPr>
          <m:jc m:val="center"/>
        </m:oMathParaPr>
        <m:oMath>
          <m:sSubSup>
            <m:e>
              <m:r>
                <m:t>y</m:t>
              </m:r>
            </m:e>
            <m:sub>
              <m:r>
                <m:t>i</m:t>
              </m:r>
            </m:sub>
            <m:sup>
              <m:r>
                <m:rPr>
                  <m:nor/>
                  <m:sty m:val="p"/>
                </m:rPr>
                <m:t>prisonpen</m:t>
              </m:r>
            </m:sup>
          </m:sSubSup>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u</m:t>
              </m:r>
            </m:e>
            <m:sub>
              <m:r>
                <m:t>i</m:t>
              </m:r>
            </m:sub>
          </m:sSub>
        </m:oMath>
      </m:oMathPara>
    </w:p>
    <w:p>
      <w:pPr>
        <w:pStyle w:val="FirstParagraph"/>
      </w:pPr>
      <w:r>
        <w:t xml:space="preserve">I model criminal legal contact’s effect on other forms of policy help by regressing aggregated attitudes towards those policies on impact.</w:t>
      </w:r>
    </w:p>
    <w:p>
      <w:pPr>
        <w:pStyle w:val="BodyText"/>
      </w:pPr>
      <m:oMathPara>
        <m:oMathParaPr>
          <m:jc m:val="center"/>
        </m:oMathParaPr>
        <m:oMath>
          <m:sSubSup>
            <m:e>
              <m:r>
                <m:t>y</m:t>
              </m:r>
            </m:e>
            <m:sub>
              <m:r>
                <m:t>i</m:t>
              </m:r>
            </m:sub>
            <m:sup>
              <m:r>
                <m:rPr>
                  <m:nor/>
                  <m:sty m:val="p"/>
                </m:rPr>
                <m:t>polorientation</m:t>
              </m:r>
            </m:sup>
          </m:sSubSup>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desor</m:t>
              </m:r>
            </m:e>
            <m:sub>
              <m:r>
                <m:t>i</m:t>
              </m:r>
            </m:sub>
          </m:sSub>
          <m:r>
            <m:rPr>
              <m:sty m:val="p"/>
            </m:rPr>
            <m:t>+</m:t>
          </m:r>
          <m:sSub>
            <m:e>
              <m:r>
                <m:t>X</m:t>
              </m:r>
            </m:e>
            <m:sub>
              <m:r>
                <m:t>i</m:t>
              </m:r>
            </m:sub>
          </m:sSub>
          <m:r>
            <m:rPr>
              <m:sty m:val="p"/>
            </m:rPr>
            <m:t>′</m:t>
          </m:r>
          <m:r>
            <m:rPr>
              <m:sty m:val="p"/>
            </m:rPr>
            <m:t>⋅</m:t>
          </m:r>
          <m:r>
            <m:rPr>
              <m:nor/>
              <m:sty m:val="p"/>
            </m:rPr>
            <m:t>controlsvector</m:t>
          </m:r>
          <m:r>
            <m:rPr>
              <m:sty m:val="p"/>
            </m:rPr>
            <m:t>+</m:t>
          </m:r>
          <m:sSub>
            <m:e>
              <m:r>
                <m:t>u</m:t>
              </m:r>
            </m:e>
            <m:sub>
              <m:r>
                <m:t>i</m:t>
              </m:r>
            </m:sub>
          </m:sSub>
        </m:oMath>
      </m:oMathPara>
    </w:p>
    <w:p>
      <w:pPr>
        <w:pStyle w:val="FirstParagraph"/>
      </w:pPr>
      <w:r>
        <w:t xml:space="preserve">–</w:t>
      </w:r>
    </w:p>
    <w:p>
      <w:pPr>
        <w:pStyle w:val="BodyText"/>
      </w:pPr>
      <w:r>
        <w:t xml:space="preserve">In addition to this relationship, I suggest</w:t>
      </w:r>
      <w:r>
        <w:t xml:space="preserve"> </w:t>
      </w:r>
      <w:r>
        <w:rPr>
          <w:bCs/>
          <w:b/>
        </w:rPr>
        <w:t xml:space="preserve">(H3)</w:t>
      </w:r>
      <w:r>
        <w:t xml:space="preserve"> </w:t>
      </w:r>
      <w:r>
        <w:t xml:space="preserve">that people’s experiences with prison policy and of victimization will influence approaches to criminal legal policy even after controlling for deservingness. Here, I first regress both policy attitudes on impact, controlling for both deservingness ratings of carceral citizens and broader policy help orientation:</w:t>
      </w:r>
    </w:p>
    <w:p>
      <w:pPr>
        <w:pStyle w:val="BodyText"/>
      </w:pPr>
      <m:oMathPara>
        <m:oMathParaPr>
          <m:jc m:val="center"/>
        </m:oMathParaPr>
        <m:oMath>
          <m:sSub>
            <m:e>
              <m:r>
                <m:rPr>
                  <m:nor/>
                  <m:sty m:val="p"/>
                </m:rPr>
                <m:t>prisonhelp</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m:oMathPara>
        <m:oMathParaPr>
          <m:jc m:val="center"/>
        </m:oMathParaPr>
        <m:oMath>
          <m:sSub>
            <m:e>
              <m:r>
                <m:rPr>
                  <m:nor/>
                  <m:sty m:val="p"/>
                </m:rPr>
                <m:t>prisonpen</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w:r>
        <w:t xml:space="preserve">To evaluate (</w:t>
      </w:r>
      <w:r>
        <w:rPr>
          <w:bCs/>
          <w:b/>
        </w:rPr>
        <w:t xml:space="preserve">H3A</w:t>
      </w:r>
      <w:r>
        <w:t xml:space="preserve">) my expectation that policy contact will generate more</w:t>
      </w:r>
      <w:r>
        <w:t xml:space="preserve"> </w:t>
      </w:r>
      <w:r>
        <w:rPr>
          <w:iCs/>
          <w:i/>
        </w:rPr>
        <w:t xml:space="preserve">consistsent</w:t>
      </w:r>
      <w:r>
        <w:t xml:space="preserve"> </w:t>
      </w:r>
      <w:r>
        <w:t xml:space="preserve">support for offering policy help to carceral citizens, I conduct an additional analysis focusing on response consistency. First, I calculate the variance of each respondent’s responses across all six help-oriented policy questions (with higher values indicating less consistent responses). I then use this variance measure as the dependent variable in a regression model with the same predictors as my main policy analysis.</w:t>
      </w:r>
    </w:p>
    <w:p>
      <w:pPr>
        <w:pStyle w:val="BodyText"/>
      </w:pPr>
      <m:oMathPara>
        <m:oMathParaPr>
          <m:jc m:val="center"/>
        </m:oMathParaPr>
        <m:oMath>
          <m:sSub>
            <m:e>
              <m:r>
                <m:rPr>
                  <m:nor/>
                  <m:sty m:val="p"/>
                </m:rPr>
                <m:t>variance_help</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w:r>
        <w:t xml:space="preserve">To confirm these findings with an alternative measure of consistency, I also calculate the standard deviation of each person’s responses across the already standardized help policy items. This provides a normalized measure of response dispersion:</w:t>
      </w:r>
    </w:p>
    <w:p>
      <w:pPr>
        <w:pStyle w:val="BodyText"/>
      </w:pPr>
      <m:oMathPara>
        <m:oMathParaPr>
          <m:jc m:val="center"/>
        </m:oMathParaPr>
        <m:oMath>
          <m:sSub>
            <m:e>
              <m:r>
                <m:rPr>
                  <m:nor/>
                  <m:sty m:val="p"/>
                </m:rPr>
                <m:t>sd_help</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t>X</m:t>
              </m:r>
            </m:e>
            <m:sub>
              <m:r>
                <m:t>i</m:t>
              </m:r>
            </m:sub>
          </m:sSub>
          <m:r>
            <m:rPr>
              <m:sty m:val="p"/>
            </m:rPr>
            <m:t>′</m:t>
          </m:r>
          <m:r>
            <m:rPr>
              <m:sty m:val="p"/>
            </m:rPr>
            <m:t>⋅</m:t>
          </m:r>
          <m:r>
            <m:rPr>
              <m:nor/>
              <m:sty m:val="p"/>
            </m:rPr>
            <m:t>controls</m:t>
          </m:r>
          <m:r>
            <m:rPr>
              <m:sty m:val="p"/>
            </m:rPr>
            <m:t>+</m:t>
          </m:r>
          <m:sSub>
            <m:e>
              <m:r>
                <m:t>u</m:t>
              </m:r>
            </m:e>
            <m:sub>
              <m:r>
                <m:t>i</m:t>
              </m:r>
            </m:sub>
          </m:sSub>
        </m:oMath>
      </m:oMathPara>
    </w:p>
    <w:p>
      <w:pPr>
        <w:pStyle w:val="FirstParagraph"/>
      </w:pPr>
      <w:r>
        <w:t xml:space="preserve">I expect that</w:t>
      </w:r>
      <w:r>
        <w:t xml:space="preserve"> </w:t>
      </w:r>
      <m:oMath>
        <m:sSub>
          <m:e>
            <m:r>
              <m:t>β</m:t>
            </m:r>
          </m:e>
          <m:sub>
            <m:r>
              <m:t>1</m:t>
            </m:r>
          </m:sub>
        </m:sSub>
      </m:oMath>
      <w:r>
        <w:t xml:space="preserve"> </w:t>
      </w:r>
      <w:r>
        <w:t xml:space="preserve">will be negative in both models, indicating that individuals with direct or proximate experiences with incarceration (impact =1) show more consistent support across different decarceral policies, even after controlling for deservingness attitudes and other demographic factors. This would support my hypothesis that personal connection leads to more coherent or unconditional policy preferences, rather than simply higher average support.</w:t>
      </w:r>
    </w:p>
    <w:p>
      <w:pPr>
        <w:pStyle w:val="BodyText"/>
      </w:pPr>
      <w:r>
        <w:t xml:space="preserve">Because aggregate measures may obscure underlying variation, I fit an ordinal logistic mixed effects model predicting policy support, with random intercepts for respondents. The model includes fixed effects for policy experience (impact), deservingness perceptions, attitudinal and remaining controls:</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logit</m:t>
                </m:r>
                <m:d>
                  <m:dPr>
                    <m:begChr m:val="("/>
                    <m:endChr m:val=")"/>
                    <m:sepChr m:val=""/>
                    <m:grow/>
                  </m:dPr>
                  <m:e>
                    <m:r>
                      <m:rPr>
                        <m:sty m:val="p"/>
                      </m:rPr>
                      <m:t>Pr</m:t>
                    </m:r>
                    <m:d>
                      <m:dPr>
                        <m:begChr m:val="("/>
                        <m:endChr m:val=")"/>
                        <m:sepChr m:val=""/>
                        <m:grow/>
                      </m:dPr>
                      <m:e>
                        <m:sSub>
                          <m:e>
                            <m:r>
                              <m:t>Y</m:t>
                            </m:r>
                          </m:e>
                          <m:sub>
                            <m:r>
                              <m:t>i</m:t>
                            </m:r>
                            <m:r>
                              <m:t>j</m:t>
                            </m:r>
                          </m:sub>
                        </m:sSub>
                        <m:r>
                          <m:rPr>
                            <m:sty m:val="p"/>
                          </m:rPr>
                          <m:t>≤</m:t>
                        </m:r>
                        <m:r>
                          <m:t>k</m:t>
                        </m:r>
                      </m:e>
                    </m:d>
                  </m:e>
                </m:d>
              </m:e>
              <m:e>
                <m:r>
                  <m:rPr>
                    <m:sty m:val="p"/>
                  </m:rPr>
                  <m:t>=</m:t>
                </m:r>
                <m:sSub>
                  <m:e>
                    <m:r>
                      <m:t>α</m:t>
                    </m:r>
                  </m:e>
                  <m:sub>
                    <m:r>
                      <m:t>k</m:t>
                    </m:r>
                  </m:sub>
                </m:sSub>
                <m:r>
                  <m:rPr>
                    <m:sty m:val="p"/>
                  </m:rPr>
                  <m:t>−</m:t>
                </m:r>
                <m:d>
                  <m:dPr>
                    <m:begChr m:val="("/>
                    <m:endChr m:val=")"/>
                    <m:sepChr m:val=""/>
                    <m:grow/>
                  </m:dPr>
                  <m:e>
                    <m:sSub>
                      <m:e>
                        <m:r>
                          <m:t>β</m:t>
                        </m:r>
                      </m:e>
                      <m:sub>
                        <m:r>
                          <m:t>1</m:t>
                        </m:r>
                      </m:sub>
                    </m:sSub>
                    <m:r>
                      <m:rPr>
                        <m:sty m:val="p"/>
                      </m:rPr>
                      <m:t>⋅</m:t>
                    </m:r>
                    <m:sSub>
                      <m:e>
                        <m:r>
                          <m:rPr>
                            <m:nor/>
                            <m:sty m:val="p"/>
                          </m:rPr>
                          <m:t>impact</m:t>
                        </m:r>
                      </m:e>
                      <m:sub>
                        <m:r>
                          <m:t>i</m:t>
                        </m:r>
                      </m:sub>
                    </m:sSub>
                    <m:r>
                      <m:rPr>
                        <m:sty m:val="p"/>
                      </m:rPr>
                      <m:t>+</m:t>
                    </m:r>
                    <m:sSub>
                      <m:e>
                        <m:r>
                          <m:t>β</m:t>
                        </m:r>
                      </m:e>
                      <m:sub>
                        <m:r>
                          <m:t>2</m:t>
                        </m:r>
                      </m:sub>
                    </m:sSub>
                    <m:r>
                      <m:rPr>
                        <m:sty m:val="p"/>
                      </m:rPr>
                      <m:t>⋅</m:t>
                    </m:r>
                    <m:sSub>
                      <m:e>
                        <m:r>
                          <m:rPr>
                            <m:nor/>
                            <m:sty m:val="p"/>
                          </m:rPr>
                          <m:t>prisonerdeserves</m:t>
                        </m:r>
                      </m:e>
                      <m:sub>
                        <m:r>
                          <m:t>i</m:t>
                        </m:r>
                      </m:sub>
                    </m:sSub>
                    <m:r>
                      <m:rPr>
                        <m:sty m:val="p"/>
                      </m:rPr>
                      <m:t>+</m:t>
                    </m:r>
                    <m:sSub>
                      <m:e>
                        <m:r>
                          <m:t>β</m:t>
                        </m:r>
                      </m:e>
                      <m:sub>
                        <m:r>
                          <m:t>3</m:t>
                        </m:r>
                      </m:sub>
                    </m:sSub>
                    <m:r>
                      <m:rPr>
                        <m:sty m:val="p"/>
                      </m:rPr>
                      <m:t>⋅</m:t>
                    </m:r>
                    <m:sSub>
                      <m:e>
                        <m:r>
                          <m:rPr>
                            <m:nor/>
                            <m:sty m:val="p"/>
                          </m:rPr>
                          <m:t>pol-or</m:t>
                        </m:r>
                      </m:e>
                      <m:sub>
                        <m:r>
                          <m:t>i</m:t>
                        </m:r>
                      </m:sub>
                    </m:sSub>
                    <m:r>
                      <m:rPr>
                        <m:sty m:val="p"/>
                      </m:rPr>
                      <m:t>+</m:t>
                    </m:r>
                    <m:sSub>
                      <m:e>
                        <m:r>
                          <m:rPr>
                            <m:sty m:val="b"/>
                          </m:rPr>
                          <m:t>X</m:t>
                        </m:r>
                      </m:e>
                      <m:sub>
                        <m:r>
                          <m:t>i</m:t>
                        </m:r>
                      </m:sub>
                    </m:sSub>
                    <m:r>
                      <m:rPr>
                        <m:sty m:val="p"/>
                      </m:rPr>
                      <m:t>′</m:t>
                    </m:r>
                    <m:r>
                      <m:rPr>
                        <m:sty m:val="b"/>
                      </m:rPr>
                      <m:t>β</m:t>
                    </m:r>
                    <m:r>
                      <m:rPr>
                        <m:sty m:val="p"/>
                      </m:rPr>
                      <m:t>+</m:t>
                    </m:r>
                    <m:sSub>
                      <m:e>
                        <m:r>
                          <m:t>u</m:t>
                        </m:r>
                      </m:e>
                      <m:sub>
                        <m:r>
                          <m:t>i</m:t>
                        </m:r>
                      </m:sub>
                    </m:sSub>
                    <m:r>
                      <m:rPr>
                        <m:sty m:val="p"/>
                      </m:rPr>
                      <m:t>+</m:t>
                    </m:r>
                    <m:sSub>
                      <m:e>
                        <m:r>
                          <m:t>ε</m:t>
                        </m:r>
                      </m:e>
                      <m:sub>
                        <m:r>
                          <m:t>i</m:t>
                        </m:r>
                        <m:r>
                          <m:t>j</m:t>
                        </m:r>
                      </m:sub>
                    </m:sSub>
                  </m:e>
                </m:d>
              </m:e>
            </m:mr>
          </m:m>
        </m:oMath>
      </m:oMathPara>
    </w:p>
    <w:p>
      <w:pPr>
        <w:pStyle w:val="FirstParagraph"/>
      </w:pPr>
      <w:r>
        <w:t xml:space="preserve">Here,</w:t>
      </w:r>
      <w:r>
        <w:t xml:space="preserve"> </w:t>
      </w:r>
      <m:oMath>
        <m:sSub>
          <m:e>
            <m:r>
              <m:t>β</m:t>
            </m:r>
          </m:e>
          <m:sub>
            <m:r>
              <m:t>1</m:t>
            </m:r>
          </m:sub>
        </m:sSub>
      </m:oMath>
      <w:r>
        <w:t xml:space="preserve"> </w:t>
      </w:r>
      <w:r>
        <w:t xml:space="preserve">estimates the average effect of contact on policy preferences;</w:t>
      </w:r>
      <w:r>
        <w:t xml:space="preserve"> </w:t>
      </w:r>
      <m:oMath>
        <m:sSub>
          <m:e>
            <m:r>
              <m:t>β</m:t>
            </m:r>
          </m:e>
          <m:sub>
            <m:r>
              <m:t>2</m:t>
            </m:r>
          </m:sub>
        </m:sSub>
      </m:oMath>
      <w:r>
        <w:t xml:space="preserve"> </w:t>
      </w:r>
      <w:r>
        <w:t xml:space="preserve">captures how much perceived deservingness of incarcerated people influences policy support; and</w:t>
      </w:r>
      <w:r>
        <w:t xml:space="preserve"> </w:t>
      </w:r>
      <m:oMath>
        <m:sSub>
          <m:e>
            <m:r>
              <m:t>β</m:t>
            </m:r>
          </m:e>
          <m:sub>
            <m:r>
              <m:t>3</m:t>
            </m:r>
          </m:sub>
        </m:sSub>
      </m:oMath>
      <w:r>
        <w:t xml:space="preserve"> </w:t>
      </w:r>
      <w:r>
        <w:t xml:space="preserve">reflects policy help attitudes. The term</w:t>
      </w:r>
      <w:r>
        <w:t xml:space="preserve"> </w:t>
      </w:r>
      <m:oMath>
        <m:sSub>
          <m:e>
            <m:r>
              <m:rPr>
                <m:sty m:val="b"/>
              </m:rPr>
              <m:t>X</m:t>
            </m:r>
          </m:e>
          <m:sub>
            <m:r>
              <m:t>i</m:t>
            </m:r>
          </m:sub>
        </m:sSub>
        <m:r>
          <m:rPr>
            <m:sty m:val="p"/>
          </m:rPr>
          <m:t>′</m:t>
        </m:r>
        <m:r>
          <m:rPr>
            <m:sty m:val="b"/>
          </m:rPr>
          <m:t>β</m:t>
        </m:r>
      </m:oMath>
      <w:r>
        <w:t xml:space="preserve"> </w:t>
      </w:r>
      <w:r>
        <w:t xml:space="preserve">represents control covariates, while</w:t>
      </w:r>
      <w:r>
        <w:t xml:space="preserve"> </w:t>
      </w:r>
      <m:oMath>
        <m:sSub>
          <m:e>
            <m:r>
              <m:t>u</m:t>
            </m:r>
          </m:e>
          <m:sub>
            <m:r>
              <m:t>i</m:t>
            </m:r>
          </m:sub>
        </m:sSub>
      </m:oMath>
      <w:r>
        <w:t xml:space="preserve"> </w:t>
      </w:r>
      <w:r>
        <w:t xml:space="preserve">allows for respondent-specific baseline support levels. This enables me to model individual-level responses across all policy items simultaneously, and assess both the average effect of experience on policy support (through the fixed effect coefficient) and the consistency of support across policies (through the random effects variance).</w:t>
      </w:r>
    </w:p>
    <w:p>
      <w:pPr>
        <w:pStyle w:val="BodyText"/>
      </w:pPr>
      <w:r>
        <w:rPr>
          <w:bCs/>
          <w:b/>
        </w:rPr>
        <w:t xml:space="preserve">Alternative hypotheses &amp; robustness checks</w:t>
      </w:r>
    </w:p>
    <w:p>
      <w:pPr>
        <w:pStyle w:val="BodyText"/>
      </w:pPr>
      <w:r>
        <w:rPr>
          <w:bCs/>
          <w:b/>
        </w:rPr>
        <w:t xml:space="preserve">Alternative: Contact Predicts Punitiveness?</w:t>
      </w:r>
    </w:p>
    <w:p>
      <w:pPr>
        <w:pStyle w:val="BodyText"/>
      </w:pPr>
      <m:oMathPara>
        <m:oMathParaPr>
          <m:jc m:val="center"/>
        </m:oMathParaPr>
        <m:oMath>
          <m:sSub>
            <m:e>
              <m:r>
                <m:t>P</m:t>
              </m:r>
            </m:e>
            <m:sub>
              <m:r>
                <m:t>i</m:t>
              </m:r>
            </m:sub>
          </m:sSub>
          <m:r>
            <m:rPr>
              <m:sty m:val="p"/>
            </m:rPr>
            <m:t>=</m:t>
          </m:r>
          <m:sSub>
            <m:e>
              <m:r>
                <m:t>λ</m:t>
              </m:r>
            </m:e>
            <m:sub>
              <m:r>
                <m:t>0</m:t>
              </m:r>
            </m:sub>
          </m:sSub>
          <m:r>
            <m:rPr>
              <m:sty m:val="p"/>
            </m:rPr>
            <m:t>+</m:t>
          </m:r>
          <m:sSub>
            <m:e>
              <m:r>
                <m:t>λ</m:t>
              </m:r>
            </m:e>
            <m:sub>
              <m:r>
                <m:t>1</m:t>
              </m:r>
            </m:sub>
          </m:sSub>
          <m:r>
            <m:rPr>
              <m:sty m:val="p"/>
            </m:rPr>
            <m:t>⋅</m:t>
          </m:r>
          <m:sSub>
            <m:e>
              <m:r>
                <m:rPr>
                  <m:nor/>
                  <m:sty m:val="p"/>
                </m:rPr>
                <m:t>Contact</m:t>
              </m:r>
            </m:e>
            <m:sub>
              <m:r>
                <m:t>i</m:t>
              </m:r>
            </m:sub>
          </m:sSub>
          <m:r>
            <m:rPr>
              <m:sty m:val="p"/>
            </m:rPr>
            <m:t>+</m:t>
          </m:r>
          <m:sSub>
            <m:e>
              <m:r>
                <m:t>X</m:t>
              </m:r>
            </m:e>
            <m:sub>
              <m:r>
                <m:t>i</m:t>
              </m:r>
            </m:sub>
          </m:sSub>
          <m:r>
            <m:rPr>
              <m:sty m:val="p"/>
            </m:rPr>
            <m:t>′</m:t>
          </m:r>
          <m:r>
            <m:rPr>
              <m:sty m:val="p"/>
            </m:rPr>
            <m:t>⋅</m:t>
          </m:r>
          <m:r>
            <m:rPr>
              <m:sty m:val="b"/>
            </m:rPr>
            <m:t>λ</m:t>
          </m:r>
          <m:r>
            <m:rPr>
              <m:sty m:val="p"/>
            </m:rPr>
            <m:t>+</m:t>
          </m:r>
          <m:sSub>
            <m:e>
              <m:r>
                <m:t>ϵ</m:t>
              </m:r>
            </m:e>
            <m:sub>
              <m:r>
                <m:t>i</m:t>
              </m:r>
            </m:sub>
          </m:sSub>
        </m:oMath>
      </m:oMathPara>
    </w:p>
    <w:p>
      <w:pPr>
        <w:pStyle w:val="FirstParagraph"/>
      </w:pPr>
      <w:r>
        <w:rPr>
          <w:bCs/>
          <w:b/>
        </w:rPr>
        <w:t xml:space="preserve">Alternative Deservingness Predicts Punitiveness</w:t>
      </w:r>
    </w:p>
    <w:p>
      <w:pPr>
        <w:pStyle w:val="BodyText"/>
      </w:pPr>
      <m:oMathPara>
        <m:oMathParaPr>
          <m:jc m:val="center"/>
        </m:oMathParaPr>
        <m:oMath>
          <m:sSub>
            <m:e>
              <m:r>
                <m:t>P</m:t>
              </m:r>
            </m:e>
            <m:sub>
              <m:r>
                <m:t>i</m:t>
              </m:r>
            </m:sub>
          </m:sSub>
          <m:r>
            <m:rPr>
              <m:sty m:val="p"/>
            </m:rPr>
            <m:t>=</m:t>
          </m:r>
          <m:sSub>
            <m:e>
              <m:r>
                <m:t>η</m:t>
              </m:r>
            </m:e>
            <m:sub>
              <m:r>
                <m:t>0</m:t>
              </m:r>
            </m:sub>
          </m:sSub>
          <m:r>
            <m:rPr>
              <m:sty m:val="p"/>
            </m:rPr>
            <m:t>+</m:t>
          </m:r>
          <m:sSub>
            <m:e>
              <m:r>
                <m:t>η</m:t>
              </m:r>
            </m:e>
            <m:sub>
              <m:r>
                <m:t>1</m:t>
              </m:r>
            </m:sub>
          </m:sSub>
          <m:r>
            <m:rPr>
              <m:sty m:val="p"/>
            </m:rPr>
            <m:t>⋅</m:t>
          </m:r>
          <m:sSub>
            <m:e>
              <m:r>
                <m:rPr>
                  <m:nor/>
                  <m:sty m:val="p"/>
                </m:rPr>
                <m:t>Deservingness</m:t>
              </m:r>
            </m:e>
            <m:sub>
              <m:r>
                <m:t>i</m:t>
              </m:r>
            </m:sub>
          </m:sSub>
          <m:r>
            <m:rPr>
              <m:sty m:val="p"/>
            </m:rPr>
            <m:t>+</m:t>
          </m:r>
          <m:sSub>
            <m:e>
              <m:r>
                <m:t>X</m:t>
              </m:r>
            </m:e>
            <m:sub>
              <m:r>
                <m:t>i</m:t>
              </m:r>
            </m:sub>
          </m:sSub>
          <m:r>
            <m:rPr>
              <m:sty m:val="p"/>
            </m:rPr>
            <m:t>′</m:t>
          </m:r>
          <m:r>
            <m:rPr>
              <m:sty m:val="p"/>
            </m:rPr>
            <m:t>⋅</m:t>
          </m:r>
          <m:r>
            <m:rPr>
              <m:sty m:val="b"/>
            </m:rPr>
            <m:t>η</m:t>
          </m:r>
          <m:r>
            <m:rPr>
              <m:sty m:val="p"/>
            </m:rPr>
            <m:t>+</m:t>
          </m:r>
          <m:sSub>
            <m:e>
              <m:r>
                <m:t>ϵ</m:t>
              </m:r>
            </m:e>
            <m:sub>
              <m:r>
                <m:t>i</m:t>
              </m:r>
            </m:sub>
          </m:sSub>
        </m:oMath>
      </m:oMathPara>
    </w:p>
    <w:p>
      <w:pPr>
        <w:pStyle w:val="FirstParagraph"/>
      </w:pPr>
      <w:r>
        <w:t xml:space="preserve">To assess heterogeneity by contact type, I re-estimate the above models using individual dummy variables for each form of impact (e.g., been incarcerated, known someone, victim of crime). In exploratory models, I restrict the sample to respondents who report only one form of contact to reduce overlap and isolate effects.</w:t>
      </w:r>
    </w:p>
    <w:p>
      <w:pPr>
        <w:pStyle w:val="BodyText"/>
      </w:pPr>
      <w:r>
        <w:t xml:space="preserve">Should I include the full model somewhere (tweaking):</w:t>
      </w:r>
    </w:p>
    <w:p>
      <w:pPr>
        <w:pStyle w:val="BodyText"/>
      </w:pPr>
      <m:oMathPara>
        <m:oMathParaPr>
          <m:jc m:val="center"/>
        </m:oMathParaPr>
        <m:oMath>
          <m:sSub>
            <m:e>
              <m:r>
                <m:rPr>
                  <m:nor/>
                  <m:sty m:val="p"/>
                </m:rPr>
                <m:t>prisoner</m:t>
              </m:r>
            </m:e>
            <m:sub>
              <m:r>
                <m:t>i</m:t>
              </m:r>
            </m:sub>
          </m:sSub>
          <m:r>
            <m:rPr>
              <m:sty m:val="p"/>
            </m:rPr>
            <m:t>=</m:t>
          </m:r>
          <m:sSub>
            <m:e>
              <m:r>
                <m:t>β</m:t>
              </m:r>
            </m:e>
            <m:sub>
              <m:r>
                <m:t>0</m:t>
              </m:r>
            </m:sub>
          </m:sSub>
          <m:r>
            <m:rPr>
              <m:sty m:val="p"/>
            </m:rPr>
            <m:t>+</m:t>
          </m:r>
          <m:sSub>
            <m:e>
              <m:r>
                <m:t>β</m:t>
              </m:r>
            </m:e>
            <m:sub>
              <m:r>
                <m:t>1</m:t>
              </m:r>
            </m:sub>
          </m:sSub>
          <m:r>
            <m:rPr>
              <m:sty m:val="p"/>
            </m:rPr>
            <m:t>⋅</m:t>
          </m:r>
          <m:sSub>
            <m:e>
              <m:r>
                <m:rPr>
                  <m:nor/>
                  <m:sty m:val="p"/>
                </m:rPr>
                <m:t>Incarcerated</m:t>
              </m:r>
            </m:e>
            <m:sub>
              <m:r>
                <m:t>i</m:t>
              </m:r>
            </m:sub>
          </m:sSub>
          <m:r>
            <m:rPr>
              <m:sty m:val="p"/>
            </m:rPr>
            <m:t>+</m:t>
          </m:r>
          <m:sSub>
            <m:e>
              <m:r>
                <m:t>β</m:t>
              </m:r>
            </m:e>
            <m:sub>
              <m:r>
                <m:t>2</m:t>
              </m:r>
            </m:sub>
          </m:sSub>
          <m:r>
            <m:rPr>
              <m:sty m:val="p"/>
            </m:rPr>
            <m:t>⋅</m:t>
          </m:r>
          <m:sSub>
            <m:e>
              <m:r>
                <m:rPr>
                  <m:nor/>
                  <m:sty m:val="p"/>
                </m:rPr>
                <m:t>KnowIncarcerated</m:t>
              </m:r>
            </m:e>
            <m:sub>
              <m:r>
                <m:t>i</m:t>
              </m:r>
            </m:sub>
          </m:sSub>
          <m:r>
            <m:rPr>
              <m:sty m:val="p"/>
            </m:rPr>
            <m:t>+</m:t>
          </m:r>
          <m:sSub>
            <m:e>
              <m:r>
                <m:t>β</m:t>
              </m:r>
            </m:e>
            <m:sub>
              <m:r>
                <m:t>3</m:t>
              </m:r>
            </m:sub>
          </m:sSub>
          <m:r>
            <m:rPr>
              <m:sty m:val="p"/>
            </m:rPr>
            <m:t>⋅</m:t>
          </m:r>
          <m:sSub>
            <m:e>
              <m:r>
                <m:rPr>
                  <m:nor/>
                  <m:sty m:val="p"/>
                </m:rPr>
                <m:t>Victim</m:t>
              </m:r>
            </m:e>
            <m:sub>
              <m:r>
                <m:t>i</m:t>
              </m:r>
            </m:sub>
          </m:sSub>
          <m:r>
            <m:rPr>
              <m:sty m:val="p"/>
            </m:rPr>
            <m:t>+</m:t>
          </m:r>
          <m:sSub>
            <m:e>
              <m:r>
                <m:t>β</m:t>
              </m:r>
            </m:e>
            <m:sub>
              <m:r>
                <m:t>4</m:t>
              </m:r>
            </m:sub>
          </m:sSub>
          <m:r>
            <m:rPr>
              <m:sty m:val="p"/>
            </m:rPr>
            <m:t>⋅</m:t>
          </m:r>
          <m:sSub>
            <m:e>
              <m:r>
                <m:rPr>
                  <m:nor/>
                  <m:sty m:val="p"/>
                </m:rPr>
                <m:t>Republican</m:t>
              </m:r>
            </m:e>
            <m:sub>
              <m:r>
                <m:t>i</m:t>
              </m:r>
            </m:sub>
          </m:sSub>
          <m:r>
            <m:rPr>
              <m:sty m:val="p"/>
            </m:rPr>
            <m:t>+</m:t>
          </m:r>
          <m:sSub>
            <m:e>
              <m:r>
                <m:t>β</m:t>
              </m:r>
            </m:e>
            <m:sub>
              <m:r>
                <m:t>5</m:t>
              </m:r>
            </m:sub>
          </m:sSub>
          <m:r>
            <m:rPr>
              <m:sty m:val="p"/>
            </m:rPr>
            <m:t>⋅</m:t>
          </m:r>
          <m:sSub>
            <m:e>
              <m:r>
                <m:rPr>
                  <m:nor/>
                  <m:sty m:val="p"/>
                </m:rPr>
                <m:t>Democrat</m:t>
              </m:r>
            </m:e>
            <m:sub>
              <m:r>
                <m:t>i</m:t>
              </m:r>
            </m:sub>
          </m:sSub>
          <m:r>
            <m:rPr>
              <m:sty m:val="p"/>
            </m:rPr>
            <m:t>+</m:t>
          </m:r>
          <m:sSub>
            <m:e>
              <m:r>
                <m:t>β</m:t>
              </m:r>
            </m:e>
            <m:sub>
              <m:r>
                <m:t>6</m:t>
              </m:r>
            </m:sub>
          </m:sSub>
          <m:r>
            <m:rPr>
              <m:sty m:val="p"/>
            </m:rPr>
            <m:t>⋅</m:t>
          </m:r>
          <m:sSub>
            <m:e>
              <m:r>
                <m:rPr>
                  <m:nor/>
                  <m:sty m:val="p"/>
                </m:rPr>
                <m:t>Ideology</m:t>
              </m:r>
            </m:e>
            <m:sub>
              <m:r>
                <m:t>i</m:t>
              </m:r>
            </m:sub>
          </m:sSub>
          <m:r>
            <m:rPr>
              <m:sty m:val="p"/>
            </m:rPr>
            <m:t>+</m:t>
          </m:r>
          <m:sSub>
            <m:e>
              <m:r>
                <m:t>β</m:t>
              </m:r>
            </m:e>
            <m:sub>
              <m:r>
                <m:t>7</m:t>
              </m:r>
            </m:sub>
          </m:sSub>
          <m:r>
            <m:rPr>
              <m:sty m:val="p"/>
            </m:rPr>
            <m:t>⋅</m:t>
          </m:r>
          <m:sSub>
            <m:e>
              <m:r>
                <m:rPr>
                  <m:nor/>
                  <m:sty m:val="p"/>
                </m:rPr>
                <m:t>Punitive</m:t>
              </m:r>
            </m:e>
            <m:sub>
              <m:r>
                <m:t>i</m:t>
              </m:r>
            </m:sub>
          </m:sSub>
          <m:r>
            <m:rPr>
              <m:sty m:val="p"/>
            </m:rPr>
            <m:t>+</m:t>
          </m:r>
          <m:sSub>
            <m:e>
              <m:r>
                <m:t>β</m:t>
              </m:r>
            </m:e>
            <m:sub>
              <m:r>
                <m:t>8</m:t>
              </m:r>
            </m:sub>
          </m:sSub>
          <m:r>
            <m:rPr>
              <m:sty m:val="p"/>
            </m:rPr>
            <m:t>⋅</m:t>
          </m:r>
          <m:sSub>
            <m:e>
              <m:r>
                <m:rPr>
                  <m:nor/>
                  <m:sty m:val="p"/>
                </m:rPr>
                <m:t>PenalPunitiveness</m:t>
              </m:r>
            </m:e>
            <m:sub>
              <m:r>
                <m:t>i</m:t>
              </m:r>
            </m:sub>
          </m:sSub>
          <m:r>
            <m:rPr>
              <m:sty m:val="p"/>
            </m:rPr>
            <m:t>+</m:t>
          </m:r>
          <m:sSub>
            <m:e>
              <m:r>
                <m:t>β</m:t>
              </m:r>
            </m:e>
            <m:sub>
              <m:r>
                <m:t>9</m:t>
              </m:r>
            </m:sub>
          </m:sSub>
          <m:r>
            <m:rPr>
              <m:sty m:val="p"/>
            </m:rPr>
            <m:t>⋅</m:t>
          </m:r>
          <m:sSub>
            <m:e>
              <m:r>
                <m:rPr>
                  <m:nor/>
                  <m:sty m:val="p"/>
                </m:rPr>
                <m:t>DeservingHelpGroups</m:t>
              </m:r>
            </m:e>
            <m:sub>
              <m:r>
                <m:t>i</m:t>
              </m:r>
            </m:sub>
          </m:sSub>
          <m:r>
            <m:rPr>
              <m:sty m:val="p"/>
            </m:rPr>
            <m:t>+</m:t>
          </m:r>
          <m:sSub>
            <m:e>
              <m:r>
                <m:t>β</m:t>
              </m:r>
            </m:e>
            <m:sub>
              <m:r>
                <m:t>10</m:t>
              </m:r>
            </m:sub>
          </m:sSub>
          <m:r>
            <m:rPr>
              <m:sty m:val="p"/>
            </m:rPr>
            <m:t>⋅</m:t>
          </m:r>
          <m:sSub>
            <m:e>
              <m:r>
                <m:rPr>
                  <m:nor/>
                  <m:sty m:val="p"/>
                </m:rPr>
                <m:t>PolicyDisposition</m:t>
              </m:r>
            </m:e>
            <m:sub>
              <m:r>
                <m:t>i</m:t>
              </m:r>
            </m:sub>
          </m:sSub>
          <m:r>
            <m:rPr>
              <m:sty m:val="p"/>
            </m:rPr>
            <m:t>+</m:t>
          </m:r>
          <m:sSub>
            <m:e>
              <m:r>
                <m:t>β</m:t>
              </m:r>
            </m:e>
            <m:sub>
              <m:r>
                <m:t>11</m:t>
              </m:r>
            </m:sub>
          </m:sSub>
          <m:r>
            <m:rPr>
              <m:sty m:val="p"/>
            </m:rPr>
            <m:t>⋅</m:t>
          </m:r>
          <m:sSub>
            <m:e>
              <m:r>
                <m:rPr>
                  <m:nor/>
                  <m:sty m:val="p"/>
                </m:rPr>
                <m:t>Black</m:t>
              </m:r>
            </m:e>
            <m:sub>
              <m:r>
                <m:t>i</m:t>
              </m:r>
            </m:sub>
          </m:sSub>
          <m:r>
            <m:rPr>
              <m:sty m:val="p"/>
            </m:rPr>
            <m:t>+</m:t>
          </m:r>
          <m:sSub>
            <m:e>
              <m:r>
                <m:t>β</m:t>
              </m:r>
            </m:e>
            <m:sub>
              <m:r>
                <m:t>12</m:t>
              </m:r>
            </m:sub>
          </m:sSub>
          <m:r>
            <m:rPr>
              <m:sty m:val="p"/>
            </m:rPr>
            <m:t>⋅</m:t>
          </m:r>
          <m:sSub>
            <m:e>
              <m:r>
                <m:rPr>
                  <m:nor/>
                  <m:sty m:val="p"/>
                </m:rPr>
                <m:t>Hispanic</m:t>
              </m:r>
            </m:e>
            <m:sub>
              <m:r>
                <m:t>i</m:t>
              </m:r>
            </m:sub>
          </m:sSub>
          <m:r>
            <m:rPr>
              <m:sty m:val="p"/>
            </m:rPr>
            <m:t>+</m:t>
          </m:r>
          <m:sSub>
            <m:e>
              <m:r>
                <m:t>β</m:t>
              </m:r>
            </m:e>
            <m:sub>
              <m:r>
                <m:t>13</m:t>
              </m:r>
            </m:sub>
          </m:sSub>
          <m:r>
            <m:rPr>
              <m:sty m:val="p"/>
            </m:rPr>
            <m:t>⋅</m:t>
          </m:r>
          <m:sSub>
            <m:e>
              <m:r>
                <m:rPr>
                  <m:nor/>
                  <m:sty m:val="p"/>
                </m:rPr>
                <m:t>OtherRace</m:t>
              </m:r>
            </m:e>
            <m:sub>
              <m:r>
                <m:t>i</m:t>
              </m:r>
            </m:sub>
          </m:sSub>
          <m:r>
            <m:rPr>
              <m:sty m:val="p"/>
            </m:rPr>
            <m:t>+</m:t>
          </m:r>
          <m:sSub>
            <m:e>
              <m:r>
                <m:t>β</m:t>
              </m:r>
            </m:e>
            <m:sub>
              <m:r>
                <m:t>14</m:t>
              </m:r>
            </m:sub>
          </m:sSub>
          <m:r>
            <m:rPr>
              <m:sty m:val="p"/>
            </m:rPr>
            <m:t>⋅</m:t>
          </m:r>
          <m:sSub>
            <m:e>
              <m:r>
                <m:rPr>
                  <m:nor/>
                  <m:sty m:val="p"/>
                </m:rPr>
                <m:t>RacialResentment</m:t>
              </m:r>
            </m:e>
            <m:sub>
              <m:r>
                <m:t>i</m:t>
              </m:r>
            </m:sub>
          </m:sSub>
          <m:r>
            <m:rPr>
              <m:sty m:val="p"/>
            </m:rPr>
            <m:t>+</m:t>
          </m:r>
          <m:sSub>
            <m:e>
              <m:r>
                <m:t>β</m:t>
              </m:r>
            </m:e>
            <m:sub>
              <m:r>
                <m:t>15</m:t>
              </m:r>
            </m:sub>
          </m:sSub>
          <m:r>
            <m:rPr>
              <m:sty m:val="p"/>
            </m:rPr>
            <m:t>⋅</m:t>
          </m:r>
          <m:sSub>
            <m:e>
              <m:r>
                <m:rPr>
                  <m:nor/>
                  <m:sty m:val="p"/>
                </m:rPr>
                <m:t>Gender</m:t>
              </m:r>
            </m:e>
            <m:sub>
              <m:r>
                <m:t>i</m:t>
              </m:r>
            </m:sub>
          </m:sSub>
          <m:r>
            <m:rPr>
              <m:sty m:val="p"/>
            </m:rPr>
            <m:t>+</m:t>
          </m:r>
          <m:sSub>
            <m:e>
              <m:r>
                <m:t>β</m:t>
              </m:r>
            </m:e>
            <m:sub>
              <m:r>
                <m:t>16</m:t>
              </m:r>
            </m:sub>
          </m:sSub>
          <m:r>
            <m:rPr>
              <m:sty m:val="p"/>
            </m:rPr>
            <m:t>⋅</m:t>
          </m:r>
          <m:sSub>
            <m:e>
              <m:r>
                <m:rPr>
                  <m:nor/>
                  <m:sty m:val="p"/>
                </m:rPr>
                <m:t>Urban</m:t>
              </m:r>
            </m:e>
            <m:sub>
              <m:r>
                <m:t>i</m:t>
              </m:r>
            </m:sub>
          </m:sSub>
          <m:r>
            <m:rPr>
              <m:sty m:val="p"/>
            </m:rPr>
            <m:t>+</m:t>
          </m:r>
          <m:sSub>
            <m:e>
              <m:r>
                <m:t>u</m:t>
              </m:r>
            </m:e>
            <m:sub>
              <m:r>
                <m:t>i</m:t>
              </m:r>
            </m:sub>
          </m:sSub>
        </m:oMath>
      </m:oMathPara>
    </w:p>
    <w:p>
      <w:r>
        <w:pict>
          <v:rect style="width:0;height:1.5pt" o:hralign="center" o:hrstd="t" o:hr="t"/>
        </w:pict>
      </w:r>
    </w:p>
    <w:bookmarkEnd w:id="34"/>
    <w:bookmarkEnd w:id="35"/>
    <w:bookmarkEnd w:id="36"/>
    <w:bookmarkEnd w:id="37"/>
    <w:bookmarkStart w:id="38" w:name="implications"/>
    <w:p>
      <w:pPr>
        <w:pStyle w:val="Heading1"/>
      </w:pPr>
      <w:r>
        <w:t xml:space="preserve">2. Implications</w:t>
      </w:r>
    </w:p>
    <w:p>
      <w:pPr>
        <w:pStyle w:val="FirstParagraph"/>
      </w:pPr>
      <w:r>
        <w:t xml:space="preserve">. . .</w:t>
      </w:r>
    </w:p>
    <w:p>
      <w:pPr>
        <w:pStyle w:val="BodyText"/>
      </w:pPr>
      <w:r>
        <w:t xml:space="preserve">[^SossNewman] ….impulse to self-differentiate may motivate individuals who experience arrest alone to maintain distinct narratives — given that contact with policies that convey</w:t>
      </w:r>
      <w:r>
        <w:t xml:space="preserve"> </w:t>
      </w:r>
      <w:r>
        <w:t xml:space="preserve">‘</w:t>
      </w:r>
      <w:r>
        <w:t xml:space="preserve">undeserving</w:t>
      </w:r>
      <w:r>
        <w:t xml:space="preserve">’</w:t>
      </w:r>
      <w:r>
        <w:t xml:space="preserve"> </w:t>
      </w:r>
      <w:r>
        <w:t xml:space="preserve">messages can motivate beneficiaries to differentiate themselves and their networks from other beneficiaries, for whom they maintain negative social constructions (Soss 2005), and neighborhood inequality motivates a belief in meritocracy for affluent individuals (Newman et al 2014).</w:t>
      </w:r>
    </w:p>
    <w:p>
      <w:pPr>
        <w:pStyle w:val="BodyText"/>
      </w:pPr>
      <w:r>
        <w:t xml:space="preserve">[^MK] First, the study conflates arrest with incarceration, despite these experiences carrying distinct resource effects, stigma, and lessons vis-a-vis one’s civic standing and government responsiveness (cf. Soss 2005). Further still, arrest may allow for self-distancing and meritocratic narratives, whereas incarceration deeply implicates individuals in systems that mark groups as</w:t>
      </w:r>
      <w:r>
        <w:t xml:space="preserve"> </w:t>
      </w:r>
      <w:r>
        <w:t xml:space="preserve">“</w:t>
      </w:r>
      <w:r>
        <w:t xml:space="preserve">undeserving</w:t>
      </w:r>
      <w:r>
        <w:t xml:space="preserve">”</w:t>
      </w:r>
      <w:r>
        <w:t xml:space="preserve"> </w:t>
      </w:r>
      <w:r>
        <w:t xml:space="preserve">(cf. Newman et al 2014).[^SossNewman] Second, the study reports a dependent variable that aggregates aggregates deservingness perceptions of</w:t>
      </w:r>
      <w:r>
        <w:t xml:space="preserve"> </w:t>
      </w:r>
      <w:r>
        <w:t xml:space="preserve">“</w:t>
      </w:r>
      <w:r>
        <w:t xml:space="preserve">criminal legal targets</w:t>
      </w:r>
      <w:r>
        <w:t xml:space="preserve">”</w:t>
      </w:r>
      <w:r>
        <w:t xml:space="preserve"> </w:t>
      </w:r>
      <w:r>
        <w:t xml:space="preserve">that includes groups like</w:t>
      </w:r>
      <w:r>
        <w:t xml:space="preserve"> </w:t>
      </w:r>
      <w:r>
        <w:t xml:space="preserve">“</w:t>
      </w:r>
      <w:r>
        <w:t xml:space="preserve">opioid users,</w:t>
      </w:r>
      <w:r>
        <w:t xml:space="preserve">”</w:t>
      </w:r>
      <w:r>
        <w:t xml:space="preserve"> </w:t>
      </w:r>
      <w:r>
        <w:t xml:space="preserve">“</w:t>
      </w:r>
      <w:r>
        <w:t xml:space="preserve">welfare cheats,</w:t>
      </w:r>
      <w:r>
        <w:t xml:space="preserve">”</w:t>
      </w:r>
      <w:r>
        <w:t xml:space="preserve"> </w:t>
      </w:r>
      <w:r>
        <w:t xml:space="preserve">and other groups less apt to the relationships of interest: how policy experience shapes perceptions of policy target deservingness, and the extent to which these perceptions mediate policy opinion. Third, their design — like much of the broader literature — does not test what these deservingness mean for policy preferences, nor does it distinguish between different types of contact, such as incarceration versus victimization. These limitations reflect a broader pattern in the literature, where the effects of carceral contact — especially forms like victimization — remain theoretically and empirically underdeveloped.</w:t>
      </w:r>
    </w:p>
    <w:p>
      <w:pPr>
        <w:pStyle w:val="BodyText"/>
      </w:pPr>
      <w:r>
        <w:t xml:space="preserve">[^Fresh] Fresh (2024) finds that the rise of punitive attitudes in the late twentieth century was not simply a response to crime rates or victimization, but was structured by racialized political appeals that mobilized white voters, particularly in the South. Together, these findings suggest that victims may hold complex policy views and may diverge in reality from narratives used to justify their punishment-oriented representation.</w:t>
      </w:r>
    </w:p>
    <w:p>
      <w:pPr>
        <w:pStyle w:val="BodyText"/>
      </w:pPr>
      <w:r>
        <w:t xml:space="preserve">[^victim] 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 (Wolff et al 2009).</w:t>
      </w:r>
    </w:p>
    <w:p>
      <w:pPr>
        <w:pStyle w:val="BodyText"/>
      </w:pPr>
      <w:r>
        <w:t xml:space="preserve">[^abc] Explain sorting into ABC. Survey participants were randomly assorded into three sections (A, B, and C). All respondents saw the same 45 (</w:t>
      </w:r>
      <w:r>
        <w:rPr>
          <w:iCs/>
          <w:i/>
        </w:rPr>
        <w:t xml:space="preserve">double check)</w:t>
      </w:r>
      <w:r>
        <w:t xml:space="preserve"> </w:t>
      </w:r>
      <w:r>
        <w:t xml:space="preserve">groups. Each section then reviewed an additional (20) unique groups.</w:t>
      </w:r>
    </w:p>
    <w:p>
      <w:pPr>
        <w:pStyle w:val="BodyText"/>
      </w:pPr>
      <w:r>
        <w:t xml:space="preserve">[^1] The underrepresentation of Republicans may have a minimizing effect.</w:t>
      </w:r>
    </w:p>
    <w:p>
      <w:pPr>
        <w:pStyle w:val="BodyText"/>
      </w:pPr>
      <w:r>
        <w:t xml:space="preserve">[^ideo] Research consistently shows that political conservativism is associated with stronger support for punitive policy, and also stronger and more frequent support for guilty verdicts and harsher sentencing recommendations as well as harsher prison conditions (Green 2012, Pyo 2024, Hansen and Navarro 2024). These may refllect beliefs in personal culpability, expressive retributive justifications for punishment, and value commitments to law and order that are often fundamental to conservative ideology (Burton et al 2020, Mancici et al 2021, Wilson et al 2015).</w:t>
      </w:r>
    </w:p>
    <w:p>
      <w:pPr>
        <w:pStyle w:val="BodyText"/>
      </w:pPr>
      <w:r>
        <w:t xml:space="preserve">[^robustness] To reduce potential ordering effects and context bias, the survey randomized the presentation of (1) deservingness target groups, (2) the order of major survey sections, and (3) the assignment of additional deservingness targets beyond a shared core set. Specifically, all respondents rated a common set of groups—including</w:t>
      </w:r>
      <w:r>
        <w:t xml:space="preserve"> </w:t>
      </w:r>
      <w:r>
        <w:t xml:space="preserve">“</w:t>
      </w:r>
      <w:r>
        <w:t xml:space="preserve">incarcerated people,</w:t>
      </w:r>
      <w:r>
        <w:t xml:space="preserve">”</w:t>
      </w:r>
      <w:r>
        <w:t xml:space="preserve"> </w:t>
      </w:r>
      <w:r>
        <w:t xml:space="preserve">“</w:t>
      </w:r>
      <w:r>
        <w:t xml:space="preserve">criminals,</w:t>
      </w:r>
      <w:r>
        <w:t xml:space="preserve">”</w:t>
      </w:r>
      <w:r>
        <w:t xml:space="preserve"> </w:t>
      </w:r>
      <w:r>
        <w:t xml:space="preserve">and</w:t>
      </w:r>
      <w:r>
        <w:t xml:space="preserve"> </w:t>
      </w:r>
      <w:r>
        <w:t xml:space="preserve">“</w:t>
      </w:r>
      <w:r>
        <w:t xml:space="preserve">incarcerated women</w:t>
      </w:r>
      <w:r>
        <w:t xml:space="preserve">”</w:t>
      </w:r>
      <w:r>
        <w:t xml:space="preserve">—while a subset of respondents were randomized into seeing additional groups such as</w:t>
      </w:r>
      <w:r>
        <w:t xml:space="preserve"> </w:t>
      </w:r>
      <w:r>
        <w:t xml:space="preserve">“</w:t>
      </w:r>
      <w:r>
        <w:t xml:space="preserve">incarcerated parents,</w:t>
      </w:r>
      <w:r>
        <w:t xml:space="preserve">”</w:t>
      </w:r>
      <w:r>
        <w:t xml:space="preserve"> </w:t>
      </w:r>
      <w:r>
        <w:t xml:space="preserve">“</w:t>
      </w:r>
      <w:r>
        <w:t xml:space="preserve">sex offenders,</w:t>
      </w:r>
      <w:r>
        <w:t xml:space="preserve">”</w:t>
      </w:r>
      <w:r>
        <w:t xml:space="preserve"> </w:t>
      </w:r>
      <w:r>
        <w:t xml:space="preserve">or</w:t>
      </w:r>
      <w:r>
        <w:t xml:space="preserve"> </w:t>
      </w:r>
      <w:r>
        <w:t xml:space="preserve">“</w:t>
      </w:r>
      <w:r>
        <w:t xml:space="preserve">formerly incarcerated individuals.</w:t>
      </w:r>
      <w:r>
        <w:t xml:space="preserve">”</w:t>
      </w:r>
      <w:r>
        <w:t xml:space="preserve"> </w:t>
      </w:r>
      <w:r>
        <w:t xml:space="preserve">Respondents also completed survey modules in varied order (e.g., deservingness, policy preferences, and ideology), and the ordering of target groups within the deservingness battery was fully randomized.</w:t>
      </w:r>
    </w:p>
    <w:p>
      <w:pPr>
        <w:pStyle w:val="BodyText"/>
      </w:pPr>
      <w:r>
        <w:t xml:space="preserve">To assess whether results are sensitive to these randomized elements, I conducted a series of robustness checks. First, I tested whether the </w:t>
      </w:r>
      <w:r>
        <w:rPr>
          <w:iCs/>
          <w:i/>
        </w:rPr>
        <w:t xml:space="preserve">position</w:t>
      </w:r>
      <w:r>
        <w:t xml:space="preserve"> of a group within the list influenced its average rating. Regressing deservingness scores on group order (with respondent-level controls) revealed no significant trends, suggesting minimal fatigue or anchoring effects. Second, I examined whether the order of survey modules affected the relationship between key predictors (e.g., deservingness or ideology) and outcomes. These models revealed no systematic variation in effect sizes or significance based on presentation order. Finally, I re-estimated core models separately within each randomized assignment block (e.g., those who rated</w:t>
      </w:r>
      <w:r>
        <w:t xml:space="preserve"> </w:t>
      </w:r>
      <w:r>
        <w:t xml:space="preserve">“</w:t>
      </w:r>
      <w:r>
        <w:t xml:space="preserve">sex offenders</w:t>
      </w:r>
      <w:r>
        <w:t xml:space="preserve">”</w:t>
      </w:r>
      <w:r>
        <w:t xml:space="preserve"> </w:t>
      </w:r>
      <w:r>
        <w:t xml:space="preserve">vs. </w:t>
      </w:r>
      <w:r>
        <w:t xml:space="preserve">“</w:t>
      </w:r>
      <w:r>
        <w:t xml:space="preserve">incarcerated parents</w:t>
      </w:r>
      <w:r>
        <w:t xml:space="preserve">”</w:t>
      </w:r>
      <w:r>
        <w:t xml:space="preserve">). Results were substantively consistent across groups, indicating that exposure to additional deservingness targets did not meaningfully alter the relationship between perceptions of incarcerated people and policy attitudes.</w:t>
      </w:r>
    </w:p>
    <w:p>
      <w:pPr>
        <w:pStyle w:val="BodyText"/>
      </w:pPr>
      <w:r>
        <w:t xml:space="preserve">Taken together, these checks help determine whether findings are robust to random variation in the presentation and structure of the survey. Full regression tables for all robustness checks are available in the appendix (Tables A#–A#).</w:t>
      </w:r>
    </w:p>
    <w:p>
      <w:pPr>
        <w:pStyle w:val="BodyText"/>
      </w:pPr>
      <w:r>
        <w:t xml:space="preserve">[^help_policy] go through policies here</w:t>
      </w:r>
    </w:p>
    <w:p>
      <w:pPr>
        <w:pStyle w:val="BodyText"/>
      </w:pPr>
      <w:r>
        <w:t xml:space="preserve">[^edlocgend] explain why ed and rural/urban is important here.</w:t>
      </w:r>
    </w:p>
    <w:bookmarkEnd w:id="38"/>
    <w:bookmarkStart w:id="40" w:name="references"/>
    <w:p>
      <w:pPr>
        <w:pStyle w:val="Heading1"/>
      </w:pPr>
      <w:r>
        <w:t xml:space="preserve">3. References</w:t>
      </w:r>
    </w:p>
    <w:bookmarkStart w:id="39" w:name="appendix"/>
    <w:p>
      <w:pPr>
        <w:pStyle w:val="Heading2"/>
      </w:pPr>
      <w:r>
        <w:t xml:space="preserve">3.1 Appendix</w:t>
      </w:r>
    </w:p>
    <w:bookmarkEnd w:id="39"/>
    <w:bookmarkEnd w:id="40"/>
    <w:sectPr w:rsidR="00760C6C" w:rsidRPr="00A13878" w:rsidSect="00B30532">
      <w:footerReference r:id="rId10" w:type="even"/>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ontserrat">
    <w:altName w:val="﷽﷽﷽﷽﷽﷽﷽﷽"/>
    <w:panose1 w:val="00000500000000000000"/>
    <w:charset w:val="80"/>
    <w:family w:val="auto"/>
    <w:pitch w:val="variable"/>
    <w:sig w:usb0="2000020F" w:usb1="08070003" w:usb2="00000010" w:usb3="00000000" w:csb0="00020197" w:csb1="00000000"/>
  </w:font>
  <w:font w:name="Aptos Display">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6911051"/>
      <w:docPartObj>
        <w:docPartGallery w:val="Page Numbers (Bottom of Page)"/>
        <w:docPartUnique/>
      </w:docPartObj>
    </w:sdtPr>
    <w:sdtContent>
      <w:p w14:paraId="5C50A275" w14:textId="580BF3FA" w:rsidR="00B30532" w:rsidRDefault="00B30532"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1DD39" w14:textId="77777777" w:rsidR="00B30532" w:rsidRDefault="00B30532" w:rsidP="00B305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97013"/>
      <w:docPartObj>
        <w:docPartGallery w:val="Page Numbers (Bottom of Page)"/>
        <w:docPartUnique/>
      </w:docPartObj>
    </w:sdtPr>
    <w:sdtContent>
      <w:p w14:paraId="410116E1" w14:textId="1B9E3FF3" w:rsidR="00B30532" w:rsidRDefault="00B30532" w:rsidP="00BF4B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EA8519" w14:textId="77777777" w:rsidR="00B30532" w:rsidRDefault="00B30532" w:rsidP="00B30532">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D2079B7"/>
    <w:multiLevelType w:val="multilevel"/>
    <w:tmpl w:val="0409001D"/>
    <w:styleLink w:val="CurrentList1"/>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
    <w:nsid w:val="44A36D6D"/>
    <w:multiLevelType w:val="hybridMultilevel"/>
    <w:tmpl w:val="6C3486C6"/>
    <w:lvl w:ilvl="0" w:tplc="8084A7BE">
      <w:start w:val="1"/>
      <w:numFmt w:val="bullet"/>
      <w:lvlText w:val=""/>
      <w:lvlJc w:val="left"/>
      <w:pPr>
        <w:ind w:hanging="360" w:left="720"/>
      </w:pPr>
      <w:rPr>
        <w:rFonts w:ascii="Symbol" w:cs="Symbol" w:hAnsi="Symbol" w:hint="default"/>
      </w:rPr>
    </w:lvl>
    <w:lvl w:ilvl="1" w:tentative="1" w:tplc="04090003">
      <w:start w:val="1"/>
      <w:numFmt w:val="bullet"/>
      <w:pStyle w:val="Subtitle"/>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cs="Wingdings" w:hAnsi="Wingdings" w:hint="default"/>
      </w:rPr>
    </w:lvl>
    <w:lvl w:ilvl="3" w:tentative="1" w:tplc="04090001">
      <w:start w:val="1"/>
      <w:numFmt w:val="bullet"/>
      <w:lvlText w:val=""/>
      <w:lvlJc w:val="left"/>
      <w:pPr>
        <w:ind w:hanging="360" w:left="2880"/>
      </w:pPr>
      <w:rPr>
        <w:rFonts w:ascii="Symbol" w:cs="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cs="Wingdings" w:hAnsi="Wingdings" w:hint="default"/>
      </w:rPr>
    </w:lvl>
    <w:lvl w:ilvl="6" w:tentative="1" w:tplc="04090001">
      <w:start w:val="1"/>
      <w:numFmt w:val="bullet"/>
      <w:lvlText w:val=""/>
      <w:lvlJc w:val="left"/>
      <w:pPr>
        <w:ind w:hanging="360" w:left="5040"/>
      </w:pPr>
      <w:rPr>
        <w:rFonts w:ascii="Symbol" w:cs="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638216208" w:numId="1">
    <w:abstractNumId w:val="1"/>
  </w:num>
  <w:num w16cid:durableId="359673956" w:numId="2">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imes New Roman" w:hAnsiTheme="minorHAns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62200"/>
    <w:pPr>
      <w:adjustRightInd w:val="0"/>
      <w:spacing w:after="100" w:afterAutospacing="1" w:before="240" w:line="360" w:lineRule="auto"/>
    </w:pPr>
    <w:rPr>
      <w:rFonts w:ascii="Times New Roman" w:cs="Times New Roman" w:hAnsi="Times New Roman"/>
    </w:rPr>
  </w:style>
  <w:style w:styleId="Heading1" w:type="paragraph">
    <w:name w:val="heading 1"/>
    <w:basedOn w:val="Normal"/>
    <w:next w:val="Normal"/>
    <w:link w:val="Heading1Char"/>
    <w:uiPriority w:val="9"/>
    <w:qFormat/>
    <w:rsid w:val="00A13878"/>
    <w:pPr>
      <w:keepNext/>
      <w:keepLines/>
      <w:spacing w:after="80" w:before="360"/>
      <w:outlineLvl w:val="0"/>
    </w:pPr>
    <w:rPr>
      <w:rFonts w:ascii="Arial" w:cstheme="majorBidi" w:eastAsiaTheme="majorEastAsia" w:hAnsi="Arial"/>
      <w:color w:themeColor="text1" w:val="000000"/>
      <w:sz w:val="40"/>
      <w:szCs w:val="40"/>
    </w:rPr>
  </w:style>
  <w:style w:styleId="Heading2" w:type="paragraph">
    <w:name w:val="heading 2"/>
    <w:basedOn w:val="Normal"/>
    <w:link w:val="Heading2Char"/>
    <w:uiPriority w:val="9"/>
    <w:unhideWhenUsed/>
    <w:qFormat/>
    <w:rsid w:val="006E1CDD"/>
    <w:pPr>
      <w:ind w:left="1339"/>
      <w:outlineLvl w:val="1"/>
    </w:pPr>
    <w:rPr>
      <w:rFonts w:ascii="Montserrat" w:hAnsi="Montserrat"/>
      <w:b/>
      <w:bCs/>
      <w:sz w:val="21"/>
      <w:szCs w:val="21"/>
    </w:rPr>
  </w:style>
  <w:style w:styleId="Heading3" w:type="paragraph">
    <w:name w:val="heading 3"/>
    <w:basedOn w:val="Normal"/>
    <w:next w:val="Normal"/>
    <w:link w:val="Heading3Char"/>
    <w:uiPriority w:val="9"/>
    <w:semiHidden/>
    <w:unhideWhenUsed/>
    <w:qFormat/>
    <w:rsid w:val="003D1712"/>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Heading4" w:type="paragraph">
    <w:name w:val="heading 4"/>
    <w:basedOn w:val="Normal"/>
    <w:next w:val="Normal"/>
    <w:link w:val="Heading4Char"/>
    <w:uiPriority w:val="9"/>
    <w:semiHidden/>
    <w:unhideWhenUsed/>
    <w:qFormat/>
    <w:rsid w:val="003D1712"/>
    <w:pPr>
      <w:keepNext/>
      <w:keepLines/>
      <w:spacing w:after="40" w:before="80"/>
      <w:outlineLvl w:val="3"/>
    </w:pPr>
    <w:rPr>
      <w:rFonts w:asciiTheme="minorHAnsi" w:cstheme="majorBidi" w:eastAsiaTheme="majorEastAsia" w:hAnsiTheme="minorHAnsi"/>
      <w:i/>
      <w:iCs/>
      <w:color w:themeColor="accent1" w:themeShade="BF" w:val="0F4761"/>
    </w:rPr>
  </w:style>
  <w:style w:styleId="Heading5" w:type="paragraph">
    <w:name w:val="heading 5"/>
    <w:basedOn w:val="Normal"/>
    <w:next w:val="Normal"/>
    <w:link w:val="Heading5Char"/>
    <w:uiPriority w:val="9"/>
    <w:semiHidden/>
    <w:unhideWhenUsed/>
    <w:qFormat/>
    <w:rsid w:val="003D1712"/>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3D1712"/>
    <w:pPr>
      <w:keepNext/>
      <w:keepLines/>
      <w:spacing w:before="40"/>
      <w:outlineLvl w:val="5"/>
    </w:pPr>
    <w:rPr>
      <w:rFonts w:asciiTheme="minorHAnsi" w:cstheme="majorBidi" w:eastAsiaTheme="majorEastAsia" w:hAnsiTheme="minorHAnsi"/>
      <w:i/>
      <w:iCs/>
      <w:color w:themeColor="text1" w:themeTint="A6" w:val="595959"/>
    </w:rPr>
  </w:style>
  <w:style w:styleId="Heading7" w:type="paragraph">
    <w:name w:val="heading 7"/>
    <w:basedOn w:val="Normal"/>
    <w:next w:val="Normal"/>
    <w:link w:val="Heading7Char"/>
    <w:uiPriority w:val="9"/>
    <w:semiHidden/>
    <w:unhideWhenUsed/>
    <w:qFormat/>
    <w:rsid w:val="003D1712"/>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3D1712"/>
    <w:pPr>
      <w:keepNext/>
      <w:keepLines/>
      <w:outlineLvl w:val="7"/>
    </w:pPr>
    <w:rPr>
      <w:rFonts w:asciiTheme="minorHAnsi" w:cstheme="majorBidi" w:eastAsiaTheme="majorEastAsia" w:hAnsiTheme="minorHAnsi"/>
      <w:i/>
      <w:iCs/>
      <w:color w:themeColor="text1" w:themeTint="D8" w:val="272727"/>
    </w:rPr>
  </w:style>
  <w:style w:styleId="Heading9" w:type="paragraph">
    <w:name w:val="heading 9"/>
    <w:basedOn w:val="Normal"/>
    <w:next w:val="Normal"/>
    <w:link w:val="Heading9Char"/>
    <w:uiPriority w:val="9"/>
    <w:semiHidden/>
    <w:unhideWhenUsed/>
    <w:qFormat/>
    <w:rsid w:val="003D1712"/>
    <w:pPr>
      <w:keepNext/>
      <w:keepLines/>
      <w:outlineLvl w:val="8"/>
    </w:pPr>
    <w:rPr>
      <w:rFonts w:asciiTheme="minorHAnsi" w:cstheme="majorBidi" w:eastAsiaTheme="majorEastAsia" w:hAnsiTheme="minorHAnsi"/>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uiPriority w:val="9"/>
    <w:rsid w:val="006E1CDD"/>
    <w:rPr>
      <w:rFonts w:ascii="Montserrat" w:cs="Times New Roman" w:eastAsia="Times New Roman" w:hAnsi="Montserrat"/>
      <w:b/>
      <w:bCs/>
      <w:sz w:val="21"/>
      <w:szCs w:val="21"/>
    </w:rPr>
  </w:style>
  <w:style w:styleId="ListParagraph" w:type="paragraph">
    <w:name w:val="List Paragraph"/>
    <w:basedOn w:val="Normal"/>
    <w:uiPriority w:val="1"/>
    <w:qFormat/>
    <w:rsid w:val="006E1CDD"/>
    <w:pPr>
      <w:spacing w:line="281" w:lineRule="exact"/>
      <w:ind w:left="2059"/>
    </w:pPr>
  </w:style>
  <w:style w:customStyle="1" w:styleId="Heading1Char" w:type="character">
    <w:name w:val="Heading 1 Char"/>
    <w:basedOn w:val="DefaultParagraphFont"/>
    <w:link w:val="Heading1"/>
    <w:uiPriority w:val="9"/>
    <w:rsid w:val="00A13878"/>
    <w:rPr>
      <w:rFonts w:ascii="Arial" w:cstheme="majorBidi" w:eastAsiaTheme="majorEastAsia" w:hAnsi="Arial"/>
      <w:color w:themeColor="text1" w:val="000000"/>
      <w:sz w:val="40"/>
      <w:szCs w:val="40"/>
    </w:rPr>
  </w:style>
  <w:style w:customStyle="1" w:styleId="Heading3Char" w:type="character">
    <w:name w:val="Heading 3 Char"/>
    <w:basedOn w:val="DefaultParagraphFont"/>
    <w:link w:val="Heading3"/>
    <w:uiPriority w:val="9"/>
    <w:semiHidden/>
    <w:rsid w:val="003D1712"/>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3D1712"/>
    <w:rPr>
      <w:rFonts w:cstheme="majorBidi" w:eastAsiaTheme="majorEastAsia"/>
      <w:i/>
      <w:iCs/>
      <w:color w:themeColor="accent1" w:themeShade="BF" w:val="0F4761"/>
      <w:sz w:val="22"/>
    </w:rPr>
  </w:style>
  <w:style w:customStyle="1" w:styleId="Heading5Char" w:type="character">
    <w:name w:val="Heading 5 Char"/>
    <w:basedOn w:val="DefaultParagraphFont"/>
    <w:link w:val="Heading5"/>
    <w:uiPriority w:val="9"/>
    <w:semiHidden/>
    <w:rsid w:val="003D1712"/>
    <w:rPr>
      <w:rFonts w:cstheme="majorBidi" w:eastAsiaTheme="majorEastAsia"/>
      <w:color w:themeColor="accent1" w:themeShade="BF" w:val="0F4761"/>
      <w:sz w:val="22"/>
    </w:rPr>
  </w:style>
  <w:style w:customStyle="1" w:styleId="Heading6Char" w:type="character">
    <w:name w:val="Heading 6 Char"/>
    <w:basedOn w:val="DefaultParagraphFont"/>
    <w:link w:val="Heading6"/>
    <w:uiPriority w:val="9"/>
    <w:semiHidden/>
    <w:rsid w:val="003D1712"/>
    <w:rPr>
      <w:rFonts w:cstheme="majorBidi" w:eastAsiaTheme="majorEastAsia"/>
      <w:i/>
      <w:iCs/>
      <w:color w:themeColor="text1" w:themeTint="A6" w:val="595959"/>
      <w:sz w:val="22"/>
    </w:rPr>
  </w:style>
  <w:style w:customStyle="1" w:styleId="Heading7Char" w:type="character">
    <w:name w:val="Heading 7 Char"/>
    <w:basedOn w:val="DefaultParagraphFont"/>
    <w:link w:val="Heading7"/>
    <w:uiPriority w:val="9"/>
    <w:semiHidden/>
    <w:rsid w:val="003D1712"/>
    <w:rPr>
      <w:rFonts w:cstheme="majorBidi" w:eastAsiaTheme="majorEastAsia"/>
      <w:color w:themeColor="text1" w:themeTint="A6" w:val="595959"/>
      <w:sz w:val="22"/>
    </w:rPr>
  </w:style>
  <w:style w:customStyle="1" w:styleId="Heading8Char" w:type="character">
    <w:name w:val="Heading 8 Char"/>
    <w:basedOn w:val="DefaultParagraphFont"/>
    <w:link w:val="Heading8"/>
    <w:uiPriority w:val="9"/>
    <w:semiHidden/>
    <w:rsid w:val="003D1712"/>
    <w:rPr>
      <w:rFonts w:cstheme="majorBidi" w:eastAsiaTheme="majorEastAsia"/>
      <w:i/>
      <w:iCs/>
      <w:color w:themeColor="text1" w:themeTint="D8" w:val="272727"/>
      <w:sz w:val="22"/>
    </w:rPr>
  </w:style>
  <w:style w:customStyle="1" w:styleId="Heading9Char" w:type="character">
    <w:name w:val="Heading 9 Char"/>
    <w:basedOn w:val="DefaultParagraphFont"/>
    <w:link w:val="Heading9"/>
    <w:uiPriority w:val="9"/>
    <w:semiHidden/>
    <w:rsid w:val="003D1712"/>
    <w:rPr>
      <w:rFonts w:cstheme="majorBidi" w:eastAsiaTheme="majorEastAsia"/>
      <w:color w:themeColor="text1" w:themeTint="D8" w:val="272727"/>
      <w:sz w:val="22"/>
    </w:rPr>
  </w:style>
  <w:style w:styleId="Title" w:type="paragraph">
    <w:name w:val="Title"/>
    <w:basedOn w:val="Normal"/>
    <w:next w:val="Normal"/>
    <w:link w:val="TitleChar"/>
    <w:uiPriority w:val="10"/>
    <w:qFormat/>
    <w:rsid w:val="003D1712"/>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3D1712"/>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3D1712"/>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3D1712"/>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3D1712"/>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3D1712"/>
    <w:rPr>
      <w:rFonts w:ascii="Open Sans" w:cs="Times New Roman" w:hAnsi="Open Sans"/>
      <w:i/>
      <w:iCs/>
      <w:color w:themeColor="text1" w:themeTint="BF" w:val="404040"/>
      <w:sz w:val="22"/>
    </w:rPr>
  </w:style>
  <w:style w:styleId="IntenseEmphasis" w:type="character">
    <w:name w:val="Intense Emphasis"/>
    <w:basedOn w:val="DefaultParagraphFont"/>
    <w:uiPriority w:val="21"/>
    <w:qFormat/>
    <w:rsid w:val="003D1712"/>
    <w:rPr>
      <w:i/>
      <w:iCs/>
      <w:color w:themeColor="accent1" w:themeShade="BF" w:val="0F4761"/>
    </w:rPr>
  </w:style>
  <w:style w:styleId="IntenseQuote" w:type="paragraph">
    <w:name w:val="Intense Quote"/>
    <w:basedOn w:val="Normal"/>
    <w:next w:val="Normal"/>
    <w:link w:val="IntenseQuoteChar"/>
    <w:uiPriority w:val="30"/>
    <w:qFormat/>
    <w:rsid w:val="003D1712"/>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3D1712"/>
    <w:rPr>
      <w:rFonts w:ascii="Open Sans" w:cs="Times New Roman" w:hAnsi="Open Sans"/>
      <w:i/>
      <w:iCs/>
      <w:color w:themeColor="accent1" w:themeShade="BF" w:val="0F4761"/>
      <w:sz w:val="22"/>
    </w:rPr>
  </w:style>
  <w:style w:styleId="IntenseReference" w:type="character">
    <w:name w:val="Intense Reference"/>
    <w:basedOn w:val="DefaultParagraphFont"/>
    <w:uiPriority w:val="32"/>
    <w:qFormat/>
    <w:rsid w:val="003D1712"/>
    <w:rPr>
      <w:b/>
      <w:bCs/>
      <w:smallCaps/>
      <w:color w:themeColor="accent1" w:themeShade="BF" w:val="0F4761"/>
      <w:spacing w:val="5"/>
    </w:rPr>
  </w:style>
  <w:style w:styleId="Footer" w:type="paragraph">
    <w:name w:val="footer"/>
    <w:basedOn w:val="Normal"/>
    <w:link w:val="FooterChar"/>
    <w:uiPriority w:val="99"/>
    <w:unhideWhenUsed/>
    <w:rsid w:val="00B30532"/>
    <w:pPr>
      <w:tabs>
        <w:tab w:pos="4680" w:val="center"/>
        <w:tab w:pos="9360" w:val="right"/>
      </w:tabs>
    </w:pPr>
  </w:style>
  <w:style w:customStyle="1" w:styleId="FooterChar" w:type="character">
    <w:name w:val="Footer Char"/>
    <w:basedOn w:val="DefaultParagraphFont"/>
    <w:link w:val="Footer"/>
    <w:uiPriority w:val="99"/>
    <w:rsid w:val="00B30532"/>
    <w:rPr>
      <w:rFonts w:ascii="Open Sans" w:cs="Times New Roman" w:hAnsi="Open Sans"/>
      <w:sz w:val="22"/>
    </w:rPr>
  </w:style>
  <w:style w:styleId="PageNumber" w:type="character">
    <w:name w:val="page number"/>
    <w:basedOn w:val="DefaultParagraphFont"/>
    <w:uiPriority w:val="99"/>
    <w:semiHidden/>
    <w:unhideWhenUsed/>
    <w:rsid w:val="00B30532"/>
  </w:style>
  <w:style w:styleId="Caption" w:type="paragraph">
    <w:name w:val="caption"/>
    <w:basedOn w:val="Normal"/>
    <w:next w:val="Normal"/>
    <w:uiPriority w:val="35"/>
    <w:unhideWhenUsed/>
    <w:qFormat/>
    <w:rsid w:val="00A13878"/>
    <w:pPr>
      <w:spacing w:after="200" w:before="0" w:line="240" w:lineRule="auto"/>
    </w:pPr>
    <w:rPr>
      <w:i/>
      <w:iCs/>
      <w:color w:themeColor="text2" w:val="0E2841"/>
      <w:sz w:val="18"/>
      <w:szCs w:val="18"/>
    </w:rPr>
  </w:style>
  <w:style w:customStyle="1" w:styleId="CurrentList1" w:type="numbering">
    <w:name w:val="Current List1"/>
    <w:uiPriority w:val="99"/>
    <w:rsid w:val="00A62200"/>
    <w:pPr>
      <w:numPr>
        <w:numId w:val="2"/>
      </w:numP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hyperlink" Id="rId20" Target="https://pressley.house.gov/2023/12/06/pressley-welch-unveil-historic-bill-to-guarantee-right-to-vote-for-incarcerated-citizens/" TargetMode="External" /></Relationships>
</file>

<file path=word/_rels/footnotes.xml.rels><?xml version="1.0" encoding="UTF-8"?><Relationships xmlns="http://schemas.openxmlformats.org/package/2006/relationships"><Relationship Type="http://schemas.openxmlformats.org/officeDocument/2006/relationships/hyperlink" Id="rId20" Target="https://pressley.house.gov/2023/12/06/pressley-welch-unveil-historic-bill-to-guarantee-right-to-vote-for-incarcerated-citize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 3-23</dc:title>
  <dc:creator>Kristina Mensik</dc:creator>
  <cp:keywords/>
  <dcterms:created xsi:type="dcterms:W3CDTF">2025-04-14T13:27:13Z</dcterms:created>
  <dcterms:modified xsi:type="dcterms:W3CDTF">2025-04-14T13:27:13Z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editor">
    <vt:lpwstr>visual</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resources">
    <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