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72C4" w14:textId="77777777" w:rsidR="007524E6" w:rsidRPr="00786A24" w:rsidRDefault="007524E6" w:rsidP="007524E6">
      <w:pPr>
        <w:spacing w:line="360" w:lineRule="auto"/>
        <w:rPr>
          <w:sz w:val="23"/>
          <w:szCs w:val="23"/>
        </w:rPr>
      </w:pPr>
    </w:p>
    <w:p w14:paraId="3557B673" w14:textId="77777777" w:rsidR="007524E6" w:rsidRPr="00786A24" w:rsidRDefault="007524E6" w:rsidP="007524E6">
      <w:pPr>
        <w:spacing w:line="360" w:lineRule="auto"/>
        <w:rPr>
          <w:rFonts w:ascii="Arial" w:hAnsi="Arial" w:cs="Arial"/>
          <w:b/>
          <w:bCs/>
          <w:sz w:val="23"/>
          <w:szCs w:val="23"/>
        </w:rPr>
      </w:pPr>
    </w:p>
    <w:p w14:paraId="00FF2D2D" w14:textId="77777777" w:rsidR="007524E6" w:rsidRPr="00786A24" w:rsidRDefault="007524E6" w:rsidP="007524E6">
      <w:pPr>
        <w:spacing w:line="360" w:lineRule="auto"/>
        <w:jc w:val="center"/>
        <w:rPr>
          <w:b/>
          <w:bCs/>
          <w:sz w:val="23"/>
          <w:szCs w:val="23"/>
        </w:rPr>
      </w:pPr>
      <w:r w:rsidRPr="00786A24">
        <w:rPr>
          <w:b/>
          <w:bCs/>
          <w:sz w:val="23"/>
          <w:szCs w:val="23"/>
        </w:rPr>
        <w:t>Works Cited</w:t>
      </w:r>
    </w:p>
    <w:p w14:paraId="5874D131" w14:textId="77777777" w:rsidR="007524E6" w:rsidRPr="00786A24" w:rsidRDefault="007524E6" w:rsidP="007524E6">
      <w:pPr>
        <w:spacing w:line="360" w:lineRule="auto"/>
        <w:rPr>
          <w:b/>
          <w:bCs/>
          <w:sz w:val="23"/>
          <w:szCs w:val="23"/>
        </w:rPr>
      </w:pPr>
    </w:p>
    <w:p w14:paraId="509ABFB3" w14:textId="77777777" w:rsidR="00B16671" w:rsidRDefault="00B16671" w:rsidP="00B16671">
      <w:pPr>
        <w:ind w:hanging="480"/>
      </w:pPr>
      <w:r>
        <w:t xml:space="preserve">“Crime Survivors Speak 2024 | Alliance for Safety and Justice.” Accessed January 15, 2025. </w:t>
      </w:r>
      <w:hyperlink r:id="rId6" w:history="1">
        <w:r>
          <w:rPr>
            <w:rStyle w:val="Hyperlink"/>
            <w:rFonts w:eastAsiaTheme="majorEastAsia"/>
          </w:rPr>
          <w:t>https://asj.allianceforsafetyandjustice.org/crime-survivors-speak-2024/</w:t>
        </w:r>
      </w:hyperlink>
      <w:r>
        <w:t>.</w:t>
      </w:r>
    </w:p>
    <w:p w14:paraId="57DF43EA" w14:textId="77777777" w:rsidR="00B16671" w:rsidRDefault="00B16671" w:rsidP="00B16671"/>
    <w:p w14:paraId="4F048AE9" w14:textId="77777777" w:rsidR="00AB47AD" w:rsidRDefault="00AB47AD" w:rsidP="00B16671"/>
    <w:p w14:paraId="75815B5C" w14:textId="77777777" w:rsidR="00AB47AD" w:rsidRDefault="00AB47AD" w:rsidP="00AB47AD">
      <w:pPr>
        <w:ind w:hanging="480"/>
      </w:pPr>
      <w:r>
        <w:t xml:space="preserve">Azimi, </w:t>
      </w:r>
      <w:proofErr w:type="spellStart"/>
      <w:r>
        <w:t>Andia</w:t>
      </w:r>
      <w:proofErr w:type="spellEnd"/>
      <w:r>
        <w:t xml:space="preserve"> M., Jane C. Daquin, and Susan J. Hoppe. “Identifying Poly-Victimization Among Prisoners: An Application of Latent Class Analysis.” </w:t>
      </w:r>
      <w:r>
        <w:rPr>
          <w:i/>
          <w:iCs/>
        </w:rPr>
        <w:t>Journal of Interpersonal Violence</w:t>
      </w:r>
      <w:r>
        <w:t xml:space="preserve"> 36, no. 19–20 (October 1, 2021): NP10645–69. </w:t>
      </w:r>
      <w:hyperlink r:id="rId7" w:history="1">
        <w:r>
          <w:rPr>
            <w:rStyle w:val="Hyperlink"/>
            <w:rFonts w:eastAsiaTheme="majorEastAsia"/>
          </w:rPr>
          <w:t>https://doi.org/10.1177/0886260519876021</w:t>
        </w:r>
      </w:hyperlink>
      <w:r>
        <w:t>.</w:t>
      </w:r>
    </w:p>
    <w:p w14:paraId="2C5DA4C8" w14:textId="77777777" w:rsidR="00B16671" w:rsidRDefault="00B16671" w:rsidP="00B16671"/>
    <w:p w14:paraId="258B694E" w14:textId="77777777" w:rsidR="00B16671" w:rsidRDefault="00B16671" w:rsidP="00B16671"/>
    <w:p w14:paraId="68CC479D" w14:textId="77777777" w:rsidR="00B16671" w:rsidRPr="00B16671" w:rsidRDefault="00B16671" w:rsidP="00B16671">
      <w:pPr>
        <w:ind w:hanging="480"/>
      </w:pPr>
      <w:r w:rsidRPr="00B16671">
        <w:t xml:space="preserve">Haslam, Nick, and Paul Bain. “Humanizing the Self: Moderators of the Attribution of Lesser Humanness to Others.” </w:t>
      </w:r>
      <w:r w:rsidRPr="00B16671">
        <w:rPr>
          <w:i/>
          <w:iCs/>
        </w:rPr>
        <w:t>Personality and Social Psychology Bulletin</w:t>
      </w:r>
      <w:r w:rsidRPr="00B16671">
        <w:t xml:space="preserve"> 33, no. 1 (January 1, 2007): 57–68. </w:t>
      </w:r>
      <w:hyperlink r:id="rId8" w:history="1">
        <w:r w:rsidRPr="00B16671">
          <w:rPr>
            <w:color w:val="0000FF"/>
            <w:u w:val="single"/>
          </w:rPr>
          <w:t>https://doi.org/10.1177/0146167206293191</w:t>
        </w:r>
      </w:hyperlink>
      <w:r w:rsidRPr="00B16671">
        <w:t>.</w:t>
      </w:r>
    </w:p>
    <w:p w14:paraId="6253AA72" w14:textId="77777777" w:rsidR="005E672F" w:rsidRDefault="005E672F" w:rsidP="00B16671"/>
    <w:p w14:paraId="358E91AE" w14:textId="68D3B3D5" w:rsidR="005E672F" w:rsidRDefault="005E672F" w:rsidP="009D7A5F">
      <w:pPr>
        <w:ind w:hanging="480"/>
      </w:pPr>
      <w:r>
        <w:t xml:space="preserve">Bandura, Albert, Bill Underwood, and Michael E Fromson. “Disinhibition of Aggression through Diffusion of Responsibility and Dehumanization of Victims.” </w:t>
      </w:r>
      <w:r>
        <w:rPr>
          <w:i/>
          <w:iCs/>
        </w:rPr>
        <w:t>Journal of Research in Personality</w:t>
      </w:r>
      <w:r>
        <w:t xml:space="preserve"> 9, no. 4 (December 1, 1975): 253–69. </w:t>
      </w:r>
      <w:hyperlink r:id="rId9" w:history="1">
        <w:r>
          <w:rPr>
            <w:rStyle w:val="Hyperlink"/>
            <w:rFonts w:eastAsiaTheme="majorEastAsia"/>
          </w:rPr>
          <w:t>https://doi.org/10.1016/0092-6566(75)90001-X</w:t>
        </w:r>
      </w:hyperlink>
      <w:r>
        <w:t>.</w:t>
      </w:r>
    </w:p>
    <w:p w14:paraId="7FC1C223" w14:textId="77777777" w:rsidR="00B16671" w:rsidRDefault="00B16671" w:rsidP="00B16671"/>
    <w:p w14:paraId="2D04183C" w14:textId="1CA6E818" w:rsidR="005E672F" w:rsidRDefault="005E672F" w:rsidP="009D7A5F">
      <w:pPr>
        <w:ind w:hanging="480"/>
      </w:pPr>
      <w:r>
        <w:t xml:space="preserve">Bandura, Albert. “Moral Disengagement in the Perpetration of Inhumanities.” </w:t>
      </w:r>
      <w:r>
        <w:rPr>
          <w:i/>
          <w:iCs/>
        </w:rPr>
        <w:t>Personality and Social Psychology Review</w:t>
      </w:r>
      <w:r>
        <w:t xml:space="preserve"> 3, no. 3 (August 1, 1999): 193–209. </w:t>
      </w:r>
      <w:hyperlink r:id="rId10" w:history="1">
        <w:r>
          <w:rPr>
            <w:rStyle w:val="Hyperlink"/>
            <w:rFonts w:eastAsiaTheme="majorEastAsia"/>
          </w:rPr>
          <w:t>https://doi.org/10.1207/s15327957pspr0303_3</w:t>
        </w:r>
      </w:hyperlink>
      <w:r>
        <w:t>.</w:t>
      </w:r>
    </w:p>
    <w:p w14:paraId="055668E0" w14:textId="77777777" w:rsidR="00B16671" w:rsidRDefault="00B16671" w:rsidP="00B16671"/>
    <w:p w14:paraId="79153864" w14:textId="77777777" w:rsidR="003C42DA" w:rsidRDefault="003C42DA" w:rsidP="003C42DA">
      <w:pPr>
        <w:ind w:hanging="480"/>
      </w:pPr>
      <w:proofErr w:type="spellStart"/>
      <w:r>
        <w:t>Kteily</w:t>
      </w:r>
      <w:proofErr w:type="spellEnd"/>
      <w:r>
        <w:t xml:space="preserve">, Nour S., and Emile Bruneau. “Darker Demons of Our Nature: The Need to (Re)Focus Attention on Blatant Forms of Dehumanization.” </w:t>
      </w:r>
      <w:r>
        <w:rPr>
          <w:i/>
          <w:iCs/>
        </w:rPr>
        <w:t>Current Directions in Psychological Science</w:t>
      </w:r>
      <w:r>
        <w:t xml:space="preserve"> 26, no. 6 (December 1, 2017): 487–94. </w:t>
      </w:r>
      <w:hyperlink r:id="rId11" w:history="1">
        <w:r>
          <w:rPr>
            <w:rStyle w:val="Hyperlink"/>
            <w:rFonts w:eastAsiaTheme="majorEastAsia"/>
          </w:rPr>
          <w:t>https://doi.org/10.1177/0963721417708230</w:t>
        </w:r>
      </w:hyperlink>
      <w:r>
        <w:t>.</w:t>
      </w:r>
    </w:p>
    <w:p w14:paraId="4284BAC8" w14:textId="77777777" w:rsidR="005E672F" w:rsidRDefault="005E672F" w:rsidP="00B16671"/>
    <w:p w14:paraId="5ADA2FAD" w14:textId="77777777" w:rsidR="00B16671" w:rsidRDefault="00B16671" w:rsidP="00B16671"/>
    <w:p w14:paraId="79483CD1" w14:textId="105609F6" w:rsidR="003C42DA" w:rsidRDefault="003C42DA" w:rsidP="00B16671">
      <w:pPr>
        <w:rPr>
          <w:rFonts w:ascii="Merriweather Sans" w:hAnsi="Merriweather Sans"/>
          <w:color w:val="222222"/>
          <w:shd w:val="clear" w:color="auto" w:fill="FFFFFF"/>
        </w:rPr>
      </w:pPr>
      <w:r>
        <w:rPr>
          <w:rFonts w:ascii="Merriweather Sans" w:hAnsi="Merriweather Sans"/>
          <w:color w:val="222222"/>
          <w:shd w:val="clear" w:color="auto" w:fill="FFFFFF"/>
        </w:rPr>
        <w:t xml:space="preserve">Bar-Tal, D. (1989). Delegitimization: The Extreme Case of Stereotyping and Prejudice. In: Bar-Tal, D., Graumann, C.F., </w:t>
      </w:r>
      <w:proofErr w:type="spellStart"/>
      <w:r>
        <w:rPr>
          <w:rFonts w:ascii="Merriweather Sans" w:hAnsi="Merriweather Sans"/>
          <w:color w:val="222222"/>
          <w:shd w:val="clear" w:color="auto" w:fill="FFFFFF"/>
        </w:rPr>
        <w:t>Kruglanski</w:t>
      </w:r>
      <w:proofErr w:type="spellEnd"/>
      <w:r>
        <w:rPr>
          <w:rFonts w:ascii="Merriweather Sans" w:hAnsi="Merriweather Sans"/>
          <w:color w:val="222222"/>
          <w:shd w:val="clear" w:color="auto" w:fill="FFFFFF"/>
        </w:rPr>
        <w:t xml:space="preserve">, A.W., Stroebe, W. (eds) Stereotyping and Prejudice. Springer Series in Social Psychology. Springer, New York, NY. </w:t>
      </w:r>
      <w:hyperlink r:id="rId12" w:history="1">
        <w:r w:rsidRPr="00FF501E">
          <w:rPr>
            <w:rStyle w:val="Hyperlink"/>
            <w:rFonts w:ascii="Merriweather Sans" w:hAnsi="Merriweather Sans"/>
            <w:shd w:val="clear" w:color="auto" w:fill="FFFFFF"/>
          </w:rPr>
          <w:t>https://doi.org/10.1007/978-1-4612-3582-8_8</w:t>
        </w:r>
      </w:hyperlink>
    </w:p>
    <w:p w14:paraId="3D0062BF" w14:textId="77777777" w:rsidR="003C42DA" w:rsidRDefault="003C42DA" w:rsidP="00B16671">
      <w:pPr>
        <w:rPr>
          <w:rFonts w:ascii="Merriweather Sans" w:hAnsi="Merriweather Sans"/>
          <w:color w:val="222222"/>
          <w:shd w:val="clear" w:color="auto" w:fill="FFFFFF"/>
        </w:rPr>
      </w:pPr>
    </w:p>
    <w:p w14:paraId="4A2B4137" w14:textId="77777777" w:rsidR="003C42DA" w:rsidRDefault="003C42DA" w:rsidP="003C42DA">
      <w:pPr>
        <w:ind w:hanging="480"/>
      </w:pPr>
      <w:r>
        <w:t xml:space="preserve">Bar-Tal, Daniel, Arie W. </w:t>
      </w:r>
      <w:proofErr w:type="spellStart"/>
      <w:r>
        <w:t>Kruglanski</w:t>
      </w:r>
      <w:proofErr w:type="spellEnd"/>
      <w:r>
        <w:t xml:space="preserve">, and </w:t>
      </w:r>
      <w:proofErr w:type="spellStart"/>
      <w:r>
        <w:t>Yechiel</w:t>
      </w:r>
      <w:proofErr w:type="spellEnd"/>
      <w:r>
        <w:t xml:space="preserve"> Klar. “Conflict Termination: An Epistemological Analysis of International Cases.” </w:t>
      </w:r>
      <w:r>
        <w:rPr>
          <w:i/>
          <w:iCs/>
        </w:rPr>
        <w:t>Political Psychology</w:t>
      </w:r>
      <w:r>
        <w:t xml:space="preserve"> 10, no. 2 (1989): 233–55. </w:t>
      </w:r>
      <w:hyperlink r:id="rId13" w:history="1">
        <w:r>
          <w:rPr>
            <w:rStyle w:val="Hyperlink"/>
            <w:rFonts w:eastAsiaTheme="majorEastAsia"/>
          </w:rPr>
          <w:t>https://doi.org/10.2307/3791646</w:t>
        </w:r>
      </w:hyperlink>
      <w:r>
        <w:t>.</w:t>
      </w:r>
    </w:p>
    <w:p w14:paraId="352A2088" w14:textId="77777777" w:rsidR="00B16671" w:rsidRDefault="00B16671" w:rsidP="00B16671"/>
    <w:p w14:paraId="5ACA9236" w14:textId="77777777" w:rsidR="003C42DA" w:rsidRDefault="003C42DA" w:rsidP="003C42DA">
      <w:pPr>
        <w:ind w:hanging="480"/>
      </w:pPr>
      <w:r>
        <w:t xml:space="preserve">Baumgartner, Frank R., Derek A. Epp, and Kelsey </w:t>
      </w:r>
      <w:proofErr w:type="spellStart"/>
      <w:r>
        <w:t>Shoub</w:t>
      </w:r>
      <w:proofErr w:type="spellEnd"/>
      <w:r>
        <w:t xml:space="preserve">. </w:t>
      </w:r>
      <w:r>
        <w:rPr>
          <w:i/>
          <w:iCs/>
        </w:rPr>
        <w:t xml:space="preserve">Suspect Citizens: What 20 </w:t>
      </w:r>
      <w:proofErr w:type="gramStart"/>
      <w:r>
        <w:rPr>
          <w:i/>
          <w:iCs/>
        </w:rPr>
        <w:t>Million</w:t>
      </w:r>
      <w:proofErr w:type="gramEnd"/>
      <w:r>
        <w:rPr>
          <w:i/>
          <w:iCs/>
        </w:rPr>
        <w:t xml:space="preserve"> Traffic Stops Tell Us About Policing and Race</w:t>
      </w:r>
      <w:r>
        <w:t>. Cambridge University Press, 2018.</w:t>
      </w:r>
    </w:p>
    <w:p w14:paraId="1C479571" w14:textId="77777777" w:rsidR="00B16671" w:rsidRDefault="00B16671" w:rsidP="00B16671"/>
    <w:p w14:paraId="730B20E6" w14:textId="77777777" w:rsidR="005D44A9" w:rsidRDefault="003C42DA" w:rsidP="005D44A9">
      <w:pPr>
        <w:ind w:hanging="480"/>
      </w:pPr>
      <w:r>
        <w:lastRenderedPageBreak/>
        <w:t xml:space="preserve">Bishop, Bill, and Robert G. Cushing. </w:t>
      </w:r>
      <w:r>
        <w:rPr>
          <w:i/>
          <w:iCs/>
        </w:rPr>
        <w:t>The Big Sort: Why the Clustering of Like-Minded America Is Tearing Us Apart</w:t>
      </w:r>
      <w:r>
        <w:t>. Houghton Mifflin Harcourt, 2009.</w:t>
      </w:r>
    </w:p>
    <w:p w14:paraId="7173FEF6" w14:textId="77777777" w:rsidR="005D44A9" w:rsidRDefault="005D44A9" w:rsidP="005D44A9">
      <w:pPr>
        <w:ind w:hanging="480"/>
      </w:pPr>
    </w:p>
    <w:p w14:paraId="570B9F47" w14:textId="0CFA17E9" w:rsidR="003C42DA" w:rsidRDefault="00124B5D" w:rsidP="005D44A9">
      <w:pPr>
        <w:ind w:hanging="480"/>
      </w:pPr>
      <w:r>
        <w:t>Tapp, Susannah N., and Emilie J. Coen. "Criminal Victimization, 2023." NCJ 309335. Washington, DC: Bureau of Justice Statistics, September 2024.</w:t>
      </w:r>
    </w:p>
    <w:p w14:paraId="0A09C236" w14:textId="56E5A5D9" w:rsidR="00B16671" w:rsidRDefault="00B16671" w:rsidP="00B16671"/>
    <w:p w14:paraId="570803AC" w14:textId="77777777" w:rsidR="00124B5D" w:rsidRDefault="00B16671" w:rsidP="00124B5D">
      <w:pPr>
        <w:ind w:hanging="480"/>
      </w:pPr>
      <w:proofErr w:type="spellStart"/>
      <w:r>
        <w:t>Carlsmith</w:t>
      </w:r>
      <w:proofErr w:type="spellEnd"/>
      <w:r>
        <w:t xml:space="preserve">, Kevin M., and John M. Darley. “Psychological Aspects of Retributive Justice.” In </w:t>
      </w:r>
      <w:r>
        <w:rPr>
          <w:i/>
          <w:iCs/>
        </w:rPr>
        <w:t>Advances in Experimental Social Psychology</w:t>
      </w:r>
      <w:r>
        <w:t xml:space="preserve">, 40:193–236. Academic Press, 2008. </w:t>
      </w:r>
      <w:hyperlink r:id="rId14" w:history="1">
        <w:r>
          <w:rPr>
            <w:rStyle w:val="Hyperlink"/>
            <w:rFonts w:eastAsiaTheme="majorEastAsia"/>
          </w:rPr>
          <w:t>https://doi.org/10.1016/S0065-2601(07)00004-4</w:t>
        </w:r>
      </w:hyperlink>
      <w:r>
        <w:t>.</w:t>
      </w:r>
    </w:p>
    <w:p w14:paraId="3006C0F7" w14:textId="77777777" w:rsidR="00124B5D" w:rsidRDefault="00124B5D" w:rsidP="00124B5D">
      <w:pPr>
        <w:ind w:hanging="480"/>
      </w:pPr>
    </w:p>
    <w:p w14:paraId="336C3775" w14:textId="6981B4EC" w:rsidR="00B16671" w:rsidRDefault="00124B5D" w:rsidP="00124B5D">
      <w:pPr>
        <w:ind w:hanging="480"/>
      </w:pPr>
      <w:proofErr w:type="spellStart"/>
      <w:r w:rsidRPr="00124B5D">
        <w:t>Carlsmith</w:t>
      </w:r>
      <w:proofErr w:type="spellEnd"/>
      <w:r w:rsidRPr="00124B5D">
        <w:t>, K. M., Darley, J. M., &amp; Robinson, P. H. (2002). Why do we punish? Deterrence and just deserts as motives for punishment. </w:t>
      </w:r>
      <w:r w:rsidRPr="00124B5D">
        <w:rPr>
          <w:i/>
          <w:iCs/>
        </w:rPr>
        <w:t>Journal of Personality and Social Psychology, 83</w:t>
      </w:r>
      <w:r w:rsidRPr="00124B5D">
        <w:t>(2), 284–299. </w:t>
      </w:r>
      <w:hyperlink r:id="rId15" w:tgtFrame="_blank" w:history="1">
        <w:r w:rsidRPr="00124B5D">
          <w:rPr>
            <w:rStyle w:val="Hyperlink"/>
          </w:rPr>
          <w:t>https://doi.org/10.1037/0022-3514.83.2.284</w:t>
        </w:r>
      </w:hyperlink>
    </w:p>
    <w:p w14:paraId="63C01B2D" w14:textId="77777777" w:rsidR="00AB47AD" w:rsidRDefault="00AB47AD" w:rsidP="00B16671"/>
    <w:p w14:paraId="5FA8E3D2" w14:textId="77777777" w:rsidR="00AB47AD" w:rsidRDefault="00AB47AD" w:rsidP="00AB47AD">
      <w:pPr>
        <w:ind w:hanging="480"/>
      </w:pPr>
      <w:r>
        <w:t xml:space="preserve">“Traumatic Histories and Stressful Life Events of Incarcerated Parents: Childhood and Adult Trauma Histories - Bonnie E. Carlson, Michael S. Shafer, 2010.” Accessed January 17, 2025. </w:t>
      </w:r>
      <w:hyperlink r:id="rId16" w:history="1">
        <w:r>
          <w:rPr>
            <w:rStyle w:val="Hyperlink"/>
            <w:rFonts w:eastAsiaTheme="majorEastAsia"/>
          </w:rPr>
          <w:t>https://journals.sagepub.com/doi/abs/10.1177/0032885510382224</w:t>
        </w:r>
      </w:hyperlink>
      <w:r>
        <w:t>.</w:t>
      </w:r>
    </w:p>
    <w:p w14:paraId="26F911EB" w14:textId="77777777" w:rsidR="00AB47AD" w:rsidRDefault="00AB47AD" w:rsidP="00B16671"/>
    <w:p w14:paraId="2C119BE4" w14:textId="77777777" w:rsidR="00D25DF3" w:rsidRDefault="00D25DF3" w:rsidP="00D25DF3">
      <w:pPr>
        <w:ind w:hanging="480"/>
      </w:pPr>
      <w:r>
        <w:t>Peleg-</w:t>
      </w:r>
      <w:proofErr w:type="spellStart"/>
      <w:r>
        <w:t>Koriat</w:t>
      </w:r>
      <w:proofErr w:type="spellEnd"/>
      <w:r>
        <w:t xml:space="preserve">, Inbal, Dana </w:t>
      </w:r>
      <w:proofErr w:type="spellStart"/>
      <w:r>
        <w:t>Weimann</w:t>
      </w:r>
      <w:proofErr w:type="spellEnd"/>
      <w:r>
        <w:t xml:space="preserve">-Saks, and Eran Halperin. “The Moderating Role of Psychological Distance on the Impact of Malleability Beliefs on Public Attitudes toward Punishment.” </w:t>
      </w:r>
      <w:r>
        <w:rPr>
          <w:i/>
          <w:iCs/>
        </w:rPr>
        <w:t>Journal of Offender Rehabilitation</w:t>
      </w:r>
      <w:r>
        <w:t xml:space="preserve"> 59, no. 7 (October 2, 2020): 416–32. </w:t>
      </w:r>
      <w:hyperlink r:id="rId17" w:history="1">
        <w:r>
          <w:rPr>
            <w:rStyle w:val="Hyperlink"/>
            <w:rFonts w:eastAsiaTheme="majorEastAsia"/>
          </w:rPr>
          <w:t>https://doi.org/10.1080/10509674.2020.1784349</w:t>
        </w:r>
      </w:hyperlink>
      <w:r>
        <w:t>.</w:t>
      </w:r>
    </w:p>
    <w:p w14:paraId="3E2D1777" w14:textId="77777777" w:rsidR="00124B5D" w:rsidRDefault="00124B5D" w:rsidP="00B16671"/>
    <w:p w14:paraId="3E92F6E8" w14:textId="05D44BE8" w:rsidR="00D25DF3" w:rsidRDefault="00596415" w:rsidP="00B16671">
      <w:r>
        <w:t xml:space="preserve">Carvalho, Henrique, and Anastasia </w:t>
      </w:r>
      <w:proofErr w:type="spellStart"/>
      <w:r>
        <w:t>Chamberlen</w:t>
      </w:r>
      <w:proofErr w:type="spellEnd"/>
      <w:r>
        <w:t xml:space="preserve">. "Why Punishment Pleases: Punitive Feelings in a World of Hostile Solidarity." </w:t>
      </w:r>
      <w:r>
        <w:rPr>
          <w:rStyle w:val="Emphasis"/>
          <w:rFonts w:eastAsiaTheme="majorEastAsia"/>
        </w:rPr>
        <w:t>Punishment &amp; Society</w:t>
      </w:r>
      <w:r>
        <w:t xml:space="preserve"> 20, no. 2 (2018): 217-234.</w:t>
      </w:r>
    </w:p>
    <w:p w14:paraId="04EA0D22" w14:textId="77777777" w:rsidR="00124B5D" w:rsidRDefault="00124B5D" w:rsidP="00B16671"/>
    <w:p w14:paraId="05019B85" w14:textId="77777777" w:rsidR="009676E1" w:rsidRDefault="009676E1" w:rsidP="009676E1">
      <w:pPr>
        <w:ind w:hanging="480"/>
      </w:pPr>
      <w:proofErr w:type="spellStart"/>
      <w:r>
        <w:t>Chudy</w:t>
      </w:r>
      <w:proofErr w:type="spellEnd"/>
      <w:r>
        <w:t xml:space="preserve">, Jennifer. “Racial Sympathy and Its Political Consequences.” </w:t>
      </w:r>
      <w:r>
        <w:rPr>
          <w:i/>
          <w:iCs/>
        </w:rPr>
        <w:t>The Journal of Politics</w:t>
      </w:r>
      <w:r>
        <w:t xml:space="preserve"> 83, no. 1 (January 2021): 122–36. </w:t>
      </w:r>
      <w:hyperlink r:id="rId18" w:history="1">
        <w:r>
          <w:rPr>
            <w:rStyle w:val="Hyperlink"/>
            <w:rFonts w:eastAsiaTheme="majorEastAsia"/>
          </w:rPr>
          <w:t>https://doi.org/10.1086/708953</w:t>
        </w:r>
      </w:hyperlink>
      <w:r>
        <w:t>.</w:t>
      </w:r>
    </w:p>
    <w:p w14:paraId="4AADF375" w14:textId="77777777" w:rsidR="009676E1" w:rsidRDefault="009676E1" w:rsidP="00B16671"/>
    <w:p w14:paraId="02891886" w14:textId="77777777" w:rsidR="009676E1" w:rsidRDefault="00007A85" w:rsidP="009676E1">
      <w:pPr>
        <w:ind w:hanging="480"/>
      </w:pPr>
      <w:r>
        <w:t xml:space="preserve">Cullen, Francis T., Leah C. Butler, and Amanda Graham. “Racial Attitudes and Criminal Justice Policy.” </w:t>
      </w:r>
      <w:r>
        <w:rPr>
          <w:i/>
          <w:iCs/>
        </w:rPr>
        <w:t>Crime and Justice</w:t>
      </w:r>
      <w:r>
        <w:t xml:space="preserve"> 50, no. 1 (December 1, 2021): 163–245. </w:t>
      </w:r>
      <w:hyperlink r:id="rId19" w:history="1">
        <w:r>
          <w:rPr>
            <w:rStyle w:val="Hyperlink"/>
            <w:rFonts w:eastAsiaTheme="majorEastAsia"/>
          </w:rPr>
          <w:t>https://doi.org/10.1086/715911</w:t>
        </w:r>
      </w:hyperlink>
      <w:r>
        <w:t>.</w:t>
      </w:r>
    </w:p>
    <w:p w14:paraId="72743445" w14:textId="77777777" w:rsidR="009676E1" w:rsidRDefault="009676E1" w:rsidP="009676E1">
      <w:pPr>
        <w:ind w:hanging="480"/>
      </w:pPr>
    </w:p>
    <w:p w14:paraId="6542E7CB" w14:textId="4A22A1E8" w:rsidR="00007A85" w:rsidRDefault="009676E1" w:rsidP="009D7A5F">
      <w:pPr>
        <w:ind w:hanging="480"/>
      </w:pPr>
      <w:r w:rsidRPr="006C7333">
        <w:t>Hansen, Eric R., and Christopher J. Clark. “Diversity in Party Leadership in State Legislatures.” 2020. State Politics and Policy Quarterly 20(1): 81-107.</w:t>
      </w:r>
    </w:p>
    <w:p w14:paraId="25CCB4EC" w14:textId="77777777" w:rsidR="00007A85" w:rsidRDefault="00007A85" w:rsidP="00B16671"/>
    <w:p w14:paraId="2E40AB7B" w14:textId="0F99BD14" w:rsidR="00B16671" w:rsidRDefault="00B16671" w:rsidP="00B16671"/>
    <w:p w14:paraId="31CC1842" w14:textId="77777777" w:rsidR="000B564E" w:rsidRDefault="000B564E" w:rsidP="000B564E">
      <w:pPr>
        <w:ind w:hanging="480"/>
      </w:pPr>
      <w:r>
        <w:t xml:space="preserve">“Protesting While </w:t>
      </w:r>
      <w:proofErr w:type="gramStart"/>
      <w:r>
        <w:t>Black?:</w:t>
      </w:r>
      <w:proofErr w:type="gramEnd"/>
      <w:r>
        <w:t xml:space="preserve"> The Differential Policing of American Activism, 1960 to 1990 - Christian Davenport, Sarah A. Soule, David A. Armstrong, 2011.” Accessed January 17, 2025. </w:t>
      </w:r>
      <w:hyperlink r:id="rId20" w:history="1">
        <w:r>
          <w:rPr>
            <w:rStyle w:val="Hyperlink"/>
            <w:rFonts w:eastAsiaTheme="majorEastAsia"/>
          </w:rPr>
          <w:t>https://journals.sagepub.com/doi/full/10.1177/0003122410395370</w:t>
        </w:r>
      </w:hyperlink>
      <w:r>
        <w:t>.</w:t>
      </w:r>
    </w:p>
    <w:p w14:paraId="3E45E9E3" w14:textId="77777777" w:rsidR="00007A85" w:rsidRDefault="00007A85" w:rsidP="00B16671"/>
    <w:p w14:paraId="4610BAA2" w14:textId="77777777" w:rsidR="00007A85" w:rsidRDefault="00007A85" w:rsidP="00B16671"/>
    <w:p w14:paraId="651D6F97" w14:textId="77777777" w:rsidR="0016689E" w:rsidRDefault="0016689E" w:rsidP="0016689E">
      <w:pPr>
        <w:ind w:hanging="480"/>
      </w:pPr>
      <w:r>
        <w:t xml:space="preserve">Donovan, Roxanne A. “To Blame or Not </w:t>
      </w:r>
      <w:proofErr w:type="gramStart"/>
      <w:r>
        <w:t>To</w:t>
      </w:r>
      <w:proofErr w:type="gramEnd"/>
      <w:r>
        <w:t xml:space="preserve"> Blame: Influences of Target Race and Observer Sex on Rape Blame Attribution.” </w:t>
      </w:r>
      <w:r>
        <w:rPr>
          <w:i/>
          <w:iCs/>
        </w:rPr>
        <w:t>Journal of Interpersonal Violence</w:t>
      </w:r>
      <w:r>
        <w:t xml:space="preserve"> 22, no. 6 (June 2007): 722–36. </w:t>
      </w:r>
      <w:hyperlink r:id="rId21" w:history="1">
        <w:r>
          <w:rPr>
            <w:rStyle w:val="Hyperlink"/>
            <w:rFonts w:eastAsiaTheme="majorEastAsia"/>
          </w:rPr>
          <w:t>https://doi.org/10.1177/0886260507300754</w:t>
        </w:r>
      </w:hyperlink>
      <w:r>
        <w:t>.</w:t>
      </w:r>
    </w:p>
    <w:p w14:paraId="1C5F4768" w14:textId="77777777" w:rsidR="00007A85" w:rsidRDefault="00007A85" w:rsidP="00B16671"/>
    <w:p w14:paraId="312E84D1" w14:textId="77777777" w:rsidR="0016689E" w:rsidRDefault="0016689E" w:rsidP="00B16671"/>
    <w:p w14:paraId="414CD88B" w14:textId="782E0ED1" w:rsidR="00007A85" w:rsidRDefault="00007A85" w:rsidP="005D44A9">
      <w:pPr>
        <w:ind w:hanging="480"/>
      </w:pPr>
      <w:r>
        <w:t xml:space="preserve">English, Micah, and Joshua Kalla. “Racial Equality Frames and Public Policy Support: Survey Experimental Evidence.” OSF, April 23, 2021. </w:t>
      </w:r>
      <w:hyperlink r:id="rId22" w:history="1">
        <w:r>
          <w:rPr>
            <w:rStyle w:val="Hyperlink"/>
            <w:rFonts w:eastAsiaTheme="majorEastAsia"/>
          </w:rPr>
          <w:t>https://doi.org/10.31219/osf.io/tdkf3</w:t>
        </w:r>
      </w:hyperlink>
      <w:r>
        <w:t>.</w:t>
      </w:r>
    </w:p>
    <w:p w14:paraId="35011F00" w14:textId="77777777" w:rsidR="005D44A9" w:rsidRDefault="005D44A9" w:rsidP="005D44A9">
      <w:pPr>
        <w:pStyle w:val="whitespace-pre-wrap"/>
      </w:pPr>
      <w:r>
        <w:t xml:space="preserve">Fanon, Frantz. </w:t>
      </w:r>
      <w:r>
        <w:rPr>
          <w:rStyle w:val="Emphasis"/>
          <w:rFonts w:eastAsiaTheme="majorEastAsia"/>
        </w:rPr>
        <w:t>The Wretched of the Earth</w:t>
      </w:r>
      <w:r>
        <w:t xml:space="preserve">. Translated by Richard </w:t>
      </w:r>
      <w:proofErr w:type="spellStart"/>
      <w:r>
        <w:t>Philcox</w:t>
      </w:r>
      <w:proofErr w:type="spellEnd"/>
      <w:r>
        <w:t>. New York: Grove Press, 1963.</w:t>
      </w:r>
    </w:p>
    <w:p w14:paraId="79D29DC4" w14:textId="008E8FC4" w:rsidR="00007A85" w:rsidRDefault="005D44A9" w:rsidP="005D44A9">
      <w:pPr>
        <w:pStyle w:val="whitespace-pre-wrap"/>
      </w:pPr>
      <w:r>
        <w:t xml:space="preserve">Fanon, Frantz. </w:t>
      </w:r>
      <w:r>
        <w:rPr>
          <w:rStyle w:val="Emphasis"/>
          <w:rFonts w:eastAsiaTheme="majorEastAsia"/>
        </w:rPr>
        <w:t>Black Skin, White Masks</w:t>
      </w:r>
      <w:r>
        <w:t xml:space="preserve">. Translated by Charles Lam </w:t>
      </w:r>
      <w:proofErr w:type="spellStart"/>
      <w:r>
        <w:t>Markmann</w:t>
      </w:r>
      <w:proofErr w:type="spellEnd"/>
      <w:r>
        <w:t>. New York: Grove Press, 1967.</w:t>
      </w:r>
    </w:p>
    <w:p w14:paraId="27C1EC4A" w14:textId="77777777" w:rsidR="00007A85" w:rsidRDefault="00007A85" w:rsidP="00007A85">
      <w:pPr>
        <w:ind w:hanging="480"/>
      </w:pPr>
      <w:proofErr w:type="spellStart"/>
      <w:r>
        <w:t>Fondacaro</w:t>
      </w:r>
      <w:proofErr w:type="spellEnd"/>
      <w:r>
        <w:t xml:space="preserve">, Mark R., and Megan J. O’Toole. “American Punitiveness and Mass Incarceration.” </w:t>
      </w:r>
      <w:r>
        <w:rPr>
          <w:i/>
          <w:iCs/>
        </w:rPr>
        <w:t>New Criminal Law Review</w:t>
      </w:r>
      <w:r>
        <w:t xml:space="preserve"> 18, no. 4 (November 1, 2015): 477–509. </w:t>
      </w:r>
      <w:hyperlink r:id="rId23" w:history="1">
        <w:r>
          <w:rPr>
            <w:rStyle w:val="Hyperlink"/>
            <w:rFonts w:eastAsiaTheme="majorEastAsia"/>
          </w:rPr>
          <w:t>https://doi.org/10.1525/nclr.2015.18.4.477</w:t>
        </w:r>
      </w:hyperlink>
      <w:r>
        <w:t>.</w:t>
      </w:r>
    </w:p>
    <w:p w14:paraId="0C1D614E" w14:textId="77777777" w:rsidR="00007A85" w:rsidRDefault="00007A85" w:rsidP="00B16671"/>
    <w:p w14:paraId="2839FC5C" w14:textId="77777777" w:rsidR="00007A85" w:rsidRDefault="00007A85" w:rsidP="00B16671"/>
    <w:p w14:paraId="4D4FF421" w14:textId="0C11C454" w:rsidR="00007A85" w:rsidRDefault="005D44A9" w:rsidP="00B16671">
      <w:r w:rsidRPr="005D44A9">
        <w:t xml:space="preserve">Foucault, Michel. </w:t>
      </w:r>
      <w:r w:rsidRPr="005D44A9">
        <w:rPr>
          <w:i/>
          <w:iCs/>
        </w:rPr>
        <w:t>Discipline and Punish: The Birth of the Prison</w:t>
      </w:r>
      <w:r w:rsidRPr="005D44A9">
        <w:t>. Translated by Alan Sheridan. New York: Vintage Books, 1975.</w:t>
      </w:r>
    </w:p>
    <w:p w14:paraId="7A5178FC" w14:textId="77777777" w:rsidR="005D44A9" w:rsidRDefault="005D44A9" w:rsidP="00B16671"/>
    <w:p w14:paraId="3D88E195" w14:textId="77777777" w:rsidR="005D44A9" w:rsidRDefault="005D44A9" w:rsidP="00B16671"/>
    <w:p w14:paraId="5688BDD7" w14:textId="5D9C2CE7" w:rsidR="00007A85" w:rsidRDefault="000B564E" w:rsidP="00B16671">
      <w:r w:rsidRPr="000B564E">
        <w:t>Gelman, A., Fagan, J., &amp; Kiss, A. (2007). An Analysis of the New York City Police Department’s “Stop-and-Frisk” Policy in the Context of Claims of Racial Bias. </w:t>
      </w:r>
      <w:r w:rsidRPr="000B564E">
        <w:rPr>
          <w:i/>
          <w:iCs/>
        </w:rPr>
        <w:t>Journal of the American Statistical Association</w:t>
      </w:r>
      <w:r w:rsidRPr="000B564E">
        <w:t>, </w:t>
      </w:r>
      <w:r w:rsidRPr="000B564E">
        <w:rPr>
          <w:i/>
          <w:iCs/>
        </w:rPr>
        <w:t>102</w:t>
      </w:r>
      <w:r w:rsidRPr="000B564E">
        <w:t>(479), 813–823. https://doi.org/10.1198/016214506000001040</w:t>
      </w:r>
    </w:p>
    <w:p w14:paraId="160F4427" w14:textId="77777777" w:rsidR="00007A85" w:rsidRDefault="00007A85" w:rsidP="00B16671"/>
    <w:p w14:paraId="23B190FF" w14:textId="19FB661C" w:rsidR="00007A85" w:rsidRDefault="00007A85" w:rsidP="005D44A9">
      <w:pPr>
        <w:ind w:hanging="480"/>
      </w:pPr>
      <w:proofErr w:type="spellStart"/>
      <w:r>
        <w:t>Harell</w:t>
      </w:r>
      <w:proofErr w:type="spellEnd"/>
      <w:r>
        <w:t xml:space="preserve">, Allison, Stuart Soroka, and </w:t>
      </w:r>
      <w:proofErr w:type="spellStart"/>
      <w:r>
        <w:t>Shanto</w:t>
      </w:r>
      <w:proofErr w:type="spellEnd"/>
      <w:r>
        <w:t xml:space="preserve"> Iyengar. “Race, Prejudice and Attitudes toward Redistribution: A Comparative Experimental Approach.” </w:t>
      </w:r>
      <w:r>
        <w:rPr>
          <w:i/>
          <w:iCs/>
        </w:rPr>
        <w:t>European Journal of Political Research</w:t>
      </w:r>
      <w:r>
        <w:t xml:space="preserve"> 55, no. 4 (2016): 723–44. </w:t>
      </w:r>
      <w:hyperlink r:id="rId24" w:history="1">
        <w:r>
          <w:rPr>
            <w:rStyle w:val="Hyperlink"/>
            <w:rFonts w:eastAsiaTheme="majorEastAsia"/>
          </w:rPr>
          <w:t>https://doi.org/10.1111/1475-6765.12158</w:t>
        </w:r>
      </w:hyperlink>
      <w:r>
        <w:t>.</w:t>
      </w:r>
    </w:p>
    <w:p w14:paraId="07E4C9E3" w14:textId="77777777" w:rsidR="00007A85" w:rsidRDefault="00007A85" w:rsidP="00B16671"/>
    <w:p w14:paraId="7F1D5B68" w14:textId="77777777" w:rsidR="00007A85" w:rsidRDefault="00007A85" w:rsidP="00B16671"/>
    <w:p w14:paraId="511D45A9" w14:textId="77777777" w:rsidR="00007A85" w:rsidRDefault="00007A85" w:rsidP="00007A85">
      <w:pPr>
        <w:ind w:hanging="480"/>
      </w:pPr>
      <w:r>
        <w:t xml:space="preserve">Heffner, Joseph, and Oriel </w:t>
      </w:r>
      <w:proofErr w:type="spellStart"/>
      <w:r>
        <w:t>FeldmanHall</w:t>
      </w:r>
      <w:proofErr w:type="spellEnd"/>
      <w:r>
        <w:t xml:space="preserve">. “Why We Don’t Always Punish: Preferences for Non-Punitive Responses to Moral Violations.” </w:t>
      </w:r>
      <w:r>
        <w:rPr>
          <w:i/>
          <w:iCs/>
        </w:rPr>
        <w:t>Scientific Reports</w:t>
      </w:r>
      <w:r>
        <w:t xml:space="preserve"> 9, no. 1 (September 13, 2019): 13219. </w:t>
      </w:r>
      <w:hyperlink r:id="rId25" w:history="1">
        <w:r>
          <w:rPr>
            <w:rStyle w:val="Hyperlink"/>
            <w:rFonts w:eastAsiaTheme="majorEastAsia"/>
          </w:rPr>
          <w:t>https://doi.org/10.1038/s41598-019-49680-2</w:t>
        </w:r>
      </w:hyperlink>
      <w:r>
        <w:t>.</w:t>
      </w:r>
    </w:p>
    <w:p w14:paraId="2D130E5C" w14:textId="77777777" w:rsidR="00007A85" w:rsidRDefault="00007A85" w:rsidP="00B16671"/>
    <w:p w14:paraId="6B42DA70" w14:textId="77777777" w:rsidR="00007A85" w:rsidRDefault="00007A85" w:rsidP="00B16671"/>
    <w:p w14:paraId="0B7312A2" w14:textId="77777777" w:rsidR="0016689E" w:rsidRDefault="00007A85" w:rsidP="0016689E">
      <w:pPr>
        <w:ind w:hanging="480"/>
      </w:pPr>
      <w:r>
        <w:t xml:space="preserve">Jackman, Mary. </w:t>
      </w:r>
      <w:r>
        <w:rPr>
          <w:i/>
          <w:iCs/>
        </w:rPr>
        <w:t>The Velvet Glove: Paternalism and Conflict in Gender, Class, and Race Relations</w:t>
      </w:r>
      <w:r>
        <w:t xml:space="preserve">. University of California </w:t>
      </w:r>
      <w:proofErr w:type="spellStart"/>
      <w:r>
        <w:t>Presss</w:t>
      </w:r>
      <w:proofErr w:type="spellEnd"/>
      <w:r>
        <w:t>, 1994.</w:t>
      </w:r>
    </w:p>
    <w:p w14:paraId="57AE5500" w14:textId="77777777" w:rsidR="0016689E" w:rsidRDefault="0016689E" w:rsidP="0016689E">
      <w:pPr>
        <w:ind w:hanging="480"/>
      </w:pPr>
    </w:p>
    <w:p w14:paraId="0C2211A0" w14:textId="48516BF3" w:rsidR="00B16671" w:rsidRDefault="00B16671" w:rsidP="0016689E">
      <w:pPr>
        <w:ind w:hanging="480"/>
      </w:pPr>
      <w:r>
        <w:t>Jefferson</w:t>
      </w:r>
      <w:r w:rsidR="0016689E">
        <w:t xml:space="preserve">, Hakeem, “Policing Norms: Punishment and the Politics of Respectability Among Black Americans.” PhD Diss. University of Michigan </w:t>
      </w:r>
      <w:r>
        <w:t>(2019)</w:t>
      </w:r>
    </w:p>
    <w:p w14:paraId="38CC63A9" w14:textId="77777777" w:rsidR="00007A85" w:rsidRDefault="00007A85" w:rsidP="00B16671"/>
    <w:p w14:paraId="7BCB93A2" w14:textId="77777777" w:rsidR="00007A85" w:rsidRDefault="00007A85" w:rsidP="00B16671"/>
    <w:p w14:paraId="0FB8FAFE" w14:textId="77777777" w:rsidR="00605FC9" w:rsidRDefault="00605FC9" w:rsidP="00605FC9">
      <w:pPr>
        <w:ind w:hanging="480"/>
      </w:pPr>
      <w:r>
        <w:t xml:space="preserve">Jennings, Wesley G., Alex R. Piquero, and Jennifer M. </w:t>
      </w:r>
      <w:proofErr w:type="spellStart"/>
      <w:r>
        <w:t>Reingle</w:t>
      </w:r>
      <w:proofErr w:type="spellEnd"/>
      <w:r>
        <w:t xml:space="preserve">. “On the Overlap between Victimization and Offending: A Review of the Literature.” </w:t>
      </w:r>
      <w:r>
        <w:rPr>
          <w:i/>
          <w:iCs/>
        </w:rPr>
        <w:t>Aggression and Violent Behavior</w:t>
      </w:r>
      <w:r>
        <w:t xml:space="preserve"> 17, no. 1 (January 2012): 16–26. </w:t>
      </w:r>
      <w:hyperlink r:id="rId26" w:history="1">
        <w:r>
          <w:rPr>
            <w:rStyle w:val="Hyperlink"/>
            <w:rFonts w:eastAsiaTheme="majorEastAsia"/>
          </w:rPr>
          <w:t>https://doi.org/10.1016/j.avb.2011.09.003</w:t>
        </w:r>
      </w:hyperlink>
      <w:r>
        <w:t>.</w:t>
      </w:r>
    </w:p>
    <w:p w14:paraId="2825A76E" w14:textId="77777777" w:rsidR="00007A85" w:rsidRDefault="00007A85" w:rsidP="00B16671"/>
    <w:p w14:paraId="317ED7FB" w14:textId="77777777" w:rsidR="00007A85" w:rsidRDefault="00007A85" w:rsidP="00007A85">
      <w:pPr>
        <w:ind w:hanging="480"/>
      </w:pPr>
      <w:r>
        <w:lastRenderedPageBreak/>
        <w:t xml:space="preserve">Kahneman, Daniel. “A Perspective on Judgment and Choice: Mapping Bounded Rationality.” </w:t>
      </w:r>
      <w:r>
        <w:rPr>
          <w:i/>
          <w:iCs/>
        </w:rPr>
        <w:t>American Psychologist</w:t>
      </w:r>
      <w:r>
        <w:t xml:space="preserve"> 58, no. 9 (2003): 697–720. </w:t>
      </w:r>
      <w:hyperlink r:id="rId27" w:history="1">
        <w:r>
          <w:rPr>
            <w:rStyle w:val="Hyperlink"/>
            <w:rFonts w:eastAsiaTheme="majorEastAsia"/>
          </w:rPr>
          <w:t>https://doi.org/10.1037/0003-066X.58.9.697</w:t>
        </w:r>
      </w:hyperlink>
      <w:r>
        <w:t>.</w:t>
      </w:r>
    </w:p>
    <w:p w14:paraId="06723AF2" w14:textId="77777777" w:rsidR="00007A85" w:rsidRDefault="00007A85" w:rsidP="00B16671"/>
    <w:p w14:paraId="54B25B8F" w14:textId="0E2D697A" w:rsidR="00007A85" w:rsidRPr="00007A85" w:rsidRDefault="00007A85" w:rsidP="00B16671">
      <w:r>
        <w:t xml:space="preserve">Kahneman, Daniel. </w:t>
      </w:r>
      <w:r>
        <w:rPr>
          <w:i/>
          <w:iCs/>
        </w:rPr>
        <w:t>Thinking Fast and Slow</w:t>
      </w:r>
      <w:r>
        <w:t>. Farer, Straus and Giroux, 2011.</w:t>
      </w:r>
    </w:p>
    <w:p w14:paraId="352AE53F" w14:textId="77777777" w:rsidR="00007A85" w:rsidRDefault="00007A85" w:rsidP="00B16671"/>
    <w:p w14:paraId="5F164FD2" w14:textId="77777777" w:rsidR="006829CE" w:rsidRDefault="006829CE" w:rsidP="00B16671">
      <w:pPr>
        <w:rPr>
          <w:rFonts w:ascii="-webkit-standard" w:hAnsi="-webkit-standard"/>
          <w:color w:val="000000"/>
          <w:sz w:val="27"/>
          <w:szCs w:val="27"/>
        </w:rPr>
      </w:pPr>
      <w:r>
        <w:rPr>
          <w:rFonts w:ascii="-webkit-standard" w:hAnsi="-webkit-standard"/>
          <w:color w:val="000000"/>
          <w:sz w:val="27"/>
          <w:szCs w:val="27"/>
        </w:rPr>
        <w:t>Kant, Immanuel.</w:t>
      </w:r>
      <w:r>
        <w:rPr>
          <w:rStyle w:val="apple-converted-space"/>
          <w:rFonts w:ascii="-webkit-standard" w:eastAsiaTheme="majorEastAsia" w:hAnsi="-webkit-standard"/>
          <w:color w:val="000000"/>
          <w:sz w:val="27"/>
          <w:szCs w:val="27"/>
        </w:rPr>
        <w:t> </w:t>
      </w:r>
      <w:r>
        <w:rPr>
          <w:rStyle w:val="Emphasis"/>
          <w:rFonts w:eastAsiaTheme="majorEastAsia"/>
          <w:color w:val="000000"/>
        </w:rPr>
        <w:t>The Science of Right</w:t>
      </w:r>
      <w:r>
        <w:rPr>
          <w:rFonts w:ascii="-webkit-standard" w:hAnsi="-webkit-standard"/>
          <w:color w:val="000000"/>
          <w:sz w:val="27"/>
          <w:szCs w:val="27"/>
        </w:rPr>
        <w:t>. Translated by W. Hastie. Digireads.com Publishing, 2009.</w:t>
      </w:r>
    </w:p>
    <w:p w14:paraId="238CEDDD" w14:textId="77777777" w:rsidR="006829CE" w:rsidRDefault="006829CE" w:rsidP="00B16671">
      <w:pPr>
        <w:rPr>
          <w:rFonts w:ascii="-webkit-standard" w:hAnsi="-webkit-standard"/>
          <w:color w:val="000000"/>
          <w:sz w:val="27"/>
          <w:szCs w:val="27"/>
        </w:rPr>
      </w:pPr>
    </w:p>
    <w:p w14:paraId="16E6E90F" w14:textId="76011B9B" w:rsidR="00901860" w:rsidRDefault="00901860" w:rsidP="00B16671">
      <w:r w:rsidRPr="00901860">
        <w:rPr>
          <w:rFonts w:ascii="Arial" w:hAnsi="Arial" w:cs="Arial"/>
          <w:color w:val="1E1E1E"/>
          <w:sz w:val="21"/>
          <w:szCs w:val="21"/>
          <w:shd w:val="clear" w:color="auto" w:fill="FFFFFF"/>
        </w:rPr>
        <w:t>Kelman HC. </w:t>
      </w:r>
      <w:hyperlink r:id="rId28" w:history="1">
        <w:r w:rsidRPr="00901860">
          <w:rPr>
            <w:rFonts w:ascii="Arial" w:hAnsi="Arial" w:cs="Arial"/>
            <w:color w:val="215990"/>
            <w:sz w:val="21"/>
            <w:szCs w:val="21"/>
            <w:u w:val="single"/>
          </w:rPr>
          <w:t>Violence without moral restraint: Reflections on the dehumanization of victims and victimizers</w:t>
        </w:r>
      </w:hyperlink>
      <w:r w:rsidRPr="00901860">
        <w:rPr>
          <w:rFonts w:ascii="Arial" w:hAnsi="Arial" w:cs="Arial"/>
          <w:color w:val="1E1E1E"/>
          <w:sz w:val="21"/>
          <w:szCs w:val="21"/>
          <w:shd w:val="clear" w:color="auto" w:fill="FFFFFF"/>
        </w:rPr>
        <w:t>. Journal of Social Issues. 1973;29 (4) :25-61.</w:t>
      </w:r>
    </w:p>
    <w:p w14:paraId="04B024D4" w14:textId="77777777" w:rsidR="00C324E5" w:rsidRDefault="00C324E5" w:rsidP="00C324E5">
      <w:pPr>
        <w:ind w:hanging="480"/>
      </w:pPr>
    </w:p>
    <w:p w14:paraId="1E44F67B" w14:textId="04E5F336" w:rsidR="00C324E5" w:rsidRDefault="00C324E5" w:rsidP="00C324E5">
      <w:pPr>
        <w:ind w:hanging="480"/>
      </w:pPr>
      <w:r>
        <w:t xml:space="preserve">Levinson, Justin D. “Forgotten Racial Equality: Implicit Bias, </w:t>
      </w:r>
      <w:proofErr w:type="spellStart"/>
      <w:r>
        <w:t>Decisionmaking</w:t>
      </w:r>
      <w:proofErr w:type="spellEnd"/>
      <w:r>
        <w:t xml:space="preserve">, and Misremembering.” </w:t>
      </w:r>
      <w:r>
        <w:rPr>
          <w:i/>
          <w:iCs/>
        </w:rPr>
        <w:t>Duke Law Journal</w:t>
      </w:r>
      <w:r>
        <w:t xml:space="preserve"> 57, no. 2 (2008 2007): 345–424.</w:t>
      </w:r>
    </w:p>
    <w:p w14:paraId="7B8158A7" w14:textId="77777777" w:rsidR="00C324E5" w:rsidRDefault="00C324E5" w:rsidP="00B16671"/>
    <w:p w14:paraId="4DAB3592" w14:textId="1F983CF6" w:rsidR="00C324E5" w:rsidRDefault="00C324E5" w:rsidP="00C324E5">
      <w:pPr>
        <w:ind w:hanging="480"/>
      </w:pPr>
      <w:r>
        <w:t>Levinson, Justin D, and Danielle Young. “</w:t>
      </w:r>
      <w:r>
        <w:t>Different</w:t>
      </w:r>
      <w:r>
        <w:t xml:space="preserve"> </w:t>
      </w:r>
      <w:r>
        <w:t>Shades</w:t>
      </w:r>
      <w:r>
        <w:t xml:space="preserve"> </w:t>
      </w:r>
      <w:r>
        <w:t>of</w:t>
      </w:r>
      <w:r>
        <w:t xml:space="preserve"> </w:t>
      </w:r>
      <w:r>
        <w:t>Bias</w:t>
      </w:r>
      <w:r>
        <w:t xml:space="preserve">: </w:t>
      </w:r>
      <w:r>
        <w:t>Skin</w:t>
      </w:r>
      <w:r>
        <w:t xml:space="preserve"> </w:t>
      </w:r>
      <w:r>
        <w:t>Tone</w:t>
      </w:r>
      <w:r>
        <w:t xml:space="preserve">, </w:t>
      </w:r>
      <w:r>
        <w:t>Implicit</w:t>
      </w:r>
      <w:r>
        <w:t xml:space="preserve"> </w:t>
      </w:r>
      <w:r>
        <w:t>Racial Bias, and Judgements of Ambiguous Evidence</w:t>
      </w:r>
      <w:r>
        <w:t xml:space="preserve">.” </w:t>
      </w:r>
      <w:r>
        <w:rPr>
          <w:i/>
          <w:iCs/>
        </w:rPr>
        <w:t>West</w:t>
      </w:r>
      <w:r>
        <w:rPr>
          <w:i/>
          <w:iCs/>
        </w:rPr>
        <w:t xml:space="preserve"> </w:t>
      </w:r>
      <w:r>
        <w:rPr>
          <w:i/>
          <w:iCs/>
        </w:rPr>
        <w:t>Virginia</w:t>
      </w:r>
      <w:r>
        <w:rPr>
          <w:i/>
          <w:iCs/>
        </w:rPr>
        <w:t xml:space="preserve"> </w:t>
      </w:r>
      <w:r>
        <w:rPr>
          <w:i/>
          <w:iCs/>
        </w:rPr>
        <w:t>Law</w:t>
      </w:r>
      <w:r>
        <w:rPr>
          <w:i/>
          <w:iCs/>
        </w:rPr>
        <w:t xml:space="preserve"> </w:t>
      </w:r>
      <w:r>
        <w:rPr>
          <w:i/>
          <w:iCs/>
        </w:rPr>
        <w:t>Review</w:t>
      </w:r>
      <w:r>
        <w:t xml:space="preserve"> 112 (</w:t>
      </w:r>
      <w:r>
        <w:t>2010</w:t>
      </w:r>
      <w:r>
        <w:t>).</w:t>
      </w:r>
    </w:p>
    <w:p w14:paraId="37F32A97" w14:textId="77777777" w:rsidR="00C324E5" w:rsidRDefault="00C324E5" w:rsidP="00B16671"/>
    <w:p w14:paraId="3258BACC" w14:textId="77777777" w:rsidR="00C324E5" w:rsidRDefault="00C324E5" w:rsidP="00C324E5">
      <w:pPr>
        <w:ind w:hanging="480"/>
      </w:pPr>
      <w:r>
        <w:t xml:space="preserve">Levinson, Justin D., </w:t>
      </w:r>
      <w:proofErr w:type="spellStart"/>
      <w:r>
        <w:t>Huajian</w:t>
      </w:r>
      <w:proofErr w:type="spellEnd"/>
      <w:r>
        <w:t xml:space="preserve"> Cai, and Danielle Young. “Guilty by Implicit Racial Bias: The Guilty/Not Guilty Implicit Association Test Commentaries.” </w:t>
      </w:r>
      <w:r>
        <w:rPr>
          <w:i/>
          <w:iCs/>
        </w:rPr>
        <w:t>Ohio State Journal of Criminal Law</w:t>
      </w:r>
      <w:r>
        <w:t xml:space="preserve"> 8, no. 1 (2011 2010): 187–208.</w:t>
      </w:r>
    </w:p>
    <w:p w14:paraId="49E6C785" w14:textId="77777777" w:rsidR="00C324E5" w:rsidRDefault="00C324E5" w:rsidP="00B16671"/>
    <w:p w14:paraId="7115016F" w14:textId="77777777" w:rsidR="00C324E5" w:rsidRDefault="00C324E5" w:rsidP="00C324E5"/>
    <w:p w14:paraId="73C1C788" w14:textId="72F30BB5" w:rsidR="00C324E5" w:rsidRPr="00C324E5" w:rsidRDefault="00C324E5" w:rsidP="00C324E5">
      <w:r w:rsidRPr="00C324E5">
        <w:t xml:space="preserve">Lodge, Milton, and Charles S. Taber. </w:t>
      </w:r>
      <w:r w:rsidRPr="00C324E5">
        <w:rPr>
          <w:i/>
          <w:iCs/>
        </w:rPr>
        <w:t>The Rationalizing Voter</w:t>
      </w:r>
      <w:r w:rsidRPr="00C324E5">
        <w:t>. Cambridge University Press, 2013.</w:t>
      </w:r>
    </w:p>
    <w:p w14:paraId="13612BAA" w14:textId="77777777" w:rsidR="00C324E5" w:rsidRDefault="00C324E5" w:rsidP="00B16671"/>
    <w:p w14:paraId="343784E2" w14:textId="77777777" w:rsidR="004F66EC" w:rsidRDefault="004F66EC" w:rsidP="004F66EC">
      <w:pPr>
        <w:ind w:hanging="480"/>
      </w:pPr>
    </w:p>
    <w:p w14:paraId="02FAD534" w14:textId="11E25DDC" w:rsidR="004F66EC" w:rsidRDefault="004F66EC" w:rsidP="004F66EC">
      <w:pPr>
        <w:ind w:hanging="480"/>
      </w:pPr>
      <w:r>
        <w:t xml:space="preserve">Messina, Nena, Christine Grella, William Burdon, and Michael Prendergast. “Childhood Adverse Events and Current Traumatic Distress: A Comparison of Men and Women Drug-Dependent Prisoners.” </w:t>
      </w:r>
      <w:r>
        <w:rPr>
          <w:i/>
          <w:iCs/>
        </w:rPr>
        <w:t>Criminal Justice and Behavior</w:t>
      </w:r>
      <w:r>
        <w:t xml:space="preserve"> 34, no. 11 (November 2007): 1385–1401. </w:t>
      </w:r>
      <w:hyperlink r:id="rId29" w:history="1">
        <w:r>
          <w:rPr>
            <w:rStyle w:val="Hyperlink"/>
            <w:rFonts w:eastAsiaTheme="majorEastAsia"/>
          </w:rPr>
          <w:t>https://doi.org/10.1177/0093854807305150</w:t>
        </w:r>
      </w:hyperlink>
      <w:r>
        <w:t>.</w:t>
      </w:r>
    </w:p>
    <w:p w14:paraId="49B418BE" w14:textId="77777777" w:rsidR="00007A85" w:rsidRDefault="00007A85" w:rsidP="00B16671"/>
    <w:p w14:paraId="6E63A224" w14:textId="77777777" w:rsidR="00007A85" w:rsidRDefault="00007A85" w:rsidP="00007A85">
      <w:pPr>
        <w:ind w:hanging="480"/>
      </w:pPr>
      <w:r>
        <w:t xml:space="preserve">Michener, Jamila. “Policy Feedback in a Racialized Polity.” </w:t>
      </w:r>
      <w:r>
        <w:rPr>
          <w:i/>
          <w:iCs/>
        </w:rPr>
        <w:t>Policy Studies Journal</w:t>
      </w:r>
      <w:r>
        <w:t xml:space="preserve"> 47, no. 2 (May 2019): 423–50. </w:t>
      </w:r>
      <w:hyperlink r:id="rId30" w:history="1">
        <w:r>
          <w:rPr>
            <w:rStyle w:val="Hyperlink"/>
            <w:rFonts w:eastAsiaTheme="majorEastAsia"/>
          </w:rPr>
          <w:t>https://doi.org/10.1111/psj.12328</w:t>
        </w:r>
      </w:hyperlink>
      <w:r>
        <w:t>.</w:t>
      </w:r>
    </w:p>
    <w:p w14:paraId="1CD5EFB4" w14:textId="77777777" w:rsidR="00007A85" w:rsidRDefault="00007A85" w:rsidP="00B16671"/>
    <w:p w14:paraId="06FAC150" w14:textId="77777777" w:rsidR="00007A85" w:rsidRDefault="00007A85" w:rsidP="00007A85">
      <w:pPr>
        <w:ind w:hanging="480"/>
      </w:pPr>
      <w:r>
        <w:t xml:space="preserve">Miller, Reuben Jonathan, and Amanda Alexander. “The Price of Carceral Citizenship: Punishment, Surveillance, and Social Welfare Policy in an Age of Carceral Expansion.” </w:t>
      </w:r>
      <w:r>
        <w:rPr>
          <w:i/>
          <w:iCs/>
        </w:rPr>
        <w:t>Michigan Journal of Race &amp; Law</w:t>
      </w:r>
      <w:r>
        <w:t xml:space="preserve"> 21, no. 2 (Spring 2016): 291–314.</w:t>
      </w:r>
    </w:p>
    <w:p w14:paraId="706BA1B3" w14:textId="77777777" w:rsidR="00007A85" w:rsidRDefault="00007A85" w:rsidP="00B16671"/>
    <w:p w14:paraId="65F75239" w14:textId="77777777" w:rsidR="00007A85" w:rsidRDefault="00007A85" w:rsidP="00007A85">
      <w:pPr>
        <w:ind w:hanging="480"/>
      </w:pPr>
      <w:proofErr w:type="spellStart"/>
      <w:r>
        <w:t>Nazione</w:t>
      </w:r>
      <w:proofErr w:type="spellEnd"/>
      <w:r>
        <w:t xml:space="preserve">, Samantha, and Kami J Silk. “Patient Race and Perceived Illness Responsibility: Effects on Provider Helping and Bias.” </w:t>
      </w:r>
      <w:r>
        <w:rPr>
          <w:i/>
          <w:iCs/>
        </w:rPr>
        <w:t>Medical Education</w:t>
      </w:r>
      <w:r>
        <w:t xml:space="preserve"> 47, no. 8 (2013): 780–89. </w:t>
      </w:r>
      <w:hyperlink r:id="rId31" w:history="1">
        <w:r>
          <w:rPr>
            <w:rStyle w:val="Hyperlink"/>
            <w:rFonts w:eastAsiaTheme="majorEastAsia"/>
          </w:rPr>
          <w:t>https://doi.org/10.1111/medu.12203</w:t>
        </w:r>
      </w:hyperlink>
      <w:r>
        <w:t>.</w:t>
      </w:r>
    </w:p>
    <w:p w14:paraId="36A2F7A1" w14:textId="77777777" w:rsidR="00007A85" w:rsidRDefault="00007A85" w:rsidP="00B16671"/>
    <w:p w14:paraId="39A2AB9A" w14:textId="77777777" w:rsidR="00007A85" w:rsidRDefault="00007A85" w:rsidP="00B16671"/>
    <w:p w14:paraId="0F2533C9" w14:textId="77777777" w:rsidR="004B6AE2" w:rsidRDefault="00345021" w:rsidP="004B6AE2">
      <w:pPr>
        <w:ind w:hanging="480"/>
      </w:pPr>
      <w:proofErr w:type="spellStart"/>
      <w:r w:rsidRPr="00345021">
        <w:t>Niederdeppe</w:t>
      </w:r>
      <w:proofErr w:type="spellEnd"/>
      <w:r w:rsidRPr="00345021">
        <w:t xml:space="preserve">, Jeff, Jiawei Liu, Mikaela Spruill, Neil A. Lewis, Steven Moore, Erika Franklin Fowler, and Sarah E. </w:t>
      </w:r>
      <w:proofErr w:type="spellStart"/>
      <w:r w:rsidRPr="00345021">
        <w:t>Gollust</w:t>
      </w:r>
      <w:proofErr w:type="spellEnd"/>
      <w:r w:rsidRPr="00345021">
        <w:t xml:space="preserve">. “Strategic Messaging to Promote Policies That Advance Racial Equity: </w:t>
      </w:r>
      <w:r w:rsidRPr="00345021">
        <w:lastRenderedPageBreak/>
        <w:t xml:space="preserve">What Do We Know, and What Do We Need to Learn?” </w:t>
      </w:r>
      <w:r w:rsidRPr="00345021">
        <w:rPr>
          <w:i/>
          <w:iCs/>
        </w:rPr>
        <w:t>The Milbank Quarterly</w:t>
      </w:r>
      <w:r w:rsidRPr="00345021">
        <w:t xml:space="preserve"> 101, no. 2 (June 2023): 349–425. </w:t>
      </w:r>
      <w:hyperlink r:id="rId32" w:history="1">
        <w:r w:rsidRPr="00345021">
          <w:rPr>
            <w:color w:val="0000FF"/>
            <w:u w:val="single"/>
          </w:rPr>
          <w:t>https://doi.org/10.1111/1468-0009.12651</w:t>
        </w:r>
      </w:hyperlink>
      <w:r w:rsidRPr="00345021">
        <w:t>.</w:t>
      </w:r>
    </w:p>
    <w:p w14:paraId="3D45E858" w14:textId="77777777" w:rsidR="004B6AE2" w:rsidRDefault="004B6AE2" w:rsidP="004B6AE2">
      <w:pPr>
        <w:ind w:hanging="480"/>
      </w:pPr>
    </w:p>
    <w:p w14:paraId="2FFE7708" w14:textId="21405D3E" w:rsidR="004B6AE2" w:rsidRDefault="004B6AE2" w:rsidP="004B6AE2">
      <w:pPr>
        <w:ind w:hanging="480"/>
      </w:pPr>
      <w:r>
        <w:t xml:space="preserve">Nisbett, Richard E., and Lee Ross. </w:t>
      </w:r>
      <w:r>
        <w:rPr>
          <w:rStyle w:val="Emphasis"/>
          <w:rFonts w:eastAsiaTheme="majorEastAsia"/>
        </w:rPr>
        <w:t>Human Inference: Strategies and Shortcomings of Social Judgment</w:t>
      </w:r>
      <w:r>
        <w:t>. Englewood Cliffs, NJ: Prentice-Hall, 1980.</w:t>
      </w:r>
    </w:p>
    <w:p w14:paraId="4FB29D0B" w14:textId="77777777" w:rsidR="004B6AE2" w:rsidRDefault="004B6AE2" w:rsidP="00B16671"/>
    <w:p w14:paraId="2EF71C06" w14:textId="77777777" w:rsidR="004B6AE2" w:rsidRDefault="004B6AE2" w:rsidP="004B6AE2">
      <w:pPr>
        <w:ind w:hanging="480"/>
      </w:pPr>
      <w:r>
        <w:t xml:space="preserve">Stevenson, Margaret C., Sarah E. Malik, Rebecca R. Totton, and Rebecca D. Reeves. “Disgust Sensitivity Predicts Punitive Treatment of Juvenile Sex Offenders: The Role of Empathy, Dehumanization, and Fear.” </w:t>
      </w:r>
      <w:r>
        <w:rPr>
          <w:i/>
          <w:iCs/>
        </w:rPr>
        <w:t>Analyses of Social Issues and Public Policy</w:t>
      </w:r>
      <w:r>
        <w:t xml:space="preserve"> 15, no. 1 (December 2015): 177–97. </w:t>
      </w:r>
      <w:hyperlink r:id="rId33" w:history="1">
        <w:r>
          <w:rPr>
            <w:rStyle w:val="Hyperlink"/>
            <w:rFonts w:eastAsiaTheme="majorEastAsia"/>
          </w:rPr>
          <w:t>https://doi.org/10.1111/asap.12068</w:t>
        </w:r>
      </w:hyperlink>
      <w:r>
        <w:t>.</w:t>
      </w:r>
    </w:p>
    <w:p w14:paraId="2B294324" w14:textId="77777777" w:rsidR="004B6AE2" w:rsidRDefault="004B6AE2" w:rsidP="00B16671"/>
    <w:p w14:paraId="77C824C1" w14:textId="77777777" w:rsidR="004B6AE2" w:rsidRDefault="004B6AE2" w:rsidP="00B16671"/>
    <w:p w14:paraId="4C2A39C1" w14:textId="1FDD6C53" w:rsidR="009676E1" w:rsidRDefault="004B6AE2" w:rsidP="00B16671">
      <w:proofErr w:type="spellStart"/>
      <w:r>
        <w:rPr>
          <w:rFonts w:ascii="Open Sans" w:hAnsi="Open Sans" w:cs="Open Sans"/>
          <w:color w:val="1C1D1E"/>
          <w:sz w:val="21"/>
          <w:szCs w:val="21"/>
          <w:shd w:val="clear" w:color="auto" w:fill="FFFFFF"/>
        </w:rPr>
        <w:t>Opotow</w:t>
      </w:r>
      <w:proofErr w:type="spellEnd"/>
      <w:r>
        <w:rPr>
          <w:rFonts w:ascii="Open Sans" w:hAnsi="Open Sans" w:cs="Open Sans"/>
          <w:color w:val="1C1D1E"/>
          <w:sz w:val="21"/>
          <w:szCs w:val="21"/>
          <w:shd w:val="clear" w:color="auto" w:fill="FFFFFF"/>
        </w:rPr>
        <w:t>, S</w:t>
      </w:r>
      <w:r w:rsidR="00DC12A5">
        <w:rPr>
          <w:rFonts w:ascii="Open Sans" w:hAnsi="Open Sans" w:cs="Open Sans"/>
          <w:color w:val="1C1D1E"/>
          <w:sz w:val="21"/>
          <w:szCs w:val="21"/>
          <w:shd w:val="clear" w:color="auto" w:fill="FFFFFF"/>
        </w:rPr>
        <w:t>usan</w:t>
      </w:r>
      <w:r>
        <w:rPr>
          <w:rFonts w:ascii="Open Sans" w:hAnsi="Open Sans" w:cs="Open Sans"/>
          <w:color w:val="1C1D1E"/>
          <w:sz w:val="21"/>
          <w:szCs w:val="21"/>
          <w:shd w:val="clear" w:color="auto" w:fill="FFFFFF"/>
        </w:rPr>
        <w:t>. (1990), Moral Exclusion and Injustice: An Introduction. Journal of Social Issues, 46: 1-20. </w:t>
      </w:r>
      <w:hyperlink r:id="rId34" w:history="1">
        <w:r>
          <w:rPr>
            <w:rStyle w:val="Hyperlink"/>
            <w:rFonts w:ascii="Open Sans" w:eastAsiaTheme="majorEastAsia" w:hAnsi="Open Sans" w:cs="Open Sans"/>
            <w:color w:val="06293E"/>
            <w:sz w:val="21"/>
            <w:szCs w:val="21"/>
            <w:shd w:val="clear" w:color="auto" w:fill="FFFFFF"/>
          </w:rPr>
          <w:t>https://doi-org.proxy.lib.duke.edu/10.1111/j.1540-4560.1990.tb00268.x</w:t>
        </w:r>
      </w:hyperlink>
    </w:p>
    <w:p w14:paraId="43F6C828" w14:textId="77777777" w:rsidR="00DC12A5" w:rsidRDefault="00DC12A5" w:rsidP="00B16671"/>
    <w:p w14:paraId="2AE38AD1" w14:textId="0C9179B5" w:rsidR="009676E1" w:rsidRDefault="009676E1" w:rsidP="00B16671">
      <w:r>
        <w:t xml:space="preserve">Schaeffer, Katherine. "The Changing Face of Congress." Pew Research Center, February 7, 2023. </w:t>
      </w:r>
      <w:hyperlink r:id="rId35" w:history="1">
        <w:r>
          <w:rPr>
            <w:rStyle w:val="Hyperlink"/>
            <w:rFonts w:eastAsiaTheme="majorEastAsia"/>
          </w:rPr>
          <w:t>https://www.pewresearch.org/short-reads/2023/02/07/the-changing-face-of-congress/</w:t>
        </w:r>
      </w:hyperlink>
      <w:r>
        <w:t>.</w:t>
      </w:r>
    </w:p>
    <w:p w14:paraId="2649BF16" w14:textId="77777777" w:rsidR="009676E1" w:rsidRDefault="009676E1" w:rsidP="00B16671"/>
    <w:p w14:paraId="2FF4D9F6" w14:textId="550AFAD8" w:rsidR="00E85772" w:rsidRPr="00E85772" w:rsidRDefault="00E85772" w:rsidP="00E85772">
      <w:r w:rsidRPr="00E85772">
        <w:t>Pizarro, D</w:t>
      </w:r>
      <w:r>
        <w:t xml:space="preserve">avid </w:t>
      </w:r>
      <w:r w:rsidRPr="00E85772">
        <w:t>A., Detweiler-Bedell, B</w:t>
      </w:r>
      <w:r>
        <w:t>rian</w:t>
      </w:r>
      <w:r w:rsidRPr="00E85772">
        <w:t xml:space="preserve">, &amp; Bloom, P. (2006). </w:t>
      </w:r>
      <w:hyperlink r:id="rId36" w:history="1">
        <w:r w:rsidRPr="00E85772">
          <w:rPr>
            <w:rStyle w:val="Hyperlink"/>
          </w:rPr>
          <w:t>The creativity of everyday moral reasoning: Empathy, disgust and moral persuasion.</w:t>
        </w:r>
      </w:hyperlink>
      <w:r w:rsidRPr="00E85772">
        <w:t xml:space="preserve"> In J. C. Kaufman &amp; J. Baer (Eds.), </w:t>
      </w:r>
      <w:r w:rsidRPr="00E85772">
        <w:rPr>
          <w:i/>
          <w:iCs/>
        </w:rPr>
        <w:t>Creativity and Reason in Cognitive Development.</w:t>
      </w:r>
      <w:r w:rsidRPr="00E85772">
        <w:t xml:space="preserve"> Cambridge University Press.</w:t>
      </w:r>
    </w:p>
    <w:p w14:paraId="5F5A9067" w14:textId="77777777" w:rsidR="00E85772" w:rsidRPr="00E85772" w:rsidRDefault="00E85772" w:rsidP="00E85772"/>
    <w:p w14:paraId="126A7B98" w14:textId="77777777" w:rsidR="00C324E5" w:rsidRDefault="00C324E5" w:rsidP="00B16671"/>
    <w:p w14:paraId="15445834" w14:textId="78772979" w:rsidR="00C324E5" w:rsidRDefault="00C324E5" w:rsidP="00C324E5">
      <w:pPr>
        <w:ind w:hanging="480"/>
      </w:pPr>
      <w:proofErr w:type="spellStart"/>
      <w:r>
        <w:t>Rachlinski</w:t>
      </w:r>
      <w:proofErr w:type="spellEnd"/>
      <w:r>
        <w:t>, Jeffrey J, Sheri Lynn Johnson, Andrew J Wistrich, and Chris Guthrie. “</w:t>
      </w:r>
      <w:r>
        <w:t>Does Unconscious Racial Bias Affect Trial Judges</w:t>
      </w:r>
      <w:r>
        <w:t xml:space="preserve">?” </w:t>
      </w:r>
      <w:r>
        <w:rPr>
          <w:i/>
          <w:iCs/>
        </w:rPr>
        <w:t>Notre Dame Law Review</w:t>
      </w:r>
      <w:r>
        <w:t xml:space="preserve"> 84 (n.d.).</w:t>
      </w:r>
    </w:p>
    <w:p w14:paraId="663B9F1D" w14:textId="77777777" w:rsidR="00007A85" w:rsidRDefault="00007A85" w:rsidP="00B16671"/>
    <w:p w14:paraId="6BD778F4" w14:textId="3601E5E1" w:rsidR="00007A85" w:rsidRDefault="00E85772" w:rsidP="00B16671">
      <w:proofErr w:type="spellStart"/>
      <w:r>
        <w:t>Rehavi</w:t>
      </w:r>
      <w:proofErr w:type="spellEnd"/>
      <w:r>
        <w:t xml:space="preserve">, M. Marit, and Sonja B. Starr. "Racial Disparity in Federal Criminal Sentences." </w:t>
      </w:r>
      <w:r>
        <w:rPr>
          <w:rStyle w:val="Emphasis"/>
          <w:rFonts w:eastAsiaTheme="majorEastAsia"/>
        </w:rPr>
        <w:t>Journal of Political Economy</w:t>
      </w:r>
      <w:r>
        <w:t xml:space="preserve"> 122, no. 6 (2014): 1320-1354.</w:t>
      </w:r>
    </w:p>
    <w:p w14:paraId="1EB2BF76" w14:textId="77777777" w:rsidR="00007A85" w:rsidRDefault="00007A85" w:rsidP="00B16671"/>
    <w:p w14:paraId="4309BC18" w14:textId="77777777" w:rsidR="00E85772" w:rsidRDefault="00E85772" w:rsidP="00B16671">
      <w:r>
        <w:t xml:space="preserve">Rozin, Paul, Jonathan Haidt, and Clark R. McCauley. "Disgust." In </w:t>
      </w:r>
      <w:r>
        <w:rPr>
          <w:rStyle w:val="Emphasis"/>
          <w:rFonts w:eastAsiaTheme="majorEastAsia"/>
        </w:rPr>
        <w:t>Handbook of Emotions</w:t>
      </w:r>
      <w:r>
        <w:t>, edited by Michael Lewis, Jeannette M. Haviland-Jones, and Lisa Feldman Barrett, 757-776. 3rd ed. New York: The Guilford Press, 2008.</w:t>
      </w:r>
      <w:r>
        <w:t xml:space="preserve"> </w:t>
      </w:r>
    </w:p>
    <w:p w14:paraId="74D1E424" w14:textId="77777777" w:rsidR="00E85772" w:rsidRDefault="00E85772" w:rsidP="00B16671"/>
    <w:p w14:paraId="5607CA12" w14:textId="028F6F99" w:rsidR="000204F6" w:rsidRDefault="000204F6" w:rsidP="00B16671">
      <w:r>
        <w:t>Severance and Loftus, “Improving the Ability of Jurors to Comprehend and Apply Criminal Jury Instructions.”</w:t>
      </w:r>
      <w:r>
        <w:t xml:space="preserve"> </w:t>
      </w:r>
      <w:r w:rsidR="00E616C8">
        <w:rPr>
          <w:i/>
          <w:iCs/>
        </w:rPr>
        <w:t>Law &amp; Society Review</w:t>
      </w:r>
      <w:r w:rsidR="00E616C8">
        <w:t xml:space="preserve"> 17, no. 1 (1982): 153-197. </w:t>
      </w:r>
    </w:p>
    <w:p w14:paraId="6154B6CE" w14:textId="40F7FC79" w:rsidR="00E616C8" w:rsidRDefault="00E616C8" w:rsidP="00E616C8">
      <w:pPr>
        <w:pStyle w:val="whitespace-pre-wrap"/>
      </w:pPr>
      <w:r>
        <w:t>S</w:t>
      </w:r>
      <w:r>
        <w:t>h</w:t>
      </w:r>
      <w:r>
        <w:t xml:space="preserve">en, Francis X., Morris B. Hoffman, Owen D. Jones, Joshua D. Greene, and René Marois. "Sorting Guilty Minds." </w:t>
      </w:r>
      <w:r>
        <w:rPr>
          <w:rStyle w:val="Emphasis"/>
          <w:rFonts w:eastAsiaTheme="majorEastAsia"/>
        </w:rPr>
        <w:t>New York University Law Review</w:t>
      </w:r>
      <w:r>
        <w:t xml:space="preserve"> 86, no. 5 (2011): 1306-1360.</w:t>
      </w:r>
    </w:p>
    <w:p w14:paraId="608FE855" w14:textId="77777777" w:rsidR="00F60588" w:rsidRDefault="00F60588" w:rsidP="00F60588">
      <w:pPr>
        <w:ind w:hanging="480"/>
      </w:pPr>
      <w:r>
        <w:t xml:space="preserve">Sides, John, Michael Tesler, and Lynn Vavreck. </w:t>
      </w:r>
      <w:r>
        <w:rPr>
          <w:i/>
          <w:iCs/>
        </w:rPr>
        <w:t>Identity Crisis: The 2016 Presidential Campaign and the Battle for the Meaning of America</w:t>
      </w:r>
      <w:r>
        <w:t xml:space="preserve">. Princeton University Press, 2019. </w:t>
      </w:r>
      <w:hyperlink r:id="rId37" w:history="1">
        <w:r>
          <w:rPr>
            <w:rStyle w:val="Hyperlink"/>
            <w:rFonts w:eastAsiaTheme="majorEastAsia"/>
          </w:rPr>
          <w:t>https://doi.org/10.1515/9781400888306</w:t>
        </w:r>
      </w:hyperlink>
      <w:r>
        <w:t>.</w:t>
      </w:r>
    </w:p>
    <w:p w14:paraId="74BA616B" w14:textId="77777777" w:rsidR="000856D8" w:rsidRDefault="000856D8" w:rsidP="00B16671"/>
    <w:p w14:paraId="609AB308" w14:textId="525F4176" w:rsidR="000856D8" w:rsidRDefault="000856D8" w:rsidP="00B16671">
      <w:r>
        <w:t xml:space="preserve">Simon, Jonathan. </w:t>
      </w:r>
      <w:r>
        <w:rPr>
          <w:rStyle w:val="Emphasis"/>
          <w:rFonts w:eastAsiaTheme="majorEastAsia"/>
        </w:rPr>
        <w:t>Governing Through Crime: How the War on Crime Transformed American Democracy and Created a Culture of Fear</w:t>
      </w:r>
      <w:r>
        <w:t>. New York: Oxford University Press, 2007.</w:t>
      </w:r>
    </w:p>
    <w:p w14:paraId="62152C47" w14:textId="77777777" w:rsidR="000856D8" w:rsidRDefault="000856D8" w:rsidP="00B16671"/>
    <w:p w14:paraId="4C1D1B96" w14:textId="77777777" w:rsidR="00007A85" w:rsidRDefault="00007A85" w:rsidP="00B16671"/>
    <w:p w14:paraId="72DE1D17" w14:textId="77777777" w:rsidR="00007A85" w:rsidRDefault="00007A85" w:rsidP="00007A85">
      <w:pPr>
        <w:ind w:hanging="480"/>
      </w:pPr>
      <w:proofErr w:type="spellStart"/>
      <w:r>
        <w:t>SoRelle</w:t>
      </w:r>
      <w:proofErr w:type="spellEnd"/>
      <w:r>
        <w:t xml:space="preserve">, Mallory E., and Serena Laws. “Deservingness and the Politics of Student Debt Relief.” </w:t>
      </w:r>
      <w:r>
        <w:rPr>
          <w:i/>
          <w:iCs/>
        </w:rPr>
        <w:t>Perspectives on Politics</w:t>
      </w:r>
      <w:r>
        <w:t xml:space="preserve"> 22, no. 2 (June 2024): 372–90. </w:t>
      </w:r>
      <w:hyperlink r:id="rId38" w:history="1">
        <w:r>
          <w:rPr>
            <w:rStyle w:val="Hyperlink"/>
            <w:rFonts w:eastAsiaTheme="majorEastAsia"/>
          </w:rPr>
          <w:t>https://doi.org/10.1017/S1537592723001457</w:t>
        </w:r>
      </w:hyperlink>
      <w:r>
        <w:t>.</w:t>
      </w:r>
    </w:p>
    <w:p w14:paraId="4DE9934D" w14:textId="77777777" w:rsidR="00007A85" w:rsidRDefault="00007A85" w:rsidP="00B16671"/>
    <w:p w14:paraId="2495686D" w14:textId="71C4138C" w:rsidR="000204F6" w:rsidRDefault="00E616C8" w:rsidP="00B16671">
      <w:r>
        <w:t xml:space="preserve">Staub, Ervin. </w:t>
      </w:r>
      <w:r>
        <w:rPr>
          <w:rStyle w:val="Emphasis"/>
          <w:rFonts w:eastAsiaTheme="majorEastAsia"/>
        </w:rPr>
        <w:t>The Roots of Evil: The Origins of Genocide and Other Group Violence</w:t>
      </w:r>
      <w:r>
        <w:t>. Cambridge: Cambridge University Press, 1989.</w:t>
      </w:r>
    </w:p>
    <w:p w14:paraId="7AC5448F" w14:textId="77777777" w:rsidR="00E616C8" w:rsidRDefault="00E616C8" w:rsidP="00B16671"/>
    <w:p w14:paraId="5FFEC1DA" w14:textId="34556D91" w:rsidR="00AB47AD" w:rsidRDefault="000856D8" w:rsidP="00B16671">
      <w:r>
        <w:t xml:space="preserve">Sundt, Jody, Kathryn </w:t>
      </w:r>
      <w:proofErr w:type="spellStart"/>
      <w:r>
        <w:t>Schwaeble</w:t>
      </w:r>
      <w:proofErr w:type="spellEnd"/>
      <w:r>
        <w:t xml:space="preserve">, and Cullen C. Merritt. "Good Governance, Political Experiences, and Public Support for Mandatory Sentencing: Evidence from a Progressive US State." </w:t>
      </w:r>
      <w:r>
        <w:rPr>
          <w:rStyle w:val="Emphasis"/>
          <w:rFonts w:eastAsiaTheme="majorEastAsia"/>
        </w:rPr>
        <w:t>Punishment &amp; Society</w:t>
      </w:r>
      <w:r>
        <w:t xml:space="preserve"> 21, no. 2 (2019): 141-161.</w:t>
      </w:r>
    </w:p>
    <w:p w14:paraId="13483D3C" w14:textId="77777777" w:rsidR="000856D8" w:rsidRDefault="000856D8" w:rsidP="00B16671"/>
    <w:p w14:paraId="24D48E8E" w14:textId="77777777" w:rsidR="000856D8" w:rsidRDefault="000856D8" w:rsidP="00B16671"/>
    <w:p w14:paraId="30DD6DAA" w14:textId="7709752F" w:rsidR="00AB47AD" w:rsidRDefault="000204F6" w:rsidP="00B16671">
      <w:r>
        <w:t xml:space="preserve">Tajfel, Henri, and John C. Turner. "An Integrative Theory of Intergroup Conflict." In </w:t>
      </w:r>
      <w:r>
        <w:rPr>
          <w:rStyle w:val="Emphasis"/>
          <w:rFonts w:eastAsiaTheme="majorEastAsia"/>
        </w:rPr>
        <w:t>The Social Psychology of Intergroup Relations</w:t>
      </w:r>
      <w:r>
        <w:t xml:space="preserve">, edited by William G. Austin and Stephen </w:t>
      </w:r>
      <w:proofErr w:type="spellStart"/>
      <w:r>
        <w:t>Worchel</w:t>
      </w:r>
      <w:proofErr w:type="spellEnd"/>
      <w:r>
        <w:t>, 33-47. Monterey, CA: Brooks/Cole, 1979.</w:t>
      </w:r>
    </w:p>
    <w:p w14:paraId="2644F5ED" w14:textId="77777777" w:rsidR="000204F6" w:rsidRDefault="000204F6" w:rsidP="00B16671"/>
    <w:p w14:paraId="63DBA826" w14:textId="5B05ED43" w:rsidR="00AB47AD" w:rsidRDefault="000204F6" w:rsidP="000204F6">
      <w:pPr>
        <w:ind w:hanging="480"/>
      </w:pPr>
      <w:r>
        <w:t xml:space="preserve">White, Ariel R., Noah L. Nathan, and Julie K. Faller. “What Do I Need to Vote? Bureaucratic Discretion and Discrimination by Local Election Officials.” </w:t>
      </w:r>
      <w:r>
        <w:rPr>
          <w:i/>
          <w:iCs/>
        </w:rPr>
        <w:t>American Political Science Review</w:t>
      </w:r>
      <w:r>
        <w:t xml:space="preserve"> 109, no. 1 (February 2015): 129–42. </w:t>
      </w:r>
      <w:hyperlink r:id="rId39" w:history="1">
        <w:r>
          <w:rPr>
            <w:rStyle w:val="Hyperlink"/>
            <w:rFonts w:eastAsiaTheme="majorEastAsia"/>
          </w:rPr>
          <w:t>https://doi.org/10.1017/S0003055414000562</w:t>
        </w:r>
      </w:hyperlink>
      <w:r>
        <w:t>.</w:t>
      </w:r>
    </w:p>
    <w:p w14:paraId="5EF7715C" w14:textId="77777777" w:rsidR="00AB47AD" w:rsidRDefault="00AB47AD" w:rsidP="00B16671"/>
    <w:p w14:paraId="7C5E3B3C" w14:textId="77777777" w:rsidR="005E672F" w:rsidRDefault="005E672F" w:rsidP="005E672F">
      <w:pPr>
        <w:ind w:hanging="480"/>
      </w:pPr>
      <w:r>
        <w:t xml:space="preserve">Wolff, Nancy, and Jing Shi. “Contextualization of Physical and Sexual Assault in Male Prisons: Incidents and Their Aftermath.” </w:t>
      </w:r>
      <w:r>
        <w:rPr>
          <w:i/>
          <w:iCs/>
        </w:rPr>
        <w:t>Journal of Correctional Health Care</w:t>
      </w:r>
      <w:r>
        <w:t xml:space="preserve"> 15, no. 1 (January 2009): 58–77. </w:t>
      </w:r>
      <w:hyperlink r:id="rId40" w:history="1">
        <w:r>
          <w:rPr>
            <w:rStyle w:val="Hyperlink"/>
            <w:rFonts w:eastAsiaTheme="majorEastAsia"/>
          </w:rPr>
          <w:t>https://doi.org/10.1177/1078345808326622</w:t>
        </w:r>
      </w:hyperlink>
      <w:r>
        <w:t>.</w:t>
      </w:r>
    </w:p>
    <w:p w14:paraId="790EE4F4" w14:textId="77777777" w:rsidR="00AB47AD" w:rsidRDefault="00AB47AD" w:rsidP="00B16671"/>
    <w:p w14:paraId="7BF8A237" w14:textId="77777777" w:rsidR="00AB47AD" w:rsidRDefault="00AB47AD" w:rsidP="00B16671"/>
    <w:p w14:paraId="48CCBB04" w14:textId="31AA292B" w:rsidR="00AB47AD" w:rsidRDefault="005E672F" w:rsidP="000856D8">
      <w:pPr>
        <w:ind w:hanging="480"/>
      </w:pPr>
      <w:r>
        <w:t xml:space="preserve">Wolff, Nancy, Jing Shi, and Jane Siegel. “Understanding Physical Victimization Inside Prisons: Factors That Predict Risk.” </w:t>
      </w:r>
      <w:r>
        <w:rPr>
          <w:i/>
          <w:iCs/>
        </w:rPr>
        <w:t>Justice Quarterly</w:t>
      </w:r>
      <w:r>
        <w:t xml:space="preserve"> 26, no. 3 (September 1, 2009): 445–75. </w:t>
      </w:r>
      <w:hyperlink r:id="rId41" w:history="1">
        <w:r>
          <w:rPr>
            <w:rStyle w:val="Hyperlink"/>
            <w:rFonts w:eastAsiaTheme="majorEastAsia"/>
          </w:rPr>
          <w:t>https://doi.org/10.1080/07418820802427858</w:t>
        </w:r>
      </w:hyperlink>
      <w:r>
        <w:t>.</w:t>
      </w:r>
    </w:p>
    <w:p w14:paraId="61A2F9D4" w14:textId="77777777" w:rsidR="00AB47AD" w:rsidRDefault="00AB47AD" w:rsidP="00B16671"/>
    <w:p w14:paraId="374D770B" w14:textId="77777777" w:rsidR="00AB47AD" w:rsidRDefault="00AB47AD" w:rsidP="00AB47AD">
      <w:pPr>
        <w:ind w:hanging="480"/>
      </w:pPr>
      <w:proofErr w:type="spellStart"/>
      <w:r>
        <w:t>Zhirkov</w:t>
      </w:r>
      <w:proofErr w:type="spellEnd"/>
      <w:r>
        <w:t xml:space="preserve">, Kirill, and Eugenia Quintanilla. “This Proposal Is Racist: The (Muted) Consequences of Invoking Racism in Policy Arguments.” </w:t>
      </w:r>
      <w:r>
        <w:rPr>
          <w:i/>
          <w:iCs/>
        </w:rPr>
        <w:t>Politics, Groups, and Identities</w:t>
      </w:r>
      <w:r>
        <w:t xml:space="preserve"> 0, no. 0 (n.d.): 1–10. </w:t>
      </w:r>
      <w:hyperlink r:id="rId42" w:history="1">
        <w:r>
          <w:rPr>
            <w:rStyle w:val="Hyperlink"/>
            <w:rFonts w:eastAsiaTheme="majorEastAsia"/>
          </w:rPr>
          <w:t>https://doi.org/10.1080/21565503.2024.2362687</w:t>
        </w:r>
      </w:hyperlink>
      <w:r>
        <w:t>.</w:t>
      </w:r>
    </w:p>
    <w:p w14:paraId="314B9741" w14:textId="77777777" w:rsidR="00B16671" w:rsidRDefault="00B16671" w:rsidP="00C262BB">
      <w:pPr>
        <w:spacing w:line="360" w:lineRule="auto"/>
        <w:rPr>
          <w:sz w:val="23"/>
          <w:szCs w:val="23"/>
        </w:rPr>
      </w:pPr>
    </w:p>
    <w:p w14:paraId="148A2756" w14:textId="4903C93A" w:rsidR="007524E6" w:rsidRPr="00786A24" w:rsidRDefault="007524E6" w:rsidP="007524E6">
      <w:pPr>
        <w:spacing w:line="360" w:lineRule="auto"/>
        <w:ind w:hanging="480"/>
        <w:rPr>
          <w:sz w:val="23"/>
          <w:szCs w:val="23"/>
        </w:rPr>
      </w:pPr>
      <w:proofErr w:type="spellStart"/>
      <w:r w:rsidRPr="00786A24">
        <w:rPr>
          <w:sz w:val="23"/>
          <w:szCs w:val="23"/>
        </w:rPr>
        <w:t>Aarøe</w:t>
      </w:r>
      <w:proofErr w:type="spellEnd"/>
      <w:r w:rsidRPr="00786A24">
        <w:rPr>
          <w:sz w:val="23"/>
          <w:szCs w:val="23"/>
        </w:rPr>
        <w:t xml:space="preserve">, Lene, and Michael Bang Petersen. “Crowding Out Culture: Scandinavians and Americans Agree on Social Welfare in the Face of Deservingness Cues.” </w:t>
      </w:r>
      <w:r w:rsidRPr="00786A24">
        <w:rPr>
          <w:i/>
          <w:iCs/>
          <w:sz w:val="23"/>
          <w:szCs w:val="23"/>
        </w:rPr>
        <w:t>The Journal of Politics</w:t>
      </w:r>
      <w:r w:rsidRPr="00786A24">
        <w:rPr>
          <w:sz w:val="23"/>
          <w:szCs w:val="23"/>
        </w:rPr>
        <w:t xml:space="preserve"> 76, no. 3 (July 2014): 684–97. </w:t>
      </w:r>
      <w:hyperlink r:id="rId43" w:history="1">
        <w:r w:rsidRPr="0090046A">
          <w:rPr>
            <w:rStyle w:val="Hyperlink"/>
            <w:rFonts w:eastAsiaTheme="majorEastAsia"/>
            <w:sz w:val="23"/>
            <w:szCs w:val="23"/>
          </w:rPr>
          <w:t>https://doi.org/10.1017/S002238161400019X</w:t>
        </w:r>
      </w:hyperlink>
      <w:r w:rsidRPr="00786A24">
        <w:rPr>
          <w:sz w:val="23"/>
          <w:szCs w:val="23"/>
        </w:rPr>
        <w:t>.</w:t>
      </w:r>
    </w:p>
    <w:p w14:paraId="7CA59598" w14:textId="77777777" w:rsidR="007524E6" w:rsidRPr="00B16671" w:rsidRDefault="007524E6" w:rsidP="00B16671">
      <w:pPr>
        <w:spacing w:line="360" w:lineRule="auto"/>
        <w:rPr>
          <w:sz w:val="23"/>
          <w:szCs w:val="23"/>
        </w:rPr>
      </w:pPr>
    </w:p>
    <w:p w14:paraId="7768D47D" w14:textId="77777777" w:rsidR="007524E6" w:rsidRPr="00786A24" w:rsidRDefault="007524E6" w:rsidP="007524E6">
      <w:pPr>
        <w:spacing w:line="360" w:lineRule="auto"/>
        <w:ind w:hanging="480"/>
        <w:rPr>
          <w:sz w:val="23"/>
          <w:szCs w:val="23"/>
        </w:rPr>
      </w:pPr>
      <w:r w:rsidRPr="00786A24">
        <w:rPr>
          <w:sz w:val="23"/>
          <w:szCs w:val="23"/>
        </w:rPr>
        <w:t>Alexander, Michelle.</w:t>
      </w:r>
      <w:r w:rsidRPr="00786A24">
        <w:rPr>
          <w:i/>
          <w:iCs/>
          <w:sz w:val="23"/>
          <w:szCs w:val="23"/>
        </w:rPr>
        <w:t xml:space="preserve"> The New Jim </w:t>
      </w:r>
      <w:proofErr w:type="gramStart"/>
      <w:r w:rsidRPr="00786A24">
        <w:rPr>
          <w:i/>
          <w:iCs/>
          <w:sz w:val="23"/>
          <w:szCs w:val="23"/>
        </w:rPr>
        <w:t>Crow :</w:t>
      </w:r>
      <w:proofErr w:type="gramEnd"/>
      <w:r w:rsidRPr="00786A24">
        <w:rPr>
          <w:i/>
          <w:iCs/>
          <w:sz w:val="23"/>
          <w:szCs w:val="23"/>
        </w:rPr>
        <w:t xml:space="preserve"> Mass Incarceration in the Age of Colorblindness. </w:t>
      </w:r>
      <w:r w:rsidRPr="00786A24">
        <w:rPr>
          <w:sz w:val="23"/>
          <w:szCs w:val="23"/>
        </w:rPr>
        <w:t xml:space="preserve">New </w:t>
      </w:r>
      <w:proofErr w:type="gramStart"/>
      <w:r w:rsidRPr="00786A24">
        <w:rPr>
          <w:sz w:val="23"/>
          <w:szCs w:val="23"/>
        </w:rPr>
        <w:t>York :New</w:t>
      </w:r>
      <w:proofErr w:type="gramEnd"/>
      <w:r w:rsidRPr="00786A24">
        <w:rPr>
          <w:sz w:val="23"/>
          <w:szCs w:val="23"/>
        </w:rPr>
        <w:t xml:space="preserve"> Press (2010).</w:t>
      </w:r>
    </w:p>
    <w:p w14:paraId="0BACAB63" w14:textId="77777777" w:rsidR="007524E6" w:rsidRPr="00786A24" w:rsidRDefault="007524E6" w:rsidP="007524E6">
      <w:pPr>
        <w:spacing w:line="360" w:lineRule="auto"/>
        <w:rPr>
          <w:sz w:val="23"/>
          <w:szCs w:val="23"/>
        </w:rPr>
      </w:pPr>
    </w:p>
    <w:p w14:paraId="7A379EB2" w14:textId="77777777" w:rsidR="007524E6" w:rsidRPr="00786A24" w:rsidRDefault="007524E6" w:rsidP="007524E6">
      <w:pPr>
        <w:spacing w:line="360" w:lineRule="auto"/>
        <w:ind w:hanging="480"/>
        <w:rPr>
          <w:sz w:val="23"/>
          <w:szCs w:val="23"/>
        </w:rPr>
      </w:pPr>
      <w:r w:rsidRPr="00786A24">
        <w:rPr>
          <w:sz w:val="23"/>
          <w:szCs w:val="23"/>
        </w:rPr>
        <w:lastRenderedPageBreak/>
        <w:t xml:space="preserve">Baumgartner, Frank R., Marty A. Davidson, II, </w:t>
      </w:r>
      <w:proofErr w:type="spellStart"/>
      <w:r w:rsidRPr="00786A24">
        <w:rPr>
          <w:sz w:val="23"/>
          <w:szCs w:val="23"/>
        </w:rPr>
        <w:t>Kaneesha</w:t>
      </w:r>
      <w:proofErr w:type="spellEnd"/>
      <w:r w:rsidRPr="00786A24">
        <w:rPr>
          <w:sz w:val="23"/>
          <w:szCs w:val="23"/>
        </w:rPr>
        <w:t xml:space="preserve"> R. Johnson, Arvind Krishnamurthy, and Colin P. </w:t>
      </w:r>
      <w:r w:rsidRPr="00786A24">
        <w:rPr>
          <w:i/>
          <w:iCs/>
          <w:sz w:val="23"/>
          <w:szCs w:val="23"/>
        </w:rPr>
        <w:t>Wilson Deadly Justice: A Statistical Portrait of the Death Penalty</w:t>
      </w:r>
      <w:r w:rsidRPr="00786A24">
        <w:rPr>
          <w:sz w:val="23"/>
          <w:szCs w:val="23"/>
        </w:rPr>
        <w:t>. New York: Oxford University Press. (2018).</w:t>
      </w:r>
    </w:p>
    <w:p w14:paraId="42D01989" w14:textId="77777777" w:rsidR="007524E6" w:rsidRPr="00786A24" w:rsidRDefault="007524E6" w:rsidP="007524E6">
      <w:pPr>
        <w:spacing w:line="360" w:lineRule="auto"/>
        <w:ind w:hanging="480"/>
        <w:rPr>
          <w:sz w:val="23"/>
          <w:szCs w:val="23"/>
        </w:rPr>
      </w:pPr>
    </w:p>
    <w:p w14:paraId="447074CF" w14:textId="77777777" w:rsidR="007524E6" w:rsidRPr="00786A24" w:rsidRDefault="007524E6" w:rsidP="007524E6">
      <w:pPr>
        <w:spacing w:line="360" w:lineRule="auto"/>
        <w:ind w:hanging="480"/>
        <w:rPr>
          <w:sz w:val="23"/>
          <w:szCs w:val="23"/>
        </w:rPr>
      </w:pPr>
      <w:r w:rsidRPr="00786A24">
        <w:rPr>
          <w:sz w:val="23"/>
          <w:szCs w:val="23"/>
        </w:rPr>
        <w:t xml:space="preserve">Coll, Joseph A. “Racial </w:t>
      </w:r>
      <w:proofErr w:type="spellStart"/>
      <w:r w:rsidRPr="00786A24">
        <w:rPr>
          <w:sz w:val="23"/>
          <w:szCs w:val="23"/>
        </w:rPr>
        <w:t>Sterotypes</w:t>
      </w:r>
      <w:proofErr w:type="spellEnd"/>
      <w:r w:rsidRPr="00786A24">
        <w:rPr>
          <w:sz w:val="23"/>
          <w:szCs w:val="23"/>
        </w:rPr>
        <w:t xml:space="preserve">, Racial Threat, and Support for Felon Disenfranchisement Among White Americans.” </w:t>
      </w:r>
      <w:r w:rsidRPr="00786A24">
        <w:rPr>
          <w:i/>
          <w:iCs/>
          <w:sz w:val="23"/>
          <w:szCs w:val="23"/>
        </w:rPr>
        <w:t>Political Science Research Quarterly</w:t>
      </w:r>
      <w:r w:rsidRPr="00786A24">
        <w:rPr>
          <w:sz w:val="23"/>
          <w:szCs w:val="23"/>
        </w:rPr>
        <w:t xml:space="preserve"> 0, 0 (2024): 1-14</w:t>
      </w:r>
      <w:hyperlink r:id="rId44" w:history="1">
        <w:r w:rsidRPr="00786A24">
          <w:rPr>
            <w:rStyle w:val="Hyperlink"/>
            <w:sz w:val="23"/>
            <w:szCs w:val="23"/>
          </w:rPr>
          <w:t>https://doi.org/10.1177/10659129241287506</w:t>
        </w:r>
      </w:hyperlink>
    </w:p>
    <w:p w14:paraId="293E1373" w14:textId="77777777" w:rsidR="007524E6" w:rsidRPr="00786A24" w:rsidRDefault="007524E6" w:rsidP="007524E6">
      <w:pPr>
        <w:spacing w:line="360" w:lineRule="auto"/>
        <w:ind w:hanging="480"/>
        <w:rPr>
          <w:sz w:val="23"/>
          <w:szCs w:val="23"/>
        </w:rPr>
      </w:pPr>
    </w:p>
    <w:p w14:paraId="4D7CEBFB" w14:textId="77777777" w:rsidR="007524E6" w:rsidRPr="00786A24" w:rsidRDefault="007524E6" w:rsidP="007524E6">
      <w:pPr>
        <w:spacing w:line="360" w:lineRule="auto"/>
        <w:ind w:hanging="480"/>
        <w:rPr>
          <w:sz w:val="23"/>
          <w:szCs w:val="23"/>
        </w:rPr>
      </w:pPr>
      <w:proofErr w:type="spellStart"/>
      <w:r w:rsidRPr="00786A24">
        <w:rPr>
          <w:sz w:val="23"/>
          <w:szCs w:val="23"/>
        </w:rPr>
        <w:t>DeSante</w:t>
      </w:r>
      <w:proofErr w:type="spellEnd"/>
      <w:r w:rsidRPr="00786A24">
        <w:rPr>
          <w:sz w:val="23"/>
          <w:szCs w:val="23"/>
        </w:rPr>
        <w:t xml:space="preserve">, Christopher D. “Working Twice as Hard to Get Half as Far: Race, Work Ethic, and America’s Deserving Poor: </w:t>
      </w:r>
      <w:r w:rsidRPr="00786A24">
        <w:rPr>
          <w:i/>
          <w:iCs/>
          <w:sz w:val="23"/>
          <w:szCs w:val="23"/>
        </w:rPr>
        <w:t>DESERVINGNESS IN BLACK AND WHITE</w:t>
      </w:r>
      <w:r w:rsidRPr="00786A24">
        <w:rPr>
          <w:sz w:val="23"/>
          <w:szCs w:val="23"/>
        </w:rPr>
        <w:t xml:space="preserve">.” </w:t>
      </w:r>
      <w:r w:rsidRPr="00786A24">
        <w:rPr>
          <w:i/>
          <w:iCs/>
          <w:sz w:val="23"/>
          <w:szCs w:val="23"/>
        </w:rPr>
        <w:t>American Journal of Political Science</w:t>
      </w:r>
      <w:r w:rsidRPr="00786A24">
        <w:rPr>
          <w:sz w:val="23"/>
          <w:szCs w:val="23"/>
        </w:rPr>
        <w:t xml:space="preserve"> 57, no. 2 (April 2013): 342–56. </w:t>
      </w:r>
      <w:hyperlink r:id="rId45">
        <w:r w:rsidRPr="00786A24">
          <w:rPr>
            <w:rStyle w:val="Hyperlink"/>
            <w:rFonts w:eastAsiaTheme="majorEastAsia"/>
            <w:sz w:val="23"/>
            <w:szCs w:val="23"/>
          </w:rPr>
          <w:t>https://doi.org/10.1111/ajps.12006</w:t>
        </w:r>
      </w:hyperlink>
      <w:r w:rsidRPr="00786A24">
        <w:rPr>
          <w:sz w:val="23"/>
          <w:szCs w:val="23"/>
        </w:rPr>
        <w:t>.</w:t>
      </w:r>
    </w:p>
    <w:p w14:paraId="4C75E7C8" w14:textId="77777777" w:rsidR="007524E6" w:rsidRPr="00786A24" w:rsidRDefault="007524E6" w:rsidP="007524E6">
      <w:pPr>
        <w:spacing w:line="360" w:lineRule="auto"/>
        <w:ind w:hanging="480"/>
        <w:rPr>
          <w:sz w:val="23"/>
          <w:szCs w:val="23"/>
        </w:rPr>
      </w:pPr>
    </w:p>
    <w:p w14:paraId="6249B733" w14:textId="77777777" w:rsidR="007524E6" w:rsidRPr="00786A24" w:rsidRDefault="007524E6" w:rsidP="007524E6">
      <w:pPr>
        <w:spacing w:line="360" w:lineRule="auto"/>
        <w:ind w:hanging="480"/>
        <w:rPr>
          <w:sz w:val="23"/>
          <w:szCs w:val="23"/>
        </w:rPr>
      </w:pPr>
      <w:r w:rsidRPr="00786A24">
        <w:rPr>
          <w:sz w:val="23"/>
          <w:szCs w:val="23"/>
        </w:rPr>
        <w:t xml:space="preserve">Ellis, Christopher and </w:t>
      </w:r>
      <w:proofErr w:type="spellStart"/>
      <w:r w:rsidRPr="00786A24">
        <w:rPr>
          <w:sz w:val="23"/>
          <w:szCs w:val="23"/>
        </w:rPr>
        <w:t>Faricy</w:t>
      </w:r>
      <w:proofErr w:type="spellEnd"/>
      <w:r w:rsidRPr="00786A24">
        <w:rPr>
          <w:sz w:val="23"/>
          <w:szCs w:val="23"/>
        </w:rPr>
        <w:t xml:space="preserve">, Christopher. “Race, ‘Deservingness,’ and Social Spending Attitudes.” </w:t>
      </w:r>
      <w:r w:rsidRPr="00786A24">
        <w:rPr>
          <w:i/>
          <w:iCs/>
          <w:sz w:val="23"/>
          <w:szCs w:val="23"/>
        </w:rPr>
        <w:t>Political Behavior</w:t>
      </w:r>
      <w:r w:rsidRPr="00786A24">
        <w:rPr>
          <w:sz w:val="23"/>
          <w:szCs w:val="23"/>
        </w:rPr>
        <w:t xml:space="preserve"> (42) no 3. (September 2020): 10.1007/s11109-018-09521-w</w:t>
      </w:r>
    </w:p>
    <w:p w14:paraId="41060DAC" w14:textId="77777777" w:rsidR="007524E6" w:rsidRPr="00786A24" w:rsidRDefault="007524E6" w:rsidP="007524E6">
      <w:pPr>
        <w:spacing w:line="360" w:lineRule="auto"/>
        <w:ind w:hanging="480"/>
        <w:rPr>
          <w:sz w:val="23"/>
          <w:szCs w:val="23"/>
        </w:rPr>
      </w:pPr>
    </w:p>
    <w:p w14:paraId="204759C6" w14:textId="77777777" w:rsidR="007524E6" w:rsidRPr="00786A24" w:rsidRDefault="007524E6" w:rsidP="007524E6">
      <w:pPr>
        <w:spacing w:line="360" w:lineRule="auto"/>
        <w:ind w:hanging="480"/>
        <w:rPr>
          <w:sz w:val="23"/>
          <w:szCs w:val="23"/>
        </w:rPr>
      </w:pPr>
      <w:r w:rsidRPr="00786A24">
        <w:rPr>
          <w:sz w:val="23"/>
          <w:szCs w:val="23"/>
        </w:rPr>
        <w:t xml:space="preserve">Enns, Peter K., and Julianna Koch. “Public Opinion in the U.S. States: 1956 to 2010.” </w:t>
      </w:r>
      <w:r w:rsidRPr="00786A24">
        <w:rPr>
          <w:i/>
          <w:iCs/>
          <w:sz w:val="23"/>
          <w:szCs w:val="23"/>
        </w:rPr>
        <w:t>State Politics &amp; Policy Quarterly</w:t>
      </w:r>
      <w:r w:rsidRPr="00786A24">
        <w:rPr>
          <w:sz w:val="23"/>
          <w:szCs w:val="23"/>
        </w:rPr>
        <w:t xml:space="preserve"> 13, no. 3 (September 2013): 349–72. </w:t>
      </w:r>
      <w:hyperlink r:id="rId46">
        <w:r w:rsidRPr="00786A24">
          <w:rPr>
            <w:rStyle w:val="Hyperlink"/>
            <w:rFonts w:eastAsiaTheme="majorEastAsia"/>
            <w:sz w:val="23"/>
            <w:szCs w:val="23"/>
          </w:rPr>
          <w:t>https://doi.org/10.1177/1532440013496439</w:t>
        </w:r>
      </w:hyperlink>
      <w:r w:rsidRPr="00786A24">
        <w:rPr>
          <w:sz w:val="23"/>
          <w:szCs w:val="23"/>
        </w:rPr>
        <w:t>.</w:t>
      </w:r>
    </w:p>
    <w:p w14:paraId="6C4BD60C" w14:textId="77777777" w:rsidR="007524E6" w:rsidRPr="00786A24" w:rsidRDefault="007524E6" w:rsidP="007524E6">
      <w:pPr>
        <w:spacing w:line="360" w:lineRule="auto"/>
        <w:ind w:hanging="480"/>
        <w:rPr>
          <w:color w:val="1C1D1E"/>
          <w:sz w:val="23"/>
          <w:szCs w:val="23"/>
          <w:shd w:val="clear" w:color="auto" w:fill="FFFFFF"/>
        </w:rPr>
      </w:pPr>
    </w:p>
    <w:p w14:paraId="345F7163" w14:textId="77777777" w:rsidR="007524E6" w:rsidRPr="00786A24" w:rsidRDefault="007524E6" w:rsidP="007524E6">
      <w:pPr>
        <w:spacing w:line="360" w:lineRule="auto"/>
        <w:ind w:hanging="480"/>
        <w:rPr>
          <w:color w:val="1C1D1E"/>
          <w:sz w:val="23"/>
          <w:szCs w:val="23"/>
          <w:shd w:val="clear" w:color="auto" w:fill="FFFFFF"/>
        </w:rPr>
      </w:pPr>
      <w:r w:rsidRPr="00786A24">
        <w:rPr>
          <w:color w:val="1C1D1E"/>
          <w:sz w:val="23"/>
          <w:szCs w:val="23"/>
          <w:shd w:val="clear" w:color="auto" w:fill="FFFFFF"/>
        </w:rPr>
        <w:t xml:space="preserve">Enns, P.K. “The Public's Increasing Punitiveness and Its Influence on Mass Incarceration in the United States.” </w:t>
      </w:r>
      <w:r w:rsidRPr="00786A24">
        <w:rPr>
          <w:i/>
          <w:iCs/>
          <w:color w:val="1C1D1E"/>
          <w:sz w:val="23"/>
          <w:szCs w:val="23"/>
          <w:shd w:val="clear" w:color="auto" w:fill="FFFFFF"/>
        </w:rPr>
        <w:t>American Journal of Political Science</w:t>
      </w:r>
      <w:r w:rsidRPr="00786A24">
        <w:rPr>
          <w:color w:val="1C1D1E"/>
          <w:sz w:val="23"/>
          <w:szCs w:val="23"/>
          <w:shd w:val="clear" w:color="auto" w:fill="FFFFFF"/>
        </w:rPr>
        <w:t xml:space="preserve"> (2014) 58: 857-872.</w:t>
      </w:r>
    </w:p>
    <w:p w14:paraId="4C8DB383" w14:textId="77777777" w:rsidR="007524E6" w:rsidRPr="00786A24" w:rsidRDefault="007524E6" w:rsidP="007524E6">
      <w:pPr>
        <w:spacing w:line="360" w:lineRule="auto"/>
        <w:ind w:hanging="480"/>
        <w:rPr>
          <w:sz w:val="23"/>
          <w:szCs w:val="23"/>
        </w:rPr>
      </w:pPr>
    </w:p>
    <w:p w14:paraId="732C8C8B" w14:textId="77777777" w:rsidR="007524E6" w:rsidRPr="00786A24" w:rsidRDefault="007524E6" w:rsidP="007524E6">
      <w:pPr>
        <w:spacing w:line="360" w:lineRule="auto"/>
        <w:ind w:hanging="480"/>
        <w:rPr>
          <w:sz w:val="23"/>
          <w:szCs w:val="23"/>
        </w:rPr>
      </w:pPr>
      <w:r w:rsidRPr="00786A24">
        <w:rPr>
          <w:sz w:val="23"/>
          <w:szCs w:val="23"/>
        </w:rPr>
        <w:t xml:space="preserve">Eubank, Nicholas, and Adriane Fresh. “Enfranchisement and Incarceration after the 1965 Voting Rights Act.” </w:t>
      </w:r>
      <w:r w:rsidRPr="00786A24">
        <w:rPr>
          <w:i/>
          <w:iCs/>
          <w:sz w:val="23"/>
          <w:szCs w:val="23"/>
        </w:rPr>
        <w:t>American Political Science Review</w:t>
      </w:r>
      <w:r w:rsidRPr="00786A24">
        <w:rPr>
          <w:sz w:val="23"/>
          <w:szCs w:val="23"/>
        </w:rPr>
        <w:t xml:space="preserve"> 116, no. 3 (August 2022): 791–806. </w:t>
      </w:r>
      <w:hyperlink r:id="rId47">
        <w:r w:rsidRPr="00786A24">
          <w:rPr>
            <w:rStyle w:val="Hyperlink"/>
            <w:rFonts w:eastAsiaTheme="majorEastAsia"/>
            <w:sz w:val="23"/>
            <w:szCs w:val="23"/>
          </w:rPr>
          <w:t>https://doi.org/10.1017/S0003055421001337</w:t>
        </w:r>
      </w:hyperlink>
      <w:r w:rsidRPr="00786A24">
        <w:rPr>
          <w:sz w:val="23"/>
          <w:szCs w:val="23"/>
        </w:rPr>
        <w:t>.</w:t>
      </w:r>
    </w:p>
    <w:p w14:paraId="0F18962D" w14:textId="77777777" w:rsidR="007524E6" w:rsidRPr="00786A24" w:rsidRDefault="007524E6" w:rsidP="007524E6">
      <w:pPr>
        <w:spacing w:line="360" w:lineRule="auto"/>
        <w:ind w:hanging="480"/>
        <w:rPr>
          <w:sz w:val="23"/>
          <w:szCs w:val="23"/>
        </w:rPr>
      </w:pPr>
    </w:p>
    <w:p w14:paraId="3D46028E" w14:textId="77777777" w:rsidR="007524E6" w:rsidRPr="00786A24" w:rsidRDefault="007524E6" w:rsidP="007524E6">
      <w:pPr>
        <w:spacing w:line="360" w:lineRule="auto"/>
        <w:ind w:hanging="480"/>
        <w:rPr>
          <w:sz w:val="23"/>
          <w:szCs w:val="23"/>
        </w:rPr>
      </w:pPr>
      <w:r w:rsidRPr="00786A24">
        <w:rPr>
          <w:sz w:val="23"/>
          <w:szCs w:val="23"/>
        </w:rPr>
        <w:t xml:space="preserve">Feather, NT. “Judgements of Deservingness: Studies in the Psychology of Justice and Achievement.” </w:t>
      </w:r>
      <w:r w:rsidRPr="00786A24">
        <w:rPr>
          <w:i/>
          <w:iCs/>
          <w:sz w:val="23"/>
          <w:szCs w:val="23"/>
        </w:rPr>
        <w:t>Personality and Social Psychology Review</w:t>
      </w:r>
      <w:r w:rsidRPr="00786A24">
        <w:rPr>
          <w:sz w:val="23"/>
          <w:szCs w:val="23"/>
        </w:rPr>
        <w:t xml:space="preserve"> 3, No. 2 (1999).</w:t>
      </w:r>
    </w:p>
    <w:p w14:paraId="41DCE2FE" w14:textId="77777777" w:rsidR="007524E6" w:rsidRPr="00786A24" w:rsidRDefault="007524E6" w:rsidP="007524E6">
      <w:pPr>
        <w:spacing w:line="360" w:lineRule="auto"/>
        <w:ind w:hanging="480"/>
        <w:rPr>
          <w:sz w:val="23"/>
          <w:szCs w:val="23"/>
        </w:rPr>
      </w:pPr>
    </w:p>
    <w:p w14:paraId="51FD0935" w14:textId="77777777" w:rsidR="007524E6" w:rsidRPr="00786A24" w:rsidRDefault="007524E6" w:rsidP="007524E6">
      <w:pPr>
        <w:spacing w:line="360" w:lineRule="auto"/>
        <w:ind w:hanging="480"/>
        <w:rPr>
          <w:sz w:val="23"/>
          <w:szCs w:val="23"/>
        </w:rPr>
      </w:pPr>
      <w:r w:rsidRPr="00786A24">
        <w:rPr>
          <w:sz w:val="23"/>
          <w:szCs w:val="23"/>
        </w:rPr>
        <w:t xml:space="preserve">Feldman, Stanley, and Leonie Huddy. 2005. “Racial Resentment and White Op- position to Race-Conscious Programs: Principles or Prejudice?” American Journal of Political Science 49:168–83. </w:t>
      </w:r>
    </w:p>
    <w:p w14:paraId="73571569" w14:textId="77777777" w:rsidR="007524E6" w:rsidRPr="00786A24" w:rsidRDefault="007524E6" w:rsidP="007524E6">
      <w:pPr>
        <w:spacing w:line="360" w:lineRule="auto"/>
        <w:ind w:hanging="480"/>
        <w:rPr>
          <w:sz w:val="23"/>
          <w:szCs w:val="23"/>
        </w:rPr>
      </w:pPr>
    </w:p>
    <w:p w14:paraId="6EDD5135" w14:textId="77777777" w:rsidR="007524E6" w:rsidRPr="00786A24" w:rsidRDefault="007524E6" w:rsidP="007524E6">
      <w:pPr>
        <w:spacing w:line="360" w:lineRule="auto"/>
        <w:ind w:hanging="480"/>
        <w:rPr>
          <w:sz w:val="23"/>
          <w:szCs w:val="23"/>
        </w:rPr>
      </w:pPr>
      <w:r w:rsidRPr="00786A24">
        <w:rPr>
          <w:sz w:val="23"/>
          <w:szCs w:val="23"/>
        </w:rPr>
        <w:t>Gilliam, Franklin D Jr. “The `Welfare Queen’ Experiment,” Harvard University, Nieman Foundation (1999).</w:t>
      </w:r>
    </w:p>
    <w:p w14:paraId="3B814608" w14:textId="77777777" w:rsidR="007524E6" w:rsidRPr="00786A24" w:rsidRDefault="007524E6" w:rsidP="007524E6">
      <w:pPr>
        <w:spacing w:line="360" w:lineRule="auto"/>
        <w:ind w:hanging="480"/>
        <w:rPr>
          <w:sz w:val="23"/>
          <w:szCs w:val="23"/>
        </w:rPr>
      </w:pPr>
    </w:p>
    <w:p w14:paraId="69686A69" w14:textId="77777777" w:rsidR="007524E6" w:rsidRPr="00786A24" w:rsidRDefault="007524E6" w:rsidP="007524E6">
      <w:pPr>
        <w:spacing w:line="360" w:lineRule="auto"/>
        <w:ind w:hanging="480"/>
        <w:rPr>
          <w:sz w:val="23"/>
          <w:szCs w:val="23"/>
        </w:rPr>
      </w:pPr>
      <w:proofErr w:type="spellStart"/>
      <w:r w:rsidRPr="00786A24">
        <w:rPr>
          <w:sz w:val="23"/>
          <w:szCs w:val="23"/>
        </w:rPr>
        <w:t>Gilens</w:t>
      </w:r>
      <w:proofErr w:type="spellEnd"/>
      <w:r w:rsidRPr="00786A24">
        <w:rPr>
          <w:sz w:val="23"/>
          <w:szCs w:val="23"/>
        </w:rPr>
        <w:t xml:space="preserve">, Martin. “‘Race Coding’ and White Opposition to Welfare.” </w:t>
      </w:r>
      <w:r w:rsidRPr="00786A24">
        <w:rPr>
          <w:i/>
          <w:iCs/>
          <w:sz w:val="23"/>
          <w:szCs w:val="23"/>
        </w:rPr>
        <w:t>American Political Science Review</w:t>
      </w:r>
      <w:r w:rsidRPr="00786A24">
        <w:rPr>
          <w:sz w:val="23"/>
          <w:szCs w:val="23"/>
        </w:rPr>
        <w:t xml:space="preserve"> 90, no. 3 (September 1996): 593–604. </w:t>
      </w:r>
      <w:hyperlink r:id="rId48">
        <w:r w:rsidRPr="00786A24">
          <w:rPr>
            <w:rStyle w:val="Hyperlink"/>
            <w:rFonts w:eastAsiaTheme="majorEastAsia"/>
            <w:sz w:val="23"/>
            <w:szCs w:val="23"/>
          </w:rPr>
          <w:t>https://doi.org/10.2307/2082611</w:t>
        </w:r>
      </w:hyperlink>
      <w:r w:rsidRPr="00786A24">
        <w:rPr>
          <w:sz w:val="23"/>
          <w:szCs w:val="23"/>
        </w:rPr>
        <w:t>.</w:t>
      </w:r>
    </w:p>
    <w:p w14:paraId="65C71F40" w14:textId="77777777" w:rsidR="007524E6" w:rsidRPr="00786A24" w:rsidRDefault="007524E6" w:rsidP="007524E6">
      <w:pPr>
        <w:spacing w:line="360" w:lineRule="auto"/>
        <w:ind w:hanging="480"/>
        <w:rPr>
          <w:sz w:val="23"/>
          <w:szCs w:val="23"/>
        </w:rPr>
      </w:pPr>
    </w:p>
    <w:p w14:paraId="2306C3AD" w14:textId="77777777" w:rsidR="007524E6" w:rsidRPr="00786A24" w:rsidRDefault="007524E6" w:rsidP="007524E6">
      <w:pPr>
        <w:spacing w:line="360" w:lineRule="auto"/>
        <w:ind w:hanging="480"/>
        <w:rPr>
          <w:sz w:val="23"/>
          <w:szCs w:val="23"/>
        </w:rPr>
      </w:pPr>
      <w:r w:rsidRPr="00786A24">
        <w:rPr>
          <w:sz w:val="23"/>
          <w:szCs w:val="23"/>
        </w:rPr>
        <w:t xml:space="preserve">Grumbach, Jacob M. “Laboratories of Democratic Backsliding.” </w:t>
      </w:r>
      <w:r w:rsidRPr="00786A24">
        <w:rPr>
          <w:i/>
          <w:iCs/>
          <w:sz w:val="23"/>
          <w:szCs w:val="23"/>
        </w:rPr>
        <w:t>American Political Science Review</w:t>
      </w:r>
      <w:r w:rsidRPr="00786A24">
        <w:rPr>
          <w:sz w:val="23"/>
          <w:szCs w:val="23"/>
        </w:rPr>
        <w:t xml:space="preserve">, December 1, 2022, 1–18. </w:t>
      </w:r>
      <w:hyperlink r:id="rId49">
        <w:r w:rsidRPr="00786A24">
          <w:rPr>
            <w:rStyle w:val="Hyperlink"/>
            <w:rFonts w:eastAsiaTheme="majorEastAsia"/>
            <w:sz w:val="23"/>
            <w:szCs w:val="23"/>
          </w:rPr>
          <w:t>https://doi.org/10.1017/S0003055422000934</w:t>
        </w:r>
      </w:hyperlink>
      <w:r w:rsidRPr="00786A24">
        <w:rPr>
          <w:sz w:val="23"/>
          <w:szCs w:val="23"/>
        </w:rPr>
        <w:t>.</w:t>
      </w:r>
    </w:p>
    <w:p w14:paraId="558D8D20" w14:textId="77777777" w:rsidR="007524E6" w:rsidRPr="00786A24" w:rsidRDefault="007524E6" w:rsidP="007524E6">
      <w:pPr>
        <w:spacing w:line="360" w:lineRule="auto"/>
        <w:ind w:hanging="480"/>
        <w:rPr>
          <w:sz w:val="23"/>
          <w:szCs w:val="23"/>
        </w:rPr>
      </w:pPr>
    </w:p>
    <w:p w14:paraId="326BF731" w14:textId="77777777" w:rsidR="007524E6" w:rsidRPr="00786A24" w:rsidRDefault="007524E6" w:rsidP="007524E6">
      <w:pPr>
        <w:spacing w:line="360" w:lineRule="auto"/>
        <w:ind w:hanging="480"/>
        <w:rPr>
          <w:sz w:val="23"/>
          <w:szCs w:val="23"/>
        </w:rPr>
      </w:pPr>
      <w:r w:rsidRPr="00786A24">
        <w:rPr>
          <w:sz w:val="23"/>
          <w:szCs w:val="23"/>
        </w:rPr>
        <w:t xml:space="preserve">Grove, Natalie J., and Anthony B. </w:t>
      </w:r>
      <w:proofErr w:type="spellStart"/>
      <w:r w:rsidRPr="00786A24">
        <w:rPr>
          <w:sz w:val="23"/>
          <w:szCs w:val="23"/>
        </w:rPr>
        <w:t>Zwi</w:t>
      </w:r>
      <w:proofErr w:type="spellEnd"/>
      <w:r w:rsidRPr="00786A24">
        <w:rPr>
          <w:sz w:val="23"/>
          <w:szCs w:val="23"/>
        </w:rPr>
        <w:t xml:space="preserve">. “Our Health and Theirs: Forced Migration, Othering, and Public Health.” </w:t>
      </w:r>
      <w:r w:rsidRPr="00786A24">
        <w:rPr>
          <w:i/>
          <w:iCs/>
          <w:sz w:val="23"/>
          <w:szCs w:val="23"/>
        </w:rPr>
        <w:t>Social Science &amp; Medicine</w:t>
      </w:r>
      <w:r w:rsidRPr="00786A24">
        <w:rPr>
          <w:sz w:val="23"/>
          <w:szCs w:val="23"/>
        </w:rPr>
        <w:t xml:space="preserve"> 62, no. 8 (April 2006): 1931–42. </w:t>
      </w:r>
      <w:hyperlink r:id="rId50">
        <w:r w:rsidRPr="00786A24">
          <w:rPr>
            <w:rStyle w:val="Hyperlink"/>
            <w:rFonts w:eastAsiaTheme="majorEastAsia"/>
            <w:sz w:val="23"/>
            <w:szCs w:val="23"/>
          </w:rPr>
          <w:t>https://doi.org/10.1016/j.socscimed.2005.08.061</w:t>
        </w:r>
      </w:hyperlink>
      <w:r w:rsidRPr="00786A24">
        <w:rPr>
          <w:sz w:val="23"/>
          <w:szCs w:val="23"/>
        </w:rPr>
        <w:t>.</w:t>
      </w:r>
    </w:p>
    <w:p w14:paraId="72F6E239" w14:textId="77777777" w:rsidR="007524E6" w:rsidRPr="00786A24" w:rsidRDefault="007524E6" w:rsidP="007524E6">
      <w:pPr>
        <w:spacing w:line="360" w:lineRule="auto"/>
        <w:ind w:hanging="480"/>
        <w:rPr>
          <w:sz w:val="23"/>
          <w:szCs w:val="23"/>
        </w:rPr>
      </w:pPr>
    </w:p>
    <w:p w14:paraId="0451933B" w14:textId="77777777" w:rsidR="007524E6" w:rsidRPr="00786A24" w:rsidRDefault="007524E6" w:rsidP="007524E6">
      <w:pPr>
        <w:spacing w:line="360" w:lineRule="auto"/>
        <w:ind w:hanging="480"/>
        <w:rPr>
          <w:sz w:val="23"/>
          <w:szCs w:val="23"/>
        </w:rPr>
      </w:pPr>
      <w:r w:rsidRPr="00786A24">
        <w:rPr>
          <w:sz w:val="23"/>
          <w:szCs w:val="23"/>
        </w:rPr>
        <w:t xml:space="preserve">Hinton, Elizabeth (2021). </w:t>
      </w:r>
      <w:r w:rsidRPr="00786A24">
        <w:rPr>
          <w:i/>
          <w:iCs/>
          <w:sz w:val="23"/>
          <w:szCs w:val="23"/>
        </w:rPr>
        <w:t xml:space="preserve">America on fire: The untold history of police violence and Black Rebel- </w:t>
      </w:r>
    </w:p>
    <w:p w14:paraId="4889EEE9" w14:textId="77777777" w:rsidR="007524E6" w:rsidRPr="00786A24" w:rsidRDefault="007524E6" w:rsidP="007524E6">
      <w:pPr>
        <w:spacing w:line="360" w:lineRule="auto"/>
        <w:rPr>
          <w:sz w:val="23"/>
          <w:szCs w:val="23"/>
        </w:rPr>
      </w:pPr>
      <w:r w:rsidRPr="00786A24">
        <w:rPr>
          <w:i/>
          <w:iCs/>
          <w:sz w:val="23"/>
          <w:szCs w:val="23"/>
        </w:rPr>
        <w:t>lion since the 1960s</w:t>
      </w:r>
      <w:r w:rsidRPr="00786A24">
        <w:rPr>
          <w:sz w:val="23"/>
          <w:szCs w:val="23"/>
        </w:rPr>
        <w:t>. Liveright Publishing.</w:t>
      </w:r>
    </w:p>
    <w:p w14:paraId="6E9F4E7D" w14:textId="77777777" w:rsidR="007524E6" w:rsidRPr="00786A24" w:rsidRDefault="007524E6" w:rsidP="007524E6">
      <w:pPr>
        <w:spacing w:line="360" w:lineRule="auto"/>
        <w:ind w:hanging="480"/>
        <w:rPr>
          <w:sz w:val="23"/>
          <w:szCs w:val="23"/>
        </w:rPr>
      </w:pPr>
    </w:p>
    <w:p w14:paraId="7092F630" w14:textId="77777777" w:rsidR="007524E6" w:rsidRPr="00786A24" w:rsidRDefault="007524E6" w:rsidP="007524E6">
      <w:pPr>
        <w:spacing w:line="360" w:lineRule="auto"/>
        <w:ind w:hanging="480"/>
        <w:rPr>
          <w:sz w:val="23"/>
          <w:szCs w:val="23"/>
        </w:rPr>
      </w:pPr>
      <w:r w:rsidRPr="00786A24">
        <w:rPr>
          <w:sz w:val="23"/>
          <w:szCs w:val="23"/>
        </w:rPr>
        <w:t xml:space="preserve">Hurwitz, Jon, and Mark </w:t>
      </w:r>
      <w:proofErr w:type="spellStart"/>
      <w:r w:rsidRPr="00786A24">
        <w:rPr>
          <w:sz w:val="23"/>
          <w:szCs w:val="23"/>
        </w:rPr>
        <w:t>Peffley</w:t>
      </w:r>
      <w:proofErr w:type="spellEnd"/>
      <w:r w:rsidRPr="00786A24">
        <w:rPr>
          <w:sz w:val="23"/>
          <w:szCs w:val="23"/>
        </w:rPr>
        <w:t xml:space="preserve">. “Playing the Race Card in the Post-Willie Horton Era.” </w:t>
      </w:r>
      <w:r w:rsidRPr="00786A24">
        <w:rPr>
          <w:i/>
          <w:iCs/>
          <w:sz w:val="23"/>
          <w:szCs w:val="23"/>
        </w:rPr>
        <w:t>Public Opinion Quarterly</w:t>
      </w:r>
      <w:r w:rsidRPr="00786A24">
        <w:rPr>
          <w:sz w:val="23"/>
          <w:szCs w:val="23"/>
        </w:rPr>
        <w:t xml:space="preserve"> 69, no 1 (Spring 2005): 99-112. </w:t>
      </w:r>
    </w:p>
    <w:p w14:paraId="50FB751D" w14:textId="77777777" w:rsidR="007524E6" w:rsidRPr="00786A24" w:rsidRDefault="007524E6" w:rsidP="007524E6">
      <w:pPr>
        <w:spacing w:line="360" w:lineRule="auto"/>
        <w:ind w:hanging="480"/>
        <w:rPr>
          <w:sz w:val="23"/>
          <w:szCs w:val="23"/>
        </w:rPr>
      </w:pPr>
    </w:p>
    <w:p w14:paraId="59C8C61B" w14:textId="77777777" w:rsidR="007524E6" w:rsidRPr="00786A24" w:rsidRDefault="007524E6" w:rsidP="007524E6">
      <w:pPr>
        <w:spacing w:line="360" w:lineRule="auto"/>
        <w:ind w:hanging="480"/>
        <w:rPr>
          <w:sz w:val="23"/>
          <w:szCs w:val="23"/>
        </w:rPr>
      </w:pPr>
      <w:r w:rsidRPr="00786A24">
        <w:rPr>
          <w:sz w:val="23"/>
          <w:szCs w:val="23"/>
        </w:rPr>
        <w:t>Israel-</w:t>
      </w:r>
      <w:proofErr w:type="spellStart"/>
      <w:r w:rsidRPr="00786A24">
        <w:rPr>
          <w:sz w:val="23"/>
          <w:szCs w:val="23"/>
        </w:rPr>
        <w:t>Trummel</w:t>
      </w:r>
      <w:proofErr w:type="spellEnd"/>
      <w:r w:rsidRPr="00786A24">
        <w:rPr>
          <w:sz w:val="23"/>
          <w:szCs w:val="23"/>
        </w:rPr>
        <w:t xml:space="preserve">, Mackenzie, and Shea Streeter. “Police Abuse or Just Deserts?” </w:t>
      </w:r>
      <w:r w:rsidRPr="00786A24">
        <w:rPr>
          <w:i/>
          <w:iCs/>
          <w:sz w:val="23"/>
          <w:szCs w:val="23"/>
        </w:rPr>
        <w:t>Public Opinion Quarterly</w:t>
      </w:r>
      <w:r w:rsidRPr="00786A24">
        <w:rPr>
          <w:sz w:val="23"/>
          <w:szCs w:val="23"/>
        </w:rPr>
        <w:t xml:space="preserve"> 86, no. S1 (August 16, 2022): 499–522. </w:t>
      </w:r>
      <w:hyperlink r:id="rId51">
        <w:r w:rsidRPr="00786A24">
          <w:rPr>
            <w:rStyle w:val="Hyperlink"/>
            <w:rFonts w:eastAsiaTheme="majorEastAsia"/>
            <w:sz w:val="23"/>
            <w:szCs w:val="23"/>
          </w:rPr>
          <w:t>https://doi.org/10.1093/poq/nfac017</w:t>
        </w:r>
      </w:hyperlink>
      <w:r w:rsidRPr="00786A24">
        <w:rPr>
          <w:sz w:val="23"/>
          <w:szCs w:val="23"/>
        </w:rPr>
        <w:t>.</w:t>
      </w:r>
    </w:p>
    <w:p w14:paraId="0664DB38" w14:textId="77777777" w:rsidR="007524E6" w:rsidRPr="00786A24" w:rsidRDefault="007524E6" w:rsidP="007524E6">
      <w:pPr>
        <w:spacing w:line="360" w:lineRule="auto"/>
        <w:ind w:hanging="480"/>
        <w:rPr>
          <w:sz w:val="23"/>
          <w:szCs w:val="23"/>
        </w:rPr>
      </w:pPr>
    </w:p>
    <w:p w14:paraId="663AABEA" w14:textId="77777777" w:rsidR="007524E6" w:rsidRPr="00786A24" w:rsidRDefault="007524E6" w:rsidP="007524E6">
      <w:pPr>
        <w:spacing w:line="360" w:lineRule="auto"/>
        <w:ind w:hanging="480"/>
        <w:rPr>
          <w:sz w:val="23"/>
          <w:szCs w:val="23"/>
        </w:rPr>
      </w:pPr>
      <w:r w:rsidRPr="00786A24">
        <w:rPr>
          <w:sz w:val="23"/>
          <w:szCs w:val="23"/>
        </w:rPr>
        <w:t xml:space="preserve">Jensen, Carsten, and Michael Bang Petersen. “The Deservingness Heuristic and the Politics of Health Care: DESERVINGNESS AND HEALTH CARE.” </w:t>
      </w:r>
      <w:r w:rsidRPr="00786A24">
        <w:rPr>
          <w:i/>
          <w:iCs/>
          <w:sz w:val="23"/>
          <w:szCs w:val="23"/>
        </w:rPr>
        <w:t>American Journal of Political Science</w:t>
      </w:r>
      <w:r w:rsidRPr="00786A24">
        <w:rPr>
          <w:sz w:val="23"/>
          <w:szCs w:val="23"/>
        </w:rPr>
        <w:t xml:space="preserve"> 61, no. 1 (January 2017): 68–83. </w:t>
      </w:r>
      <w:hyperlink r:id="rId52">
        <w:r w:rsidRPr="00786A24">
          <w:rPr>
            <w:rStyle w:val="Hyperlink"/>
            <w:rFonts w:eastAsiaTheme="majorEastAsia"/>
            <w:sz w:val="23"/>
            <w:szCs w:val="23"/>
          </w:rPr>
          <w:t>https://doi.org/10.1111/ajps.12251</w:t>
        </w:r>
      </w:hyperlink>
      <w:r w:rsidRPr="00786A24">
        <w:rPr>
          <w:sz w:val="23"/>
          <w:szCs w:val="23"/>
        </w:rPr>
        <w:t>.</w:t>
      </w:r>
    </w:p>
    <w:p w14:paraId="73E20F2A" w14:textId="77777777" w:rsidR="007524E6" w:rsidRPr="00786A24" w:rsidRDefault="007524E6" w:rsidP="007524E6">
      <w:pPr>
        <w:spacing w:line="360" w:lineRule="auto"/>
        <w:ind w:hanging="480"/>
        <w:rPr>
          <w:sz w:val="23"/>
          <w:szCs w:val="23"/>
        </w:rPr>
      </w:pPr>
    </w:p>
    <w:p w14:paraId="426CB252" w14:textId="77777777" w:rsidR="007524E6" w:rsidRPr="00786A24" w:rsidRDefault="007524E6" w:rsidP="007524E6">
      <w:pPr>
        <w:spacing w:line="360" w:lineRule="auto"/>
        <w:ind w:hanging="480"/>
        <w:rPr>
          <w:sz w:val="23"/>
          <w:szCs w:val="23"/>
        </w:rPr>
      </w:pPr>
      <w:r w:rsidRPr="00786A24">
        <w:rPr>
          <w:sz w:val="23"/>
          <w:szCs w:val="23"/>
        </w:rPr>
        <w:t xml:space="preserve">Keiser, Lael R., and Susan M. Miller. “Does Administrative Burden Influence Public Support for Government Programs? Evidence from a Survey Experiment.” </w:t>
      </w:r>
      <w:r w:rsidRPr="00786A24">
        <w:rPr>
          <w:i/>
          <w:iCs/>
          <w:sz w:val="23"/>
          <w:szCs w:val="23"/>
        </w:rPr>
        <w:t>Public Administration Review</w:t>
      </w:r>
      <w:r w:rsidRPr="00786A24">
        <w:rPr>
          <w:sz w:val="23"/>
          <w:szCs w:val="23"/>
        </w:rPr>
        <w:t xml:space="preserve"> 80, no. 1 (January 2020): 137–50. </w:t>
      </w:r>
      <w:hyperlink r:id="rId53">
        <w:r w:rsidRPr="00786A24">
          <w:rPr>
            <w:rStyle w:val="Hyperlink"/>
            <w:rFonts w:eastAsiaTheme="majorEastAsia"/>
            <w:sz w:val="23"/>
            <w:szCs w:val="23"/>
          </w:rPr>
          <w:t>https://doi.org/10.1111/puar.13133</w:t>
        </w:r>
      </w:hyperlink>
      <w:r w:rsidRPr="00786A24">
        <w:rPr>
          <w:sz w:val="23"/>
          <w:szCs w:val="23"/>
        </w:rPr>
        <w:t>.</w:t>
      </w:r>
    </w:p>
    <w:p w14:paraId="5F01DB90" w14:textId="77777777" w:rsidR="007524E6" w:rsidRPr="00786A24" w:rsidRDefault="007524E6" w:rsidP="007524E6">
      <w:pPr>
        <w:spacing w:line="360" w:lineRule="auto"/>
        <w:ind w:hanging="480"/>
        <w:rPr>
          <w:sz w:val="23"/>
          <w:szCs w:val="23"/>
        </w:rPr>
      </w:pPr>
    </w:p>
    <w:p w14:paraId="6551131B" w14:textId="77777777" w:rsidR="007524E6" w:rsidRPr="00786A24" w:rsidRDefault="007524E6" w:rsidP="007524E6">
      <w:pPr>
        <w:spacing w:line="360" w:lineRule="auto"/>
        <w:ind w:hanging="480"/>
        <w:rPr>
          <w:sz w:val="23"/>
          <w:szCs w:val="23"/>
        </w:rPr>
      </w:pPr>
      <w:proofErr w:type="spellStart"/>
      <w:r w:rsidRPr="00786A24">
        <w:rPr>
          <w:sz w:val="23"/>
          <w:szCs w:val="23"/>
        </w:rPr>
        <w:t>Kleck</w:t>
      </w:r>
      <w:proofErr w:type="spellEnd"/>
      <w:r w:rsidRPr="00786A24">
        <w:rPr>
          <w:sz w:val="23"/>
          <w:szCs w:val="23"/>
        </w:rPr>
        <w:t xml:space="preserve">, G., &amp; Jackson, D. B. (2017). Does Crime Cause Punitiveness? Crime &amp; Delinquency, 63(12), 1572-1599. </w:t>
      </w:r>
      <w:hyperlink r:id="rId54" w:history="1">
        <w:r w:rsidRPr="00786A24">
          <w:rPr>
            <w:rStyle w:val="Hyperlink"/>
            <w:sz w:val="23"/>
            <w:szCs w:val="23"/>
          </w:rPr>
          <w:t>https://doi.org/10.1177/0011128716638503</w:t>
        </w:r>
      </w:hyperlink>
    </w:p>
    <w:p w14:paraId="7256CCF2" w14:textId="77777777" w:rsidR="007524E6" w:rsidRPr="00786A24" w:rsidRDefault="007524E6" w:rsidP="007524E6">
      <w:pPr>
        <w:spacing w:line="360" w:lineRule="auto"/>
        <w:ind w:hanging="480"/>
        <w:rPr>
          <w:sz w:val="23"/>
          <w:szCs w:val="23"/>
        </w:rPr>
      </w:pPr>
    </w:p>
    <w:p w14:paraId="07014D77" w14:textId="77777777" w:rsidR="007524E6" w:rsidRPr="00786A24" w:rsidRDefault="007524E6" w:rsidP="007524E6">
      <w:pPr>
        <w:spacing w:line="360" w:lineRule="auto"/>
        <w:ind w:hanging="480"/>
        <w:rPr>
          <w:sz w:val="23"/>
          <w:szCs w:val="23"/>
        </w:rPr>
      </w:pPr>
      <w:r w:rsidRPr="00786A24">
        <w:rPr>
          <w:sz w:val="23"/>
          <w:szCs w:val="23"/>
        </w:rPr>
        <w:t xml:space="preserve">Kreitzer, Rebecca </w:t>
      </w:r>
      <w:proofErr w:type="spellStart"/>
      <w:r w:rsidRPr="00786A24">
        <w:rPr>
          <w:sz w:val="23"/>
          <w:szCs w:val="23"/>
        </w:rPr>
        <w:t>J.and</w:t>
      </w:r>
      <w:proofErr w:type="spellEnd"/>
      <w:r w:rsidRPr="00786A24">
        <w:rPr>
          <w:sz w:val="23"/>
          <w:szCs w:val="23"/>
        </w:rPr>
        <w:t xml:space="preserve"> Candis Watts Smith. “The Dynamics of Racial Resentment across the 50 US States.” Perspectives on Politics, 18, no. 3 (2019).</w:t>
      </w:r>
    </w:p>
    <w:p w14:paraId="580570C5" w14:textId="77777777" w:rsidR="007524E6" w:rsidRPr="00786A24" w:rsidRDefault="007524E6" w:rsidP="007524E6">
      <w:pPr>
        <w:spacing w:line="360" w:lineRule="auto"/>
        <w:ind w:hanging="480"/>
        <w:rPr>
          <w:sz w:val="23"/>
          <w:szCs w:val="23"/>
        </w:rPr>
      </w:pPr>
    </w:p>
    <w:p w14:paraId="63C42BA7" w14:textId="77777777" w:rsidR="007524E6" w:rsidRPr="00786A24" w:rsidRDefault="007524E6" w:rsidP="007524E6">
      <w:pPr>
        <w:spacing w:line="360" w:lineRule="auto"/>
        <w:ind w:hanging="480"/>
        <w:rPr>
          <w:sz w:val="23"/>
          <w:szCs w:val="23"/>
        </w:rPr>
      </w:pPr>
      <w:r w:rsidRPr="00786A24">
        <w:rPr>
          <w:sz w:val="23"/>
          <w:szCs w:val="23"/>
        </w:rPr>
        <w:t xml:space="preserve">Kreitzer, Rebecca J., Elizabeth A. Maltby, and Candis Watts Smith. “Fifty Shades of Deservingness: An Analysis of State-Level Variation and Effect of Social Constructions on Policy Outcomes.” </w:t>
      </w:r>
      <w:r w:rsidRPr="00786A24">
        <w:rPr>
          <w:i/>
          <w:iCs/>
          <w:sz w:val="23"/>
          <w:szCs w:val="23"/>
        </w:rPr>
        <w:t>Journal of Public Policy</w:t>
      </w:r>
      <w:r w:rsidRPr="00786A24">
        <w:rPr>
          <w:sz w:val="23"/>
          <w:szCs w:val="23"/>
        </w:rPr>
        <w:t xml:space="preserve"> 42, no. 3 (September 2022): 436–64. </w:t>
      </w:r>
      <w:hyperlink r:id="rId55">
        <w:r w:rsidRPr="00786A24">
          <w:rPr>
            <w:rStyle w:val="Hyperlink"/>
            <w:rFonts w:eastAsiaTheme="majorEastAsia"/>
            <w:sz w:val="23"/>
            <w:szCs w:val="23"/>
          </w:rPr>
          <w:t>https://doi.org/10.1017/S0143814X21000222</w:t>
        </w:r>
      </w:hyperlink>
      <w:r w:rsidRPr="00786A24">
        <w:rPr>
          <w:sz w:val="23"/>
          <w:szCs w:val="23"/>
        </w:rPr>
        <w:t>.</w:t>
      </w:r>
    </w:p>
    <w:p w14:paraId="77CB89B2" w14:textId="77777777" w:rsidR="007524E6" w:rsidRPr="00786A24" w:rsidRDefault="007524E6" w:rsidP="007524E6">
      <w:pPr>
        <w:spacing w:line="360" w:lineRule="auto"/>
        <w:ind w:hanging="480"/>
        <w:rPr>
          <w:sz w:val="23"/>
          <w:szCs w:val="23"/>
        </w:rPr>
      </w:pPr>
    </w:p>
    <w:p w14:paraId="566E5E4F" w14:textId="77777777" w:rsidR="007524E6" w:rsidRPr="00786A24" w:rsidRDefault="007524E6" w:rsidP="007524E6">
      <w:pPr>
        <w:spacing w:line="360" w:lineRule="auto"/>
        <w:ind w:hanging="480"/>
        <w:rPr>
          <w:sz w:val="23"/>
          <w:szCs w:val="23"/>
        </w:rPr>
      </w:pPr>
      <w:r w:rsidRPr="00786A24">
        <w:rPr>
          <w:sz w:val="23"/>
          <w:szCs w:val="23"/>
        </w:rPr>
        <w:t xml:space="preserve">Kreitzer, Rebecca J., and Candis Watts Smith. “Reproducible and Replicable: An Empirical Assessment of the Social Construction of Politically Relevant Target Groups.” </w:t>
      </w:r>
      <w:r w:rsidRPr="00786A24">
        <w:rPr>
          <w:i/>
          <w:iCs/>
          <w:sz w:val="23"/>
          <w:szCs w:val="23"/>
        </w:rPr>
        <w:t>PS: Political Science &amp; Politics</w:t>
      </w:r>
      <w:r w:rsidRPr="00786A24">
        <w:rPr>
          <w:sz w:val="23"/>
          <w:szCs w:val="23"/>
        </w:rPr>
        <w:t xml:space="preserve"> 51, no. 4 (October 2018): 768–74. </w:t>
      </w:r>
      <w:hyperlink r:id="rId56">
        <w:r w:rsidRPr="00786A24">
          <w:rPr>
            <w:rStyle w:val="Hyperlink"/>
            <w:rFonts w:eastAsiaTheme="majorEastAsia"/>
            <w:sz w:val="23"/>
            <w:szCs w:val="23"/>
          </w:rPr>
          <w:t>https://doi.org/10.1017/S1049096518000987</w:t>
        </w:r>
      </w:hyperlink>
      <w:r w:rsidRPr="00786A24">
        <w:rPr>
          <w:sz w:val="23"/>
          <w:szCs w:val="23"/>
        </w:rPr>
        <w:t>.</w:t>
      </w:r>
    </w:p>
    <w:p w14:paraId="6324E513" w14:textId="77777777" w:rsidR="007524E6" w:rsidRPr="00786A24" w:rsidRDefault="007524E6" w:rsidP="007524E6">
      <w:pPr>
        <w:spacing w:line="360" w:lineRule="auto"/>
        <w:rPr>
          <w:sz w:val="23"/>
          <w:szCs w:val="23"/>
        </w:rPr>
      </w:pPr>
    </w:p>
    <w:p w14:paraId="1974E4B8" w14:textId="77777777" w:rsidR="007524E6" w:rsidRPr="00786A24" w:rsidRDefault="007524E6" w:rsidP="007524E6">
      <w:pPr>
        <w:spacing w:line="360" w:lineRule="auto"/>
        <w:ind w:hanging="480"/>
        <w:rPr>
          <w:sz w:val="23"/>
          <w:szCs w:val="23"/>
        </w:rPr>
      </w:pPr>
      <w:r w:rsidRPr="00786A24">
        <w:rPr>
          <w:sz w:val="23"/>
          <w:szCs w:val="23"/>
        </w:rPr>
        <w:t xml:space="preserve">Lee, Porter, and Comfort, “Consequences of Family Member Incarceration.” </w:t>
      </w:r>
      <w:r w:rsidRPr="00786A24">
        <w:rPr>
          <w:i/>
          <w:iCs/>
          <w:sz w:val="23"/>
          <w:szCs w:val="23"/>
        </w:rPr>
        <w:t>ANNALS</w:t>
      </w:r>
      <w:r w:rsidRPr="00786A24">
        <w:rPr>
          <w:sz w:val="23"/>
          <w:szCs w:val="23"/>
        </w:rPr>
        <w:t xml:space="preserve"> 651, 1 (January 2014): 10.1177/0002716213502920</w:t>
      </w:r>
    </w:p>
    <w:p w14:paraId="34772004" w14:textId="77777777" w:rsidR="007524E6" w:rsidRPr="00786A24" w:rsidRDefault="007524E6" w:rsidP="007524E6">
      <w:pPr>
        <w:spacing w:line="360" w:lineRule="auto"/>
        <w:ind w:hanging="480"/>
        <w:rPr>
          <w:sz w:val="23"/>
          <w:szCs w:val="23"/>
        </w:rPr>
      </w:pPr>
    </w:p>
    <w:p w14:paraId="591403A2" w14:textId="77777777" w:rsidR="007524E6" w:rsidRPr="00786A24" w:rsidRDefault="007524E6" w:rsidP="007524E6">
      <w:pPr>
        <w:spacing w:line="360" w:lineRule="auto"/>
        <w:ind w:hanging="480"/>
        <w:rPr>
          <w:sz w:val="23"/>
          <w:szCs w:val="23"/>
        </w:rPr>
      </w:pPr>
      <w:r w:rsidRPr="00786A24">
        <w:rPr>
          <w:sz w:val="23"/>
          <w:szCs w:val="23"/>
        </w:rPr>
        <w:t xml:space="preserve">Lerman, Amy E., and Jessie Harney. “Feedback Effects and the Criminal Justice Bureaucracy: Officer Attitudes and the Future of Correctional Reform.” </w:t>
      </w:r>
      <w:r w:rsidRPr="00786A24">
        <w:rPr>
          <w:i/>
          <w:iCs/>
          <w:sz w:val="23"/>
          <w:szCs w:val="23"/>
        </w:rPr>
        <w:t>The ANNALS of the American Academy of Political and Social Science</w:t>
      </w:r>
      <w:r w:rsidRPr="00786A24">
        <w:rPr>
          <w:sz w:val="23"/>
          <w:szCs w:val="23"/>
        </w:rPr>
        <w:t xml:space="preserve"> 685, no. 1 (September 2019): 227–49. </w:t>
      </w:r>
      <w:hyperlink r:id="rId57">
        <w:r w:rsidRPr="00786A24">
          <w:rPr>
            <w:rStyle w:val="Hyperlink"/>
            <w:rFonts w:eastAsiaTheme="majorEastAsia"/>
            <w:sz w:val="23"/>
            <w:szCs w:val="23"/>
          </w:rPr>
          <w:t>https://doi.org/10.1177/0002716219869907</w:t>
        </w:r>
      </w:hyperlink>
      <w:r w:rsidRPr="00786A24">
        <w:rPr>
          <w:sz w:val="23"/>
          <w:szCs w:val="23"/>
        </w:rPr>
        <w:t>.</w:t>
      </w:r>
    </w:p>
    <w:p w14:paraId="6FDC30F2" w14:textId="77777777" w:rsidR="007524E6" w:rsidRPr="00786A24" w:rsidRDefault="007524E6" w:rsidP="007524E6">
      <w:pPr>
        <w:spacing w:line="360" w:lineRule="auto"/>
        <w:rPr>
          <w:sz w:val="23"/>
          <w:szCs w:val="23"/>
        </w:rPr>
      </w:pPr>
    </w:p>
    <w:p w14:paraId="6D4E9E9C" w14:textId="77777777" w:rsidR="007524E6" w:rsidRPr="00786A24" w:rsidRDefault="007524E6" w:rsidP="007524E6">
      <w:pPr>
        <w:spacing w:line="360" w:lineRule="auto"/>
        <w:ind w:hanging="480"/>
        <w:rPr>
          <w:sz w:val="23"/>
          <w:szCs w:val="23"/>
        </w:rPr>
      </w:pPr>
      <w:r w:rsidRPr="00786A24">
        <w:rPr>
          <w:sz w:val="23"/>
          <w:szCs w:val="23"/>
        </w:rPr>
        <w:t xml:space="preserve">Marrow, H. B. “Deserving to a point: Unauthorized immigrants in San Francisco’s universal access healthcare model.” </w:t>
      </w:r>
      <w:r w:rsidRPr="00786A24">
        <w:rPr>
          <w:i/>
          <w:iCs/>
          <w:sz w:val="23"/>
          <w:szCs w:val="23"/>
        </w:rPr>
        <w:t>Social Science &amp; Medicine</w:t>
      </w:r>
      <w:r w:rsidRPr="00786A24">
        <w:rPr>
          <w:sz w:val="23"/>
          <w:szCs w:val="23"/>
        </w:rPr>
        <w:t xml:space="preserve">, 74(6), (2012). </w:t>
      </w:r>
    </w:p>
    <w:p w14:paraId="7C27B9AF" w14:textId="77777777" w:rsidR="007524E6" w:rsidRPr="00786A24" w:rsidRDefault="007524E6" w:rsidP="007524E6">
      <w:pPr>
        <w:spacing w:line="360" w:lineRule="auto"/>
        <w:ind w:hanging="480"/>
        <w:rPr>
          <w:sz w:val="23"/>
          <w:szCs w:val="23"/>
        </w:rPr>
      </w:pPr>
    </w:p>
    <w:p w14:paraId="1B0B67E3" w14:textId="77777777" w:rsidR="007524E6" w:rsidRPr="00786A24" w:rsidRDefault="007524E6" w:rsidP="007524E6">
      <w:pPr>
        <w:spacing w:line="360" w:lineRule="auto"/>
        <w:ind w:hanging="480"/>
        <w:rPr>
          <w:sz w:val="23"/>
          <w:szCs w:val="23"/>
        </w:rPr>
      </w:pPr>
      <w:r w:rsidRPr="00786A24">
        <w:rPr>
          <w:sz w:val="23"/>
          <w:szCs w:val="23"/>
        </w:rPr>
        <w:t xml:space="preserve">Matsubayashi, Tetsuya, and Rene R. Rocha. “Racial Diversity and Public Policy in the States.” </w:t>
      </w:r>
      <w:r w:rsidRPr="00786A24">
        <w:rPr>
          <w:i/>
          <w:iCs/>
          <w:sz w:val="23"/>
          <w:szCs w:val="23"/>
        </w:rPr>
        <w:t>Political Research Quarterly</w:t>
      </w:r>
      <w:r w:rsidRPr="00786A24">
        <w:rPr>
          <w:sz w:val="23"/>
          <w:szCs w:val="23"/>
        </w:rPr>
        <w:t xml:space="preserve"> 65, no. 3 (September 2012): 600–614. </w:t>
      </w:r>
      <w:hyperlink r:id="rId58">
        <w:r w:rsidRPr="00786A24">
          <w:rPr>
            <w:rStyle w:val="Hyperlink"/>
            <w:rFonts w:eastAsiaTheme="majorEastAsia"/>
            <w:sz w:val="23"/>
            <w:szCs w:val="23"/>
          </w:rPr>
          <w:t>https://doi.org/10.1177/1065912911401418</w:t>
        </w:r>
      </w:hyperlink>
      <w:r w:rsidRPr="00786A24">
        <w:rPr>
          <w:sz w:val="23"/>
          <w:szCs w:val="23"/>
        </w:rPr>
        <w:t>.</w:t>
      </w:r>
    </w:p>
    <w:p w14:paraId="1F9D25F1" w14:textId="77777777" w:rsidR="007524E6" w:rsidRPr="00786A24" w:rsidRDefault="007524E6" w:rsidP="007524E6">
      <w:pPr>
        <w:spacing w:line="360" w:lineRule="auto"/>
        <w:ind w:hanging="480"/>
        <w:rPr>
          <w:sz w:val="23"/>
          <w:szCs w:val="23"/>
        </w:rPr>
      </w:pPr>
    </w:p>
    <w:p w14:paraId="6AC5440C" w14:textId="77777777" w:rsidR="007524E6" w:rsidRPr="00786A24" w:rsidRDefault="007524E6" w:rsidP="007524E6">
      <w:pPr>
        <w:spacing w:line="360" w:lineRule="auto"/>
        <w:ind w:hanging="480"/>
        <w:rPr>
          <w:sz w:val="23"/>
          <w:szCs w:val="23"/>
        </w:rPr>
      </w:pPr>
      <w:proofErr w:type="spellStart"/>
      <w:r w:rsidRPr="00786A24">
        <w:rPr>
          <w:sz w:val="23"/>
          <w:szCs w:val="23"/>
        </w:rPr>
        <w:t>Gamson</w:t>
      </w:r>
      <w:proofErr w:type="spellEnd"/>
      <w:r w:rsidRPr="00786A24">
        <w:rPr>
          <w:sz w:val="23"/>
          <w:szCs w:val="23"/>
        </w:rPr>
        <w:t xml:space="preserve">, William A., and Andre Modigliani. 1989. Media Discourse and Public </w:t>
      </w:r>
    </w:p>
    <w:p w14:paraId="2CD074B9" w14:textId="77777777" w:rsidR="007524E6" w:rsidRPr="00786A24" w:rsidRDefault="007524E6" w:rsidP="007524E6">
      <w:pPr>
        <w:spacing w:line="360" w:lineRule="auto"/>
        <w:rPr>
          <w:sz w:val="23"/>
          <w:szCs w:val="23"/>
        </w:rPr>
      </w:pPr>
      <w:r w:rsidRPr="00786A24">
        <w:rPr>
          <w:sz w:val="23"/>
          <w:szCs w:val="23"/>
        </w:rPr>
        <w:t xml:space="preserve">Opinion on Nuclear Power: A Constructionist Approach. </w:t>
      </w:r>
      <w:r w:rsidRPr="00786A24">
        <w:rPr>
          <w:i/>
          <w:iCs/>
          <w:sz w:val="23"/>
          <w:szCs w:val="23"/>
        </w:rPr>
        <w:t xml:space="preserve">American Journal of Sociology </w:t>
      </w:r>
      <w:r w:rsidRPr="00786A24">
        <w:rPr>
          <w:sz w:val="23"/>
          <w:szCs w:val="23"/>
        </w:rPr>
        <w:t>95(1): 1–37.</w:t>
      </w:r>
    </w:p>
    <w:p w14:paraId="541ABA7E" w14:textId="77777777" w:rsidR="007524E6" w:rsidRPr="00786A24" w:rsidRDefault="007524E6" w:rsidP="007524E6">
      <w:pPr>
        <w:spacing w:line="360" w:lineRule="auto"/>
        <w:rPr>
          <w:sz w:val="23"/>
          <w:szCs w:val="23"/>
        </w:rPr>
      </w:pPr>
    </w:p>
    <w:p w14:paraId="20715316" w14:textId="77777777" w:rsidR="007524E6" w:rsidRPr="00786A24" w:rsidRDefault="007524E6" w:rsidP="007524E6">
      <w:pPr>
        <w:spacing w:line="360" w:lineRule="auto"/>
        <w:ind w:hanging="480"/>
        <w:rPr>
          <w:sz w:val="23"/>
          <w:szCs w:val="23"/>
        </w:rPr>
      </w:pPr>
      <w:r w:rsidRPr="00786A24">
        <w:rPr>
          <w:sz w:val="23"/>
          <w:szCs w:val="23"/>
        </w:rPr>
        <w:t xml:space="preserve">Nelson, Thomas E., Zoe M. Oxley, and Rosalee A. Clawson. 1997. Toward a </w:t>
      </w:r>
    </w:p>
    <w:p w14:paraId="368D2844" w14:textId="77777777" w:rsidR="007524E6" w:rsidRPr="00786A24" w:rsidRDefault="007524E6" w:rsidP="007524E6">
      <w:pPr>
        <w:spacing w:line="360" w:lineRule="auto"/>
        <w:rPr>
          <w:sz w:val="23"/>
          <w:szCs w:val="23"/>
        </w:rPr>
      </w:pPr>
      <w:r w:rsidRPr="00786A24">
        <w:rPr>
          <w:sz w:val="23"/>
          <w:szCs w:val="23"/>
        </w:rPr>
        <w:t>Psychology of Framing Effects. Political Behavior 19(3): 221–46.</w:t>
      </w:r>
    </w:p>
    <w:p w14:paraId="604E9829" w14:textId="77777777" w:rsidR="007524E6" w:rsidRPr="00786A24" w:rsidRDefault="007524E6" w:rsidP="007524E6">
      <w:pPr>
        <w:spacing w:line="360" w:lineRule="auto"/>
        <w:rPr>
          <w:sz w:val="23"/>
          <w:szCs w:val="23"/>
        </w:rPr>
      </w:pPr>
    </w:p>
    <w:p w14:paraId="42304678" w14:textId="77777777" w:rsidR="007524E6" w:rsidRPr="00786A24" w:rsidRDefault="007524E6" w:rsidP="007524E6">
      <w:pPr>
        <w:spacing w:line="360" w:lineRule="auto"/>
        <w:ind w:hanging="480"/>
        <w:rPr>
          <w:sz w:val="23"/>
          <w:szCs w:val="23"/>
        </w:rPr>
      </w:pPr>
      <w:r w:rsidRPr="00786A24">
        <w:rPr>
          <w:sz w:val="23"/>
          <w:szCs w:val="23"/>
        </w:rPr>
        <w:lastRenderedPageBreak/>
        <w:t xml:space="preserve">Oorschot, Wim van. “Who Should Get What, and Why? On Deservingness Criteria and the Conditionality of Solidarity among the Public.” </w:t>
      </w:r>
      <w:r w:rsidRPr="00786A24">
        <w:rPr>
          <w:i/>
          <w:iCs/>
          <w:sz w:val="23"/>
          <w:szCs w:val="23"/>
        </w:rPr>
        <w:t>Policy &amp; Politics</w:t>
      </w:r>
      <w:r w:rsidRPr="00786A24">
        <w:rPr>
          <w:sz w:val="23"/>
          <w:szCs w:val="23"/>
        </w:rPr>
        <w:t xml:space="preserve"> 28, no. 1 (January 2000): 33–48. </w:t>
      </w:r>
      <w:hyperlink r:id="rId59">
        <w:r w:rsidRPr="00786A24">
          <w:rPr>
            <w:rStyle w:val="Hyperlink"/>
            <w:rFonts w:eastAsiaTheme="majorEastAsia"/>
            <w:sz w:val="23"/>
            <w:szCs w:val="23"/>
          </w:rPr>
          <w:t>https://doi.org/10.1332/0305573002500811</w:t>
        </w:r>
      </w:hyperlink>
      <w:r w:rsidRPr="00786A24">
        <w:rPr>
          <w:sz w:val="23"/>
          <w:szCs w:val="23"/>
        </w:rPr>
        <w:t>.</w:t>
      </w:r>
    </w:p>
    <w:p w14:paraId="510C40CF" w14:textId="77777777" w:rsidR="007524E6" w:rsidRPr="00786A24" w:rsidRDefault="007524E6" w:rsidP="007524E6">
      <w:pPr>
        <w:spacing w:line="360" w:lineRule="auto"/>
        <w:ind w:hanging="480"/>
        <w:rPr>
          <w:sz w:val="23"/>
          <w:szCs w:val="23"/>
        </w:rPr>
      </w:pPr>
    </w:p>
    <w:p w14:paraId="5E1F2F85" w14:textId="77777777" w:rsidR="007524E6" w:rsidRPr="00786A24" w:rsidRDefault="007524E6" w:rsidP="007524E6">
      <w:pPr>
        <w:spacing w:line="360" w:lineRule="auto"/>
        <w:ind w:hanging="480"/>
        <w:rPr>
          <w:sz w:val="23"/>
          <w:szCs w:val="23"/>
        </w:rPr>
      </w:pPr>
      <w:r w:rsidRPr="00786A24">
        <w:rPr>
          <w:sz w:val="23"/>
          <w:szCs w:val="23"/>
        </w:rPr>
        <w:t xml:space="preserve">Pacheco, Julianna. 2014. “Measuring and Evaluating Changes in State Opinion across Eight Issues.” Amer- </w:t>
      </w:r>
      <w:proofErr w:type="spellStart"/>
      <w:r w:rsidRPr="00786A24">
        <w:rPr>
          <w:sz w:val="23"/>
          <w:szCs w:val="23"/>
        </w:rPr>
        <w:t>ican</w:t>
      </w:r>
      <w:proofErr w:type="spellEnd"/>
      <w:r w:rsidRPr="00786A24">
        <w:rPr>
          <w:sz w:val="23"/>
          <w:szCs w:val="23"/>
        </w:rPr>
        <w:t xml:space="preserve"> Politics Research 42(6): 986–1009. </w:t>
      </w:r>
    </w:p>
    <w:p w14:paraId="6D6EF7DA" w14:textId="77777777" w:rsidR="007524E6" w:rsidRPr="00786A24" w:rsidRDefault="007524E6" w:rsidP="007524E6">
      <w:pPr>
        <w:spacing w:line="360" w:lineRule="auto"/>
        <w:ind w:hanging="480"/>
        <w:rPr>
          <w:sz w:val="23"/>
          <w:szCs w:val="23"/>
        </w:rPr>
      </w:pPr>
    </w:p>
    <w:p w14:paraId="55274DAC" w14:textId="77777777" w:rsidR="007524E6" w:rsidRPr="00786A24" w:rsidRDefault="007524E6" w:rsidP="007524E6">
      <w:pPr>
        <w:spacing w:line="360" w:lineRule="auto"/>
        <w:ind w:hanging="480"/>
        <w:rPr>
          <w:sz w:val="23"/>
          <w:szCs w:val="23"/>
        </w:rPr>
      </w:pPr>
      <w:r w:rsidRPr="00786A24">
        <w:rPr>
          <w:sz w:val="23"/>
          <w:szCs w:val="23"/>
        </w:rPr>
        <w:t xml:space="preserve">Petersen, Michael Bang, Rune </w:t>
      </w:r>
      <w:proofErr w:type="spellStart"/>
      <w:r w:rsidRPr="00786A24">
        <w:rPr>
          <w:sz w:val="23"/>
          <w:szCs w:val="23"/>
        </w:rPr>
        <w:t>Slothuus</w:t>
      </w:r>
      <w:proofErr w:type="spellEnd"/>
      <w:r w:rsidRPr="00786A24">
        <w:rPr>
          <w:sz w:val="23"/>
          <w:szCs w:val="23"/>
        </w:rPr>
        <w:t xml:space="preserve">, Rune </w:t>
      </w:r>
      <w:proofErr w:type="spellStart"/>
      <w:r w:rsidRPr="00786A24">
        <w:rPr>
          <w:sz w:val="23"/>
          <w:szCs w:val="23"/>
        </w:rPr>
        <w:t>Stubager</w:t>
      </w:r>
      <w:proofErr w:type="spellEnd"/>
      <w:r w:rsidRPr="00786A24">
        <w:rPr>
          <w:sz w:val="23"/>
          <w:szCs w:val="23"/>
        </w:rPr>
        <w:t xml:space="preserve">, and Lise </w:t>
      </w:r>
      <w:proofErr w:type="spellStart"/>
      <w:r w:rsidRPr="00786A24">
        <w:rPr>
          <w:sz w:val="23"/>
          <w:szCs w:val="23"/>
        </w:rPr>
        <w:t>Togeby</w:t>
      </w:r>
      <w:proofErr w:type="spellEnd"/>
      <w:r w:rsidRPr="00786A24">
        <w:rPr>
          <w:sz w:val="23"/>
          <w:szCs w:val="23"/>
        </w:rPr>
        <w:t xml:space="preserve">. “Deservingness versus Values in Public Opinion on Welfare: The Automaticity of the Deservingness Heuristic: Deservingness versus Values in Public Opinion on Welfare.” </w:t>
      </w:r>
      <w:r w:rsidRPr="00786A24">
        <w:rPr>
          <w:i/>
          <w:iCs/>
          <w:sz w:val="23"/>
          <w:szCs w:val="23"/>
        </w:rPr>
        <w:t>European Journal of Political Research</w:t>
      </w:r>
      <w:r w:rsidRPr="00786A24">
        <w:rPr>
          <w:sz w:val="23"/>
          <w:szCs w:val="23"/>
        </w:rPr>
        <w:t xml:space="preserve"> 50, no. 1 (January 2010                        </w:t>
      </w:r>
      <w:proofErr w:type="gramStart"/>
      <w:r w:rsidRPr="00786A24">
        <w:rPr>
          <w:sz w:val="23"/>
          <w:szCs w:val="23"/>
        </w:rPr>
        <w:t xml:space="preserve">  )</w:t>
      </w:r>
      <w:proofErr w:type="gramEnd"/>
      <w:r w:rsidRPr="00786A24">
        <w:rPr>
          <w:sz w:val="23"/>
          <w:szCs w:val="23"/>
        </w:rPr>
        <w:t xml:space="preserve">: 24–52. </w:t>
      </w:r>
      <w:hyperlink r:id="rId60">
        <w:r w:rsidRPr="00786A24">
          <w:rPr>
            <w:rStyle w:val="Hyperlink"/>
            <w:rFonts w:eastAsiaTheme="majorEastAsia"/>
            <w:sz w:val="23"/>
            <w:szCs w:val="23"/>
          </w:rPr>
          <w:t>https://doi.org/10.1111/j.1475-6765.2010.01923.x</w:t>
        </w:r>
      </w:hyperlink>
      <w:r w:rsidRPr="00786A24">
        <w:rPr>
          <w:sz w:val="23"/>
          <w:szCs w:val="23"/>
        </w:rPr>
        <w:t>.</w:t>
      </w:r>
    </w:p>
    <w:p w14:paraId="5FDB937A" w14:textId="77777777" w:rsidR="007524E6" w:rsidRPr="00786A24" w:rsidRDefault="007524E6" w:rsidP="007524E6">
      <w:pPr>
        <w:spacing w:line="360" w:lineRule="auto"/>
        <w:ind w:hanging="480"/>
        <w:rPr>
          <w:sz w:val="23"/>
          <w:szCs w:val="23"/>
        </w:rPr>
      </w:pPr>
    </w:p>
    <w:p w14:paraId="05B5A0EA" w14:textId="77777777" w:rsidR="007524E6" w:rsidRPr="00786A24" w:rsidRDefault="007524E6" w:rsidP="007524E6">
      <w:pPr>
        <w:spacing w:line="360" w:lineRule="auto"/>
        <w:ind w:hanging="480"/>
        <w:rPr>
          <w:sz w:val="23"/>
          <w:szCs w:val="23"/>
        </w:rPr>
      </w:pPr>
      <w:r w:rsidRPr="00786A24">
        <w:rPr>
          <w:sz w:val="23"/>
          <w:szCs w:val="23"/>
        </w:rPr>
        <w:t xml:space="preserve">Petersen, Michael Bang. “Social Welfare as Small-Scale Help: Evolutionary Psychology and the Deservingness Heuristic: SOCIAL WELFARE AS SMALL-SCALE HELP.” </w:t>
      </w:r>
      <w:r w:rsidRPr="00786A24">
        <w:rPr>
          <w:i/>
          <w:iCs/>
          <w:sz w:val="23"/>
          <w:szCs w:val="23"/>
        </w:rPr>
        <w:t>American Journal of Political Science</w:t>
      </w:r>
      <w:r w:rsidRPr="00786A24">
        <w:rPr>
          <w:sz w:val="23"/>
          <w:szCs w:val="23"/>
        </w:rPr>
        <w:t xml:space="preserve"> 56, no. 1 (January 2012): 1–16. </w:t>
      </w:r>
      <w:hyperlink r:id="rId61">
        <w:r w:rsidRPr="00786A24">
          <w:rPr>
            <w:rStyle w:val="Hyperlink"/>
            <w:rFonts w:eastAsiaTheme="majorEastAsia"/>
            <w:sz w:val="23"/>
            <w:szCs w:val="23"/>
          </w:rPr>
          <w:t>https://doi.org/10.1111/j.1540-5907.2011.00545.x</w:t>
        </w:r>
      </w:hyperlink>
      <w:r w:rsidRPr="00786A24">
        <w:rPr>
          <w:sz w:val="23"/>
          <w:szCs w:val="23"/>
        </w:rPr>
        <w:t>.</w:t>
      </w:r>
    </w:p>
    <w:p w14:paraId="23EAF292" w14:textId="77777777" w:rsidR="007524E6" w:rsidRPr="00786A24" w:rsidRDefault="007524E6" w:rsidP="007524E6">
      <w:pPr>
        <w:spacing w:line="360" w:lineRule="auto"/>
        <w:ind w:hanging="480"/>
        <w:rPr>
          <w:sz w:val="23"/>
          <w:szCs w:val="23"/>
        </w:rPr>
      </w:pPr>
    </w:p>
    <w:p w14:paraId="0768A269" w14:textId="77777777" w:rsidR="007524E6" w:rsidRPr="00786A24" w:rsidRDefault="007524E6" w:rsidP="007524E6">
      <w:pPr>
        <w:spacing w:line="360" w:lineRule="auto"/>
        <w:ind w:hanging="480"/>
        <w:rPr>
          <w:sz w:val="23"/>
          <w:szCs w:val="23"/>
        </w:rPr>
      </w:pPr>
      <w:r w:rsidRPr="00786A24">
        <w:rPr>
          <w:sz w:val="23"/>
          <w:szCs w:val="23"/>
        </w:rPr>
        <w:t xml:space="preserve">Pickett, Justin T. “Public Opinion and Criminal Justice Policy: Theory and Research.” </w:t>
      </w:r>
      <w:r w:rsidRPr="00786A24">
        <w:rPr>
          <w:i/>
          <w:iCs/>
          <w:sz w:val="23"/>
          <w:szCs w:val="23"/>
        </w:rPr>
        <w:t>Annual Review of Criminology</w:t>
      </w:r>
      <w:r w:rsidRPr="00786A24">
        <w:rPr>
          <w:sz w:val="23"/>
          <w:szCs w:val="23"/>
        </w:rPr>
        <w:t xml:space="preserve"> 2, no. 1 (January 13, 2019): 405–28. </w:t>
      </w:r>
      <w:hyperlink r:id="rId62">
        <w:r w:rsidRPr="00786A24">
          <w:rPr>
            <w:rStyle w:val="Hyperlink"/>
            <w:rFonts w:eastAsiaTheme="majorEastAsia"/>
            <w:sz w:val="23"/>
            <w:szCs w:val="23"/>
          </w:rPr>
          <w:t>https://doi.org/10.1146/annurev-criminol-011518-024826</w:t>
        </w:r>
      </w:hyperlink>
      <w:r w:rsidRPr="00786A24">
        <w:rPr>
          <w:sz w:val="23"/>
          <w:szCs w:val="23"/>
        </w:rPr>
        <w:t>.</w:t>
      </w:r>
    </w:p>
    <w:p w14:paraId="542B41AD" w14:textId="77777777" w:rsidR="007524E6" w:rsidRPr="00786A24" w:rsidRDefault="007524E6" w:rsidP="007524E6">
      <w:pPr>
        <w:spacing w:line="360" w:lineRule="auto"/>
        <w:rPr>
          <w:sz w:val="23"/>
          <w:szCs w:val="23"/>
        </w:rPr>
      </w:pPr>
    </w:p>
    <w:p w14:paraId="1A837825" w14:textId="77777777" w:rsidR="007524E6" w:rsidRPr="00786A24" w:rsidRDefault="007524E6" w:rsidP="007524E6">
      <w:pPr>
        <w:spacing w:line="360" w:lineRule="auto"/>
        <w:ind w:hanging="480"/>
        <w:rPr>
          <w:sz w:val="23"/>
          <w:szCs w:val="23"/>
        </w:rPr>
      </w:pPr>
      <w:proofErr w:type="spellStart"/>
      <w:r w:rsidRPr="00786A24">
        <w:rPr>
          <w:sz w:val="23"/>
          <w:szCs w:val="23"/>
        </w:rPr>
        <w:t>Reinka</w:t>
      </w:r>
      <w:proofErr w:type="spellEnd"/>
      <w:r w:rsidRPr="00786A24">
        <w:rPr>
          <w:sz w:val="23"/>
          <w:szCs w:val="23"/>
        </w:rPr>
        <w:t xml:space="preserve">, Mora A., and Colin Wayne Leach. “Race and Reaction: Divergent Views of Police Violence and Protest against: Race and Reaction.” </w:t>
      </w:r>
      <w:r w:rsidRPr="00786A24">
        <w:rPr>
          <w:i/>
          <w:iCs/>
          <w:sz w:val="23"/>
          <w:szCs w:val="23"/>
        </w:rPr>
        <w:t>Journal of Social Issues</w:t>
      </w:r>
      <w:r w:rsidRPr="00786A24">
        <w:rPr>
          <w:sz w:val="23"/>
          <w:szCs w:val="23"/>
        </w:rPr>
        <w:t xml:space="preserve"> 73, no. 4 (December 2017): 768–88. </w:t>
      </w:r>
      <w:hyperlink r:id="rId63">
        <w:r w:rsidRPr="00786A24">
          <w:rPr>
            <w:rStyle w:val="Hyperlink"/>
            <w:rFonts w:eastAsiaTheme="majorEastAsia"/>
            <w:sz w:val="23"/>
            <w:szCs w:val="23"/>
          </w:rPr>
          <w:t>https://doi.org/10.1111/josi.12247</w:t>
        </w:r>
      </w:hyperlink>
      <w:r w:rsidRPr="00786A24">
        <w:rPr>
          <w:sz w:val="23"/>
          <w:szCs w:val="23"/>
        </w:rPr>
        <w:t>.</w:t>
      </w:r>
    </w:p>
    <w:p w14:paraId="40A4E54E" w14:textId="77777777" w:rsidR="007524E6" w:rsidRPr="00786A24" w:rsidRDefault="007524E6" w:rsidP="007524E6">
      <w:pPr>
        <w:spacing w:line="360" w:lineRule="auto"/>
        <w:rPr>
          <w:sz w:val="23"/>
          <w:szCs w:val="23"/>
        </w:rPr>
      </w:pPr>
    </w:p>
    <w:p w14:paraId="10FDAE37" w14:textId="77777777" w:rsidR="007524E6" w:rsidRPr="00786A24" w:rsidRDefault="007524E6" w:rsidP="007524E6">
      <w:pPr>
        <w:spacing w:line="360" w:lineRule="auto"/>
        <w:ind w:hanging="480"/>
        <w:rPr>
          <w:sz w:val="23"/>
          <w:szCs w:val="23"/>
        </w:rPr>
      </w:pPr>
      <w:r w:rsidRPr="00786A24">
        <w:rPr>
          <w:sz w:val="23"/>
          <w:szCs w:val="23"/>
        </w:rPr>
        <w:t xml:space="preserve">Schneider, Anne, and Helen Ingram. “Social Construction of Target Populations: Implications for Politics and Policy.” </w:t>
      </w:r>
      <w:r w:rsidRPr="00786A24">
        <w:rPr>
          <w:i/>
          <w:iCs/>
          <w:sz w:val="23"/>
          <w:szCs w:val="23"/>
        </w:rPr>
        <w:t>American Political Science Review</w:t>
      </w:r>
      <w:r w:rsidRPr="00786A24">
        <w:rPr>
          <w:sz w:val="23"/>
          <w:szCs w:val="23"/>
        </w:rPr>
        <w:t xml:space="preserve"> 87, no. 2 (June 1993): 334–47. </w:t>
      </w:r>
      <w:hyperlink r:id="rId64">
        <w:r w:rsidRPr="00786A24">
          <w:rPr>
            <w:rStyle w:val="Hyperlink"/>
            <w:rFonts w:eastAsiaTheme="majorEastAsia"/>
            <w:sz w:val="23"/>
            <w:szCs w:val="23"/>
          </w:rPr>
          <w:t>https://doi.org/10.2307/2939044</w:t>
        </w:r>
      </w:hyperlink>
      <w:r w:rsidRPr="00786A24">
        <w:rPr>
          <w:sz w:val="23"/>
          <w:szCs w:val="23"/>
        </w:rPr>
        <w:t>.</w:t>
      </w:r>
    </w:p>
    <w:p w14:paraId="6F113564" w14:textId="77777777" w:rsidR="007524E6" w:rsidRPr="00786A24" w:rsidRDefault="007524E6" w:rsidP="007524E6">
      <w:pPr>
        <w:spacing w:line="360" w:lineRule="auto"/>
        <w:ind w:hanging="480"/>
        <w:rPr>
          <w:sz w:val="23"/>
          <w:szCs w:val="23"/>
        </w:rPr>
      </w:pPr>
    </w:p>
    <w:p w14:paraId="023A2D20" w14:textId="77777777" w:rsidR="007524E6" w:rsidRPr="00786A24" w:rsidRDefault="007524E6" w:rsidP="007524E6">
      <w:pPr>
        <w:spacing w:line="360" w:lineRule="auto"/>
        <w:ind w:hanging="480"/>
        <w:rPr>
          <w:sz w:val="23"/>
          <w:szCs w:val="23"/>
        </w:rPr>
      </w:pPr>
      <w:r w:rsidRPr="00786A24">
        <w:rPr>
          <w:sz w:val="23"/>
          <w:szCs w:val="23"/>
        </w:rPr>
        <w:t xml:space="preserve">Schneider, Anne L., and Helen M. Ingram. 2019. “Social Constructions, Anticipatory Feedback Strategies, and Deceptive Public Policy.” </w:t>
      </w:r>
      <w:r w:rsidRPr="00786A24">
        <w:rPr>
          <w:i/>
          <w:iCs/>
          <w:sz w:val="23"/>
          <w:szCs w:val="23"/>
        </w:rPr>
        <w:t xml:space="preserve">Policy Studies Journal </w:t>
      </w:r>
      <w:r w:rsidRPr="00786A24">
        <w:rPr>
          <w:sz w:val="23"/>
          <w:szCs w:val="23"/>
        </w:rPr>
        <w:t>47 (2): 206–36.</w:t>
      </w:r>
    </w:p>
    <w:p w14:paraId="0CE1D867" w14:textId="77777777" w:rsidR="007524E6" w:rsidRPr="00786A24" w:rsidRDefault="007524E6" w:rsidP="007524E6">
      <w:pPr>
        <w:spacing w:line="360" w:lineRule="auto"/>
        <w:rPr>
          <w:sz w:val="23"/>
          <w:szCs w:val="23"/>
        </w:rPr>
      </w:pPr>
    </w:p>
    <w:p w14:paraId="4F37AE9A" w14:textId="77777777" w:rsidR="007524E6" w:rsidRPr="00786A24" w:rsidRDefault="007524E6" w:rsidP="007524E6">
      <w:pPr>
        <w:spacing w:line="360" w:lineRule="auto"/>
        <w:ind w:hanging="480"/>
        <w:rPr>
          <w:sz w:val="23"/>
          <w:szCs w:val="23"/>
        </w:rPr>
      </w:pPr>
      <w:proofErr w:type="spellStart"/>
      <w:r w:rsidRPr="00786A24">
        <w:rPr>
          <w:sz w:val="23"/>
          <w:szCs w:val="23"/>
        </w:rPr>
        <w:t>Soss</w:t>
      </w:r>
      <w:proofErr w:type="spellEnd"/>
      <w:r w:rsidRPr="00786A24">
        <w:rPr>
          <w:sz w:val="23"/>
          <w:szCs w:val="23"/>
        </w:rPr>
        <w:t xml:space="preserve">, Joe, Richard Fording, and Sanford Schram. </w:t>
      </w:r>
      <w:r w:rsidRPr="00786A24">
        <w:rPr>
          <w:i/>
          <w:iCs/>
          <w:sz w:val="23"/>
          <w:szCs w:val="23"/>
        </w:rPr>
        <w:t>Disciplining the Poor</w:t>
      </w:r>
      <w:r w:rsidRPr="00786A24">
        <w:rPr>
          <w:sz w:val="23"/>
          <w:szCs w:val="23"/>
        </w:rPr>
        <w:t xml:space="preserve">, University of Chicago Press (2011). </w:t>
      </w:r>
    </w:p>
    <w:p w14:paraId="263229D9" w14:textId="77777777" w:rsidR="007524E6" w:rsidRPr="00786A24" w:rsidRDefault="007524E6" w:rsidP="007524E6">
      <w:pPr>
        <w:spacing w:line="360" w:lineRule="auto"/>
        <w:ind w:hanging="480"/>
        <w:rPr>
          <w:sz w:val="23"/>
          <w:szCs w:val="23"/>
        </w:rPr>
      </w:pPr>
    </w:p>
    <w:p w14:paraId="6D7C2134" w14:textId="77777777" w:rsidR="007524E6" w:rsidRPr="00786A24" w:rsidRDefault="007524E6" w:rsidP="007524E6">
      <w:pPr>
        <w:spacing w:line="360" w:lineRule="auto"/>
        <w:ind w:hanging="480"/>
        <w:rPr>
          <w:sz w:val="23"/>
          <w:szCs w:val="23"/>
        </w:rPr>
      </w:pPr>
      <w:proofErr w:type="spellStart"/>
      <w:r w:rsidRPr="00786A24">
        <w:rPr>
          <w:sz w:val="23"/>
          <w:szCs w:val="23"/>
        </w:rPr>
        <w:t>Soss</w:t>
      </w:r>
      <w:proofErr w:type="spellEnd"/>
      <w:r w:rsidRPr="00786A24">
        <w:rPr>
          <w:sz w:val="23"/>
          <w:szCs w:val="23"/>
        </w:rPr>
        <w:t xml:space="preserve">, Joe, and </w:t>
      </w:r>
      <w:proofErr w:type="spellStart"/>
      <w:r w:rsidRPr="00786A24">
        <w:rPr>
          <w:sz w:val="23"/>
          <w:szCs w:val="23"/>
        </w:rPr>
        <w:t>Vesla</w:t>
      </w:r>
      <w:proofErr w:type="spellEnd"/>
      <w:r w:rsidRPr="00786A24">
        <w:rPr>
          <w:sz w:val="23"/>
          <w:szCs w:val="23"/>
        </w:rPr>
        <w:t xml:space="preserve"> Weaver. 2017. “Police Are Our Government: Politics, Political Science, and the Policing of Race-Class Subjugated Communities.” Annual Review of Political Science 20: 565–91. </w:t>
      </w:r>
    </w:p>
    <w:p w14:paraId="4E12AAA5" w14:textId="77777777" w:rsidR="007524E6" w:rsidRPr="00786A24" w:rsidRDefault="007524E6" w:rsidP="007524E6">
      <w:pPr>
        <w:spacing w:line="360" w:lineRule="auto"/>
        <w:ind w:hanging="480"/>
        <w:rPr>
          <w:sz w:val="23"/>
          <w:szCs w:val="23"/>
        </w:rPr>
      </w:pPr>
    </w:p>
    <w:p w14:paraId="3D296537" w14:textId="77777777" w:rsidR="007524E6" w:rsidRPr="00786A24" w:rsidRDefault="007524E6" w:rsidP="007524E6">
      <w:pPr>
        <w:spacing w:line="360" w:lineRule="auto"/>
        <w:ind w:hanging="480"/>
        <w:rPr>
          <w:sz w:val="23"/>
          <w:szCs w:val="23"/>
        </w:rPr>
      </w:pPr>
      <w:r w:rsidRPr="00786A24">
        <w:rPr>
          <w:sz w:val="23"/>
          <w:szCs w:val="23"/>
        </w:rPr>
        <w:t xml:space="preserve">Smiley, Calvin John, and David </w:t>
      </w:r>
      <w:proofErr w:type="spellStart"/>
      <w:r w:rsidRPr="00786A24">
        <w:rPr>
          <w:sz w:val="23"/>
          <w:szCs w:val="23"/>
        </w:rPr>
        <w:t>Fakunle</w:t>
      </w:r>
      <w:proofErr w:type="spellEnd"/>
      <w:r w:rsidRPr="00786A24">
        <w:rPr>
          <w:sz w:val="23"/>
          <w:szCs w:val="23"/>
        </w:rPr>
        <w:t xml:space="preserve">. “From ‘Brute’ to ‘Thug:’ The Demonization and Criminalization of Unarmed Black Male Victims in America.” </w:t>
      </w:r>
      <w:r w:rsidRPr="00786A24">
        <w:rPr>
          <w:i/>
          <w:iCs/>
          <w:sz w:val="23"/>
          <w:szCs w:val="23"/>
        </w:rPr>
        <w:t>Journal of Human Behavior in the Social Environment</w:t>
      </w:r>
      <w:r w:rsidRPr="00786A24">
        <w:rPr>
          <w:sz w:val="23"/>
          <w:szCs w:val="23"/>
        </w:rPr>
        <w:t xml:space="preserve"> 26, no. 3–4 (May 18, 2016): 350–66. </w:t>
      </w:r>
      <w:hyperlink r:id="rId65">
        <w:r w:rsidRPr="00786A24">
          <w:rPr>
            <w:rStyle w:val="Hyperlink"/>
            <w:rFonts w:eastAsiaTheme="majorEastAsia"/>
            <w:sz w:val="23"/>
            <w:szCs w:val="23"/>
          </w:rPr>
          <w:t>https://doi.org/10.1080/10911359.2015.1129256</w:t>
        </w:r>
      </w:hyperlink>
      <w:r w:rsidRPr="00786A24">
        <w:rPr>
          <w:sz w:val="23"/>
          <w:szCs w:val="23"/>
        </w:rPr>
        <w:t>.</w:t>
      </w:r>
    </w:p>
    <w:p w14:paraId="781CD0AF" w14:textId="77777777" w:rsidR="007524E6" w:rsidRPr="00786A24" w:rsidRDefault="007524E6" w:rsidP="007524E6">
      <w:pPr>
        <w:spacing w:line="360" w:lineRule="auto"/>
        <w:ind w:hanging="480"/>
        <w:rPr>
          <w:sz w:val="23"/>
          <w:szCs w:val="23"/>
        </w:rPr>
      </w:pPr>
    </w:p>
    <w:p w14:paraId="047EC463" w14:textId="77777777" w:rsidR="007524E6" w:rsidRPr="00786A24" w:rsidRDefault="007524E6" w:rsidP="007524E6">
      <w:pPr>
        <w:spacing w:line="360" w:lineRule="auto"/>
        <w:ind w:hanging="480"/>
        <w:rPr>
          <w:sz w:val="23"/>
          <w:szCs w:val="23"/>
        </w:rPr>
      </w:pPr>
      <w:r w:rsidRPr="00786A24">
        <w:rPr>
          <w:sz w:val="23"/>
          <w:szCs w:val="23"/>
        </w:rPr>
        <w:t xml:space="preserve">Smith, Candis and Rebecca Kreitzer, “Where Is the Party in Social Construction Theory?” </w:t>
      </w:r>
      <w:r w:rsidRPr="00786A24">
        <w:rPr>
          <w:i/>
          <w:iCs/>
          <w:sz w:val="23"/>
          <w:szCs w:val="23"/>
        </w:rPr>
        <w:t>The Journal of Politics</w:t>
      </w:r>
      <w:r w:rsidRPr="00786A24">
        <w:rPr>
          <w:sz w:val="23"/>
          <w:szCs w:val="23"/>
        </w:rPr>
        <w:t xml:space="preserve"> 86, no. 2 (2024).</w:t>
      </w:r>
    </w:p>
    <w:p w14:paraId="0E40B25B" w14:textId="77777777" w:rsidR="007524E6" w:rsidRPr="00786A24" w:rsidRDefault="007524E6" w:rsidP="007524E6">
      <w:pPr>
        <w:spacing w:line="360" w:lineRule="auto"/>
        <w:ind w:hanging="480"/>
        <w:rPr>
          <w:sz w:val="23"/>
          <w:szCs w:val="23"/>
        </w:rPr>
      </w:pPr>
    </w:p>
    <w:p w14:paraId="6306FCDC" w14:textId="77777777" w:rsidR="007524E6" w:rsidRPr="00786A24" w:rsidRDefault="007524E6" w:rsidP="007524E6">
      <w:pPr>
        <w:spacing w:line="360" w:lineRule="auto"/>
        <w:ind w:hanging="480"/>
        <w:rPr>
          <w:sz w:val="23"/>
          <w:szCs w:val="23"/>
        </w:rPr>
      </w:pPr>
      <w:proofErr w:type="spellStart"/>
      <w:r w:rsidRPr="00786A24">
        <w:rPr>
          <w:sz w:val="23"/>
          <w:szCs w:val="23"/>
        </w:rPr>
        <w:t>Thielo</w:t>
      </w:r>
      <w:proofErr w:type="spellEnd"/>
      <w:r w:rsidRPr="00786A24">
        <w:rPr>
          <w:sz w:val="23"/>
          <w:szCs w:val="23"/>
        </w:rPr>
        <w:t xml:space="preserve"> Angela, Francis Cullen, Derek Cohen, and Cecilia </w:t>
      </w:r>
      <w:proofErr w:type="spellStart"/>
      <w:r w:rsidRPr="00786A24">
        <w:rPr>
          <w:sz w:val="23"/>
          <w:szCs w:val="23"/>
        </w:rPr>
        <w:t>Chouhy</w:t>
      </w:r>
      <w:proofErr w:type="spellEnd"/>
      <w:r w:rsidRPr="00786A24">
        <w:rPr>
          <w:sz w:val="23"/>
          <w:szCs w:val="23"/>
        </w:rPr>
        <w:t xml:space="preserve">, “Rehabilitation in a Red State.” </w:t>
      </w:r>
      <w:proofErr w:type="spellStart"/>
      <w:r w:rsidRPr="00786A24">
        <w:rPr>
          <w:i/>
          <w:iCs/>
          <w:sz w:val="23"/>
          <w:szCs w:val="23"/>
        </w:rPr>
        <w:t>Crimonology</w:t>
      </w:r>
      <w:proofErr w:type="spellEnd"/>
      <w:r w:rsidRPr="00786A24">
        <w:rPr>
          <w:i/>
          <w:iCs/>
          <w:sz w:val="23"/>
          <w:szCs w:val="23"/>
        </w:rPr>
        <w:t xml:space="preserve"> &amp; Public Policy</w:t>
      </w:r>
      <w:r w:rsidRPr="00786A24">
        <w:rPr>
          <w:sz w:val="23"/>
          <w:szCs w:val="23"/>
        </w:rPr>
        <w:t xml:space="preserve"> 15 (1): 137-170 (2016).</w:t>
      </w:r>
    </w:p>
    <w:p w14:paraId="1E1F7FC8" w14:textId="77777777" w:rsidR="007524E6" w:rsidRPr="00786A24" w:rsidRDefault="007524E6" w:rsidP="007524E6">
      <w:pPr>
        <w:spacing w:line="360" w:lineRule="auto"/>
        <w:ind w:hanging="480"/>
        <w:rPr>
          <w:sz w:val="23"/>
          <w:szCs w:val="23"/>
        </w:rPr>
      </w:pPr>
    </w:p>
    <w:p w14:paraId="3975D8CC" w14:textId="77777777" w:rsidR="007524E6" w:rsidRPr="00786A24" w:rsidRDefault="007524E6" w:rsidP="007524E6">
      <w:pPr>
        <w:spacing w:line="360" w:lineRule="auto"/>
        <w:ind w:hanging="480"/>
        <w:rPr>
          <w:sz w:val="23"/>
          <w:szCs w:val="23"/>
        </w:rPr>
      </w:pPr>
      <w:r w:rsidRPr="00786A24">
        <w:rPr>
          <w:sz w:val="23"/>
          <w:szCs w:val="23"/>
        </w:rPr>
        <w:t>Thompson-</w:t>
      </w:r>
      <w:proofErr w:type="spellStart"/>
      <w:r w:rsidRPr="00786A24">
        <w:rPr>
          <w:sz w:val="23"/>
          <w:szCs w:val="23"/>
        </w:rPr>
        <w:t>Cannino</w:t>
      </w:r>
      <w:proofErr w:type="spellEnd"/>
      <w:r w:rsidRPr="00786A24">
        <w:rPr>
          <w:sz w:val="23"/>
          <w:szCs w:val="23"/>
        </w:rPr>
        <w:t xml:space="preserve">, Jennifer, Ronald Cotton, and Erin </w:t>
      </w:r>
      <w:proofErr w:type="spellStart"/>
      <w:r w:rsidRPr="00786A24">
        <w:rPr>
          <w:sz w:val="23"/>
          <w:szCs w:val="23"/>
        </w:rPr>
        <w:t>Torneo</w:t>
      </w:r>
      <w:proofErr w:type="spellEnd"/>
      <w:r w:rsidRPr="00786A24">
        <w:rPr>
          <w:sz w:val="23"/>
          <w:szCs w:val="23"/>
        </w:rPr>
        <w:t xml:space="preserve">. </w:t>
      </w:r>
      <w:r w:rsidRPr="00786A24">
        <w:rPr>
          <w:i/>
          <w:iCs/>
          <w:sz w:val="23"/>
          <w:szCs w:val="23"/>
        </w:rPr>
        <w:t>Picking Cotton: Our Memoir of Injustice and Redemption</w:t>
      </w:r>
      <w:r w:rsidRPr="00786A24">
        <w:rPr>
          <w:sz w:val="23"/>
          <w:szCs w:val="23"/>
        </w:rPr>
        <w:t>. St. Martin's Press (2009).</w:t>
      </w:r>
    </w:p>
    <w:p w14:paraId="790AEC56" w14:textId="77777777" w:rsidR="007524E6" w:rsidRPr="00786A24" w:rsidRDefault="007524E6" w:rsidP="007524E6">
      <w:pPr>
        <w:spacing w:line="360" w:lineRule="auto"/>
        <w:ind w:hanging="480"/>
        <w:rPr>
          <w:sz w:val="23"/>
          <w:szCs w:val="23"/>
        </w:rPr>
      </w:pPr>
    </w:p>
    <w:p w14:paraId="3319A477" w14:textId="77777777" w:rsidR="007524E6" w:rsidRPr="00786A24" w:rsidRDefault="007524E6" w:rsidP="007524E6">
      <w:pPr>
        <w:spacing w:line="360" w:lineRule="auto"/>
        <w:ind w:hanging="480"/>
        <w:rPr>
          <w:sz w:val="23"/>
          <w:szCs w:val="23"/>
        </w:rPr>
      </w:pPr>
      <w:proofErr w:type="spellStart"/>
      <w:r w:rsidRPr="00786A24">
        <w:rPr>
          <w:sz w:val="23"/>
          <w:szCs w:val="23"/>
        </w:rPr>
        <w:t>Uggen</w:t>
      </w:r>
      <w:proofErr w:type="spellEnd"/>
      <w:r w:rsidRPr="00786A24">
        <w:rPr>
          <w:sz w:val="23"/>
          <w:szCs w:val="23"/>
        </w:rPr>
        <w:t xml:space="preserve">, Chris and Jeff </w:t>
      </w:r>
      <w:proofErr w:type="spellStart"/>
      <w:r w:rsidRPr="00786A24">
        <w:rPr>
          <w:sz w:val="23"/>
          <w:szCs w:val="23"/>
        </w:rPr>
        <w:t>Manza</w:t>
      </w:r>
      <w:proofErr w:type="spellEnd"/>
      <w:r w:rsidRPr="00786A24">
        <w:rPr>
          <w:sz w:val="23"/>
          <w:szCs w:val="23"/>
        </w:rPr>
        <w:t xml:space="preserve">. </w:t>
      </w:r>
      <w:r w:rsidRPr="00786A24">
        <w:rPr>
          <w:i/>
          <w:iCs/>
          <w:sz w:val="23"/>
          <w:szCs w:val="23"/>
        </w:rPr>
        <w:t>Locked Out: Felon Disenfranchisement and American Democracy</w:t>
      </w:r>
      <w:r w:rsidRPr="00786A24">
        <w:rPr>
          <w:sz w:val="23"/>
          <w:szCs w:val="23"/>
        </w:rPr>
        <w:t xml:space="preserve">. Oxford University Press (2006). </w:t>
      </w:r>
    </w:p>
    <w:p w14:paraId="79C7416B" w14:textId="77777777" w:rsidR="007524E6" w:rsidRPr="00786A24" w:rsidRDefault="007524E6" w:rsidP="007524E6">
      <w:pPr>
        <w:spacing w:line="360" w:lineRule="auto"/>
        <w:ind w:hanging="480"/>
        <w:rPr>
          <w:sz w:val="23"/>
          <w:szCs w:val="23"/>
        </w:rPr>
      </w:pPr>
    </w:p>
    <w:p w14:paraId="6C259E0E" w14:textId="77777777" w:rsidR="007524E6" w:rsidRPr="00786A24" w:rsidRDefault="007524E6" w:rsidP="007524E6">
      <w:pPr>
        <w:spacing w:line="360" w:lineRule="auto"/>
        <w:ind w:hanging="480"/>
        <w:rPr>
          <w:sz w:val="23"/>
          <w:szCs w:val="23"/>
        </w:rPr>
      </w:pPr>
      <w:proofErr w:type="spellStart"/>
      <w:r w:rsidRPr="00786A24">
        <w:rPr>
          <w:sz w:val="23"/>
          <w:szCs w:val="23"/>
        </w:rPr>
        <w:t>Unnever</w:t>
      </w:r>
      <w:proofErr w:type="spellEnd"/>
      <w:r w:rsidRPr="00786A24">
        <w:rPr>
          <w:sz w:val="23"/>
          <w:szCs w:val="23"/>
        </w:rPr>
        <w:t xml:space="preserve">, James D., and Francis T. Cullen. “THE SOCIAL SOURCES OF AMERICANS’ PUNITIVENESS: A TEST OF THREE COMPETING MODELS.” </w:t>
      </w:r>
      <w:r w:rsidRPr="00786A24">
        <w:rPr>
          <w:i/>
          <w:iCs/>
          <w:sz w:val="23"/>
          <w:szCs w:val="23"/>
        </w:rPr>
        <w:t>Criminology</w:t>
      </w:r>
      <w:r w:rsidRPr="00786A24">
        <w:rPr>
          <w:sz w:val="23"/>
          <w:szCs w:val="23"/>
        </w:rPr>
        <w:t xml:space="preserve"> 48, no. 1 (February 2010): 99–129. </w:t>
      </w:r>
      <w:hyperlink r:id="rId66">
        <w:r w:rsidRPr="00786A24">
          <w:rPr>
            <w:rStyle w:val="Hyperlink"/>
            <w:rFonts w:eastAsiaTheme="majorEastAsia"/>
            <w:sz w:val="23"/>
            <w:szCs w:val="23"/>
          </w:rPr>
          <w:t>https://doi.org/10.1111/j.1745-9125.2010.00181.x</w:t>
        </w:r>
      </w:hyperlink>
      <w:r w:rsidRPr="00786A24">
        <w:rPr>
          <w:sz w:val="23"/>
          <w:szCs w:val="23"/>
        </w:rPr>
        <w:t>.</w:t>
      </w:r>
    </w:p>
    <w:p w14:paraId="7A2D6669" w14:textId="77777777" w:rsidR="007524E6" w:rsidRPr="00786A24" w:rsidRDefault="007524E6" w:rsidP="007524E6">
      <w:pPr>
        <w:spacing w:line="360" w:lineRule="auto"/>
        <w:ind w:hanging="480"/>
        <w:rPr>
          <w:sz w:val="23"/>
          <w:szCs w:val="23"/>
        </w:rPr>
      </w:pPr>
    </w:p>
    <w:p w14:paraId="3ABEB691" w14:textId="77777777" w:rsidR="007524E6" w:rsidRPr="00786A24" w:rsidRDefault="007524E6" w:rsidP="007524E6">
      <w:pPr>
        <w:spacing w:line="360" w:lineRule="auto"/>
        <w:ind w:hanging="480"/>
        <w:rPr>
          <w:sz w:val="23"/>
          <w:szCs w:val="23"/>
        </w:rPr>
      </w:pPr>
      <w:r w:rsidRPr="00786A24">
        <w:rPr>
          <w:sz w:val="23"/>
          <w:szCs w:val="23"/>
        </w:rPr>
        <w:t xml:space="preserve">Wacquant, </w:t>
      </w:r>
      <w:proofErr w:type="spellStart"/>
      <w:r w:rsidRPr="00786A24">
        <w:rPr>
          <w:sz w:val="23"/>
          <w:szCs w:val="23"/>
        </w:rPr>
        <w:t>Loïc</w:t>
      </w:r>
      <w:proofErr w:type="spellEnd"/>
      <w:r w:rsidRPr="00786A24">
        <w:rPr>
          <w:sz w:val="23"/>
          <w:szCs w:val="23"/>
        </w:rPr>
        <w:t xml:space="preserve">. </w:t>
      </w:r>
      <w:r w:rsidRPr="00786A24">
        <w:rPr>
          <w:i/>
          <w:iCs/>
          <w:sz w:val="23"/>
          <w:szCs w:val="23"/>
        </w:rPr>
        <w:t>Punishing the Poor: The Neoliberal Government of Social Insecurity</w:t>
      </w:r>
      <w:r w:rsidRPr="00786A24">
        <w:rPr>
          <w:sz w:val="23"/>
          <w:szCs w:val="23"/>
        </w:rPr>
        <w:t>. Duke University Press (2009).</w:t>
      </w:r>
    </w:p>
    <w:p w14:paraId="416EAC39" w14:textId="77777777" w:rsidR="007524E6" w:rsidRPr="00786A24" w:rsidRDefault="007524E6" w:rsidP="007524E6">
      <w:pPr>
        <w:spacing w:line="360" w:lineRule="auto"/>
        <w:ind w:hanging="480"/>
        <w:rPr>
          <w:sz w:val="23"/>
          <w:szCs w:val="23"/>
        </w:rPr>
      </w:pPr>
    </w:p>
    <w:p w14:paraId="4DD1CE7D" w14:textId="77777777" w:rsidR="007524E6" w:rsidRPr="00786A24" w:rsidRDefault="007524E6" w:rsidP="007524E6">
      <w:pPr>
        <w:spacing w:line="360" w:lineRule="auto"/>
        <w:ind w:hanging="480"/>
        <w:rPr>
          <w:sz w:val="23"/>
          <w:szCs w:val="23"/>
        </w:rPr>
      </w:pPr>
      <w:r w:rsidRPr="00786A24">
        <w:rPr>
          <w:sz w:val="23"/>
          <w:szCs w:val="23"/>
        </w:rPr>
        <w:t xml:space="preserve">Willen, Sarah S. “How Is Health-Related ‘Deservingness’ Reckoned? Perspectives from Unauthorized </w:t>
      </w:r>
      <w:proofErr w:type="spellStart"/>
      <w:r w:rsidRPr="00786A24">
        <w:rPr>
          <w:sz w:val="23"/>
          <w:szCs w:val="23"/>
        </w:rPr>
        <w:t>Im</w:t>
      </w:r>
      <w:proofErr w:type="spellEnd"/>
      <w:r w:rsidRPr="00786A24">
        <w:rPr>
          <w:sz w:val="23"/>
          <w:szCs w:val="23"/>
        </w:rPr>
        <w:t xml:space="preserve">/Migrants in Tel Aviv.” </w:t>
      </w:r>
      <w:r w:rsidRPr="00786A24">
        <w:rPr>
          <w:i/>
          <w:iCs/>
          <w:sz w:val="23"/>
          <w:szCs w:val="23"/>
        </w:rPr>
        <w:t>Social Science &amp; Medicine</w:t>
      </w:r>
      <w:r w:rsidRPr="00786A24">
        <w:rPr>
          <w:sz w:val="23"/>
          <w:szCs w:val="23"/>
        </w:rPr>
        <w:t xml:space="preserve"> 74, no. 6 (March 2012): 812–21. </w:t>
      </w:r>
      <w:hyperlink r:id="rId67">
        <w:r w:rsidRPr="00786A24">
          <w:rPr>
            <w:rStyle w:val="Hyperlink"/>
            <w:rFonts w:eastAsiaTheme="majorEastAsia"/>
            <w:sz w:val="23"/>
            <w:szCs w:val="23"/>
          </w:rPr>
          <w:t>https://doi.org/10.1016/j.socscimed.2011.06.033</w:t>
        </w:r>
      </w:hyperlink>
      <w:r w:rsidRPr="00786A24">
        <w:rPr>
          <w:sz w:val="23"/>
          <w:szCs w:val="23"/>
        </w:rPr>
        <w:t>.</w:t>
      </w:r>
    </w:p>
    <w:p w14:paraId="04EB6BB4" w14:textId="77777777" w:rsidR="007524E6" w:rsidRPr="00786A24" w:rsidRDefault="007524E6" w:rsidP="007524E6">
      <w:pPr>
        <w:spacing w:line="360" w:lineRule="auto"/>
        <w:ind w:hanging="480"/>
        <w:rPr>
          <w:sz w:val="23"/>
          <w:szCs w:val="23"/>
        </w:rPr>
      </w:pPr>
    </w:p>
    <w:p w14:paraId="5B407D77" w14:textId="77777777" w:rsidR="007524E6" w:rsidRDefault="007524E6" w:rsidP="007524E6">
      <w:pPr>
        <w:spacing w:line="360" w:lineRule="auto"/>
        <w:ind w:hanging="480"/>
        <w:rPr>
          <w:sz w:val="23"/>
          <w:szCs w:val="23"/>
        </w:rPr>
      </w:pPr>
    </w:p>
    <w:p w14:paraId="541A3511" w14:textId="77777777" w:rsidR="007524E6" w:rsidRPr="00786A24" w:rsidRDefault="007524E6" w:rsidP="007524E6">
      <w:pPr>
        <w:spacing w:line="360" w:lineRule="auto"/>
        <w:ind w:hanging="480"/>
        <w:rPr>
          <w:sz w:val="23"/>
          <w:szCs w:val="23"/>
        </w:rPr>
      </w:pPr>
      <w:proofErr w:type="spellStart"/>
      <w:r>
        <w:rPr>
          <w:rFonts w:ascii="Open Sans" w:hAnsi="Open Sans" w:cs="Open Sans"/>
          <w:color w:val="2A2A2A"/>
          <w:shd w:val="clear" w:color="auto" w:fill="F2F5F9"/>
        </w:rPr>
        <w:lastRenderedPageBreak/>
        <w:t>Schwaeble</w:t>
      </w:r>
      <w:proofErr w:type="spellEnd"/>
      <w:r>
        <w:rPr>
          <w:rFonts w:ascii="Open Sans" w:hAnsi="Open Sans" w:cs="Open Sans"/>
          <w:color w:val="2A2A2A"/>
          <w:shd w:val="clear" w:color="auto" w:fill="F2F5F9"/>
        </w:rPr>
        <w:t>, K., &amp; Sundt, J.  (2020, January 30). Attitudes and Public Opinion About Punishment. </w:t>
      </w:r>
      <w:r>
        <w:rPr>
          <w:rStyle w:val="Emphasis"/>
          <w:rFonts w:ascii="Open Sans" w:hAnsi="Open Sans" w:cs="Open Sans"/>
          <w:color w:val="2A2A2A"/>
        </w:rPr>
        <w:t>Oxford Research Encyclopedia of Criminology.</w:t>
      </w:r>
      <w:r>
        <w:rPr>
          <w:rFonts w:ascii="Open Sans" w:hAnsi="Open Sans" w:cs="Open Sans"/>
          <w:color w:val="2A2A2A"/>
          <w:shd w:val="clear" w:color="auto" w:fill="F2F5F9"/>
        </w:rPr>
        <w:t> Retrieved 24 Dec. 2024, from https://oxfordre.com/criminology/view/10.1093/acrefore/9780190264079.001.0001/acrefore-9780190264079-e-222.</w:t>
      </w:r>
    </w:p>
    <w:p w14:paraId="0C72AA2A" w14:textId="77777777" w:rsidR="007524E6" w:rsidRDefault="007524E6" w:rsidP="007524E6">
      <w:pPr>
        <w:spacing w:line="360" w:lineRule="auto"/>
        <w:rPr>
          <w:sz w:val="23"/>
          <w:szCs w:val="23"/>
        </w:rPr>
      </w:pPr>
    </w:p>
    <w:p w14:paraId="25F6D0B2" w14:textId="77777777" w:rsidR="007524E6" w:rsidRDefault="007524E6" w:rsidP="007524E6">
      <w:pPr>
        <w:pStyle w:val="whitespace-pre-wrap"/>
      </w:pPr>
      <w:r>
        <w:t>Bastian B., Denson T. F., Haslam N. (2013). The roles of dehumanization and moral outrage in retributive justice. PLOS ONE, 8, Article e61842.</w:t>
      </w:r>
    </w:p>
    <w:p w14:paraId="08B1026D" w14:textId="77777777" w:rsidR="007524E6" w:rsidRDefault="007524E6" w:rsidP="007524E6">
      <w:pPr>
        <w:pStyle w:val="whitespace-pre-wrap"/>
      </w:pPr>
      <w:proofErr w:type="spellStart"/>
      <w:r>
        <w:t>Buckels</w:t>
      </w:r>
      <w:proofErr w:type="spellEnd"/>
      <w:r>
        <w:t xml:space="preserve"> E. E., </w:t>
      </w:r>
      <w:proofErr w:type="spellStart"/>
      <w:r>
        <w:t>Trapnell</w:t>
      </w:r>
      <w:proofErr w:type="spellEnd"/>
      <w:r>
        <w:t xml:space="preserve"> P. D. (2013). Disgust facilitates outgroup dehumanization. Group Processes &amp; Intergroup Relations, 16, 771–780.</w:t>
      </w:r>
    </w:p>
    <w:p w14:paraId="09B6C733" w14:textId="77777777" w:rsidR="007524E6" w:rsidRDefault="007524E6" w:rsidP="007524E6">
      <w:pPr>
        <w:pStyle w:val="whitespace-pre-wrap"/>
      </w:pPr>
      <w:r>
        <w:t xml:space="preserve">Castano E., </w:t>
      </w:r>
      <w:proofErr w:type="spellStart"/>
      <w:r>
        <w:t>Giner-Sorolla</w:t>
      </w:r>
      <w:proofErr w:type="spellEnd"/>
      <w:r>
        <w:t xml:space="preserve"> R. (2006). Not quite human: Infra-humanization in response to collective responsibility for intergroup killing. Journal of Personality and Social Psychology, 90, 804–818.</w:t>
      </w:r>
    </w:p>
    <w:p w14:paraId="44049A76" w14:textId="77777777" w:rsidR="007524E6" w:rsidRDefault="007524E6" w:rsidP="007524E6">
      <w:pPr>
        <w:pStyle w:val="whitespace-pre-wrap"/>
      </w:pPr>
      <w:proofErr w:type="spellStart"/>
      <w:r>
        <w:t>Deska</w:t>
      </w:r>
      <w:proofErr w:type="spellEnd"/>
      <w:r>
        <w:t xml:space="preserve"> J. C., Almaraz S. M., </w:t>
      </w:r>
      <w:proofErr w:type="spellStart"/>
      <w:r>
        <w:t>Hugenberg</w:t>
      </w:r>
      <w:proofErr w:type="spellEnd"/>
      <w:r>
        <w:t xml:space="preserve"> K. (2020). Dehumanizing Prisoners: Remaining Sentence Duration Predicts the Ascription of Mind to Prisoners. Personality and Social Psychology Bulletin, 46(11), 1614-1627.</w:t>
      </w:r>
    </w:p>
    <w:p w14:paraId="7FA67DC6" w14:textId="77777777" w:rsidR="007524E6" w:rsidRDefault="007524E6" w:rsidP="007524E6">
      <w:pPr>
        <w:pStyle w:val="whitespace-pre-wrap"/>
      </w:pPr>
      <w:proofErr w:type="spellStart"/>
      <w:r>
        <w:t>Deska</w:t>
      </w:r>
      <w:proofErr w:type="spellEnd"/>
      <w:r>
        <w:t xml:space="preserve"> J. C., Lloyd E. P., </w:t>
      </w:r>
      <w:proofErr w:type="spellStart"/>
      <w:r>
        <w:t>Hugenberg</w:t>
      </w:r>
      <w:proofErr w:type="spellEnd"/>
      <w:r>
        <w:t xml:space="preserve"> K. (2018). Facing humanness: Facial width-to-height ratio predicts ascriptions of humanity. Journal of Personality and Social Psychology, 114, 75–94.</w:t>
      </w:r>
    </w:p>
    <w:p w14:paraId="31341E20" w14:textId="77777777" w:rsidR="007524E6" w:rsidRDefault="007524E6" w:rsidP="007524E6">
      <w:pPr>
        <w:pStyle w:val="whitespace-pre-wrap"/>
      </w:pPr>
      <w:r>
        <w:t>Fincher K. M., Tetlock P. E. (2016). Perceptual dehumanization of faces is activated by norm violations and facilitates norm enforcement. Journal of Experimental Psychology: General, 145, 131–146.</w:t>
      </w:r>
    </w:p>
    <w:p w14:paraId="37747B94" w14:textId="77777777" w:rsidR="007524E6" w:rsidRDefault="007524E6" w:rsidP="007524E6">
      <w:pPr>
        <w:pStyle w:val="whitespace-pre-wrap"/>
      </w:pPr>
      <w:proofErr w:type="spellStart"/>
      <w:r>
        <w:t>Giner-Sorolla</w:t>
      </w:r>
      <w:proofErr w:type="spellEnd"/>
      <w:r>
        <w:t xml:space="preserve"> R., Leidner B., Castano E. (2012). Dehumanization, demonization, and morality shifting: Paths to moral certainty in extremist violence. In Hogg M. A., Blaylock D. L. (Eds.), Extremism and the psychology of uncertainty (pp. 165–182). Wiley-Blackwell.</w:t>
      </w:r>
    </w:p>
    <w:p w14:paraId="0AB5C153" w14:textId="77777777" w:rsidR="007524E6" w:rsidRDefault="007524E6" w:rsidP="007524E6">
      <w:pPr>
        <w:pStyle w:val="whitespace-pre-wrap"/>
      </w:pPr>
      <w:r>
        <w:t>Harris L. T., Fiske S. T. (2006). Dehumanizing the lowest of the low: Neuroimaging responses to extreme out-groups. Psychological Science, 17, 847–853.</w:t>
      </w:r>
    </w:p>
    <w:p w14:paraId="79C6377C" w14:textId="77777777" w:rsidR="007524E6" w:rsidRDefault="007524E6" w:rsidP="007524E6">
      <w:pPr>
        <w:pStyle w:val="whitespace-pre-wrap"/>
      </w:pPr>
      <w:r>
        <w:t xml:space="preserve">Haslam N., Loughnan S. (2014). Dehumanization and </w:t>
      </w:r>
      <w:proofErr w:type="spellStart"/>
      <w:r>
        <w:t>infrahumanization</w:t>
      </w:r>
      <w:proofErr w:type="spellEnd"/>
      <w:r>
        <w:t>. Annual Review of Psychology, 65, 399–423.</w:t>
      </w:r>
    </w:p>
    <w:p w14:paraId="444B81F0" w14:textId="77777777" w:rsidR="007524E6" w:rsidRDefault="007524E6" w:rsidP="007524E6">
      <w:pPr>
        <w:pStyle w:val="whitespace-pre-wrap"/>
      </w:pPr>
      <w:r>
        <w:t xml:space="preserve">Khalid S., </w:t>
      </w:r>
      <w:proofErr w:type="spellStart"/>
      <w:r>
        <w:t>Deska</w:t>
      </w:r>
      <w:proofErr w:type="spellEnd"/>
      <w:r>
        <w:t xml:space="preserve"> J. C., </w:t>
      </w:r>
      <w:proofErr w:type="spellStart"/>
      <w:r>
        <w:t>Hugenberg</w:t>
      </w:r>
      <w:proofErr w:type="spellEnd"/>
      <w:r>
        <w:t xml:space="preserve"> K. (2016). The eyes are the windows to the mind: Direct eye gaze triggers the ascription of others' minds. Personality and Social Psychology Bulletin, 42, 1666–1677.</w:t>
      </w:r>
    </w:p>
    <w:p w14:paraId="1FC4B1A0" w14:textId="77777777" w:rsidR="007524E6" w:rsidRDefault="007524E6" w:rsidP="007524E6">
      <w:pPr>
        <w:pStyle w:val="whitespace-pre-wrap"/>
      </w:pPr>
      <w:proofErr w:type="spellStart"/>
      <w:r>
        <w:lastRenderedPageBreak/>
        <w:t>Kteily</w:t>
      </w:r>
      <w:proofErr w:type="spellEnd"/>
      <w:r>
        <w:t xml:space="preserve"> N., Bruneau E., </w:t>
      </w:r>
      <w:proofErr w:type="spellStart"/>
      <w:r>
        <w:t>Waytz</w:t>
      </w:r>
      <w:proofErr w:type="spellEnd"/>
      <w:r>
        <w:t xml:space="preserve"> A., Cotterill S. (2015). The ascent of man: Theoretical and empirical evidence for blatant dehumanization. Journal of Personality and Social Psychology, 109, 901–931.</w:t>
      </w:r>
    </w:p>
    <w:p w14:paraId="57DF0E02" w14:textId="77777777" w:rsidR="007524E6" w:rsidRDefault="007524E6" w:rsidP="007524E6">
      <w:pPr>
        <w:pStyle w:val="whitespace-pre-wrap"/>
      </w:pPr>
      <w:proofErr w:type="spellStart"/>
      <w:r>
        <w:t>Leyens</w:t>
      </w:r>
      <w:proofErr w:type="spellEnd"/>
      <w:r>
        <w:t xml:space="preserve"> J. P., Paladino P. M., Rodriguez-Torres R., Vaes J., </w:t>
      </w:r>
      <w:proofErr w:type="spellStart"/>
      <w:r>
        <w:t>Demoulin</w:t>
      </w:r>
      <w:proofErr w:type="spellEnd"/>
      <w:r>
        <w:t xml:space="preserve"> S., Rodriguez-Perez A., Gaunt R. (2000). The emotional side of prejudice: The attribution of secondary emotions to ingroups and outgroups. Personality and Social Psychology Review, 4, 186–197.</w:t>
      </w:r>
    </w:p>
    <w:p w14:paraId="23293620" w14:textId="77777777" w:rsidR="007524E6" w:rsidRDefault="007524E6" w:rsidP="007524E6">
      <w:pPr>
        <w:pStyle w:val="whitespace-pre-wrap"/>
      </w:pPr>
      <w:r>
        <w:t>Myers B., Godwin D., Latter R., Winstanley S. (2004). Victim impact statements and mock juror sentencing. American Journal of Forensic Psychology, 22, 39–55.</w:t>
      </w:r>
    </w:p>
    <w:p w14:paraId="7F0E2377" w14:textId="77777777" w:rsidR="007524E6" w:rsidRDefault="007524E6" w:rsidP="007524E6">
      <w:pPr>
        <w:pStyle w:val="whitespace-pre-wrap"/>
      </w:pPr>
      <w:r>
        <w:t>Osofsky M. J., Bandura A., Zimbardo P. G. (2005). The role of moral disengagement in the execution process. Law and Human Behavior, 29, 371–393.</w:t>
      </w:r>
    </w:p>
    <w:p w14:paraId="5C739520" w14:textId="77777777" w:rsidR="007524E6" w:rsidRDefault="007524E6" w:rsidP="007524E6">
      <w:pPr>
        <w:pStyle w:val="whitespace-pre-wrap"/>
      </w:pPr>
      <w:r>
        <w:t xml:space="preserve">Rai T. S., </w:t>
      </w:r>
      <w:proofErr w:type="spellStart"/>
      <w:r>
        <w:t>Valdesolo</w:t>
      </w:r>
      <w:proofErr w:type="spellEnd"/>
      <w:r>
        <w:t xml:space="preserve"> P., Graham J. (2017). Dehumanization increases instrumental violence, but not moral violence. Proceedings of the National Academy of Sciences of the United States of America, 114, 8511–8516.</w:t>
      </w:r>
    </w:p>
    <w:p w14:paraId="592CC111" w14:textId="77777777" w:rsidR="007524E6" w:rsidRDefault="007524E6" w:rsidP="007524E6">
      <w:pPr>
        <w:pStyle w:val="whitespace-pre-wrap"/>
      </w:pPr>
      <w:r>
        <w:t xml:space="preserve">Vaes J., </w:t>
      </w:r>
      <w:proofErr w:type="spellStart"/>
      <w:r>
        <w:t>Leyens</w:t>
      </w:r>
      <w:proofErr w:type="spellEnd"/>
      <w:r>
        <w:t xml:space="preserve"> J. P., Paola Paladino M., Pires Miranda M. (2012). We are human, they are not: Driving forces behind outgroup </w:t>
      </w:r>
      <w:proofErr w:type="spellStart"/>
      <w:r>
        <w:t>dehumanisation</w:t>
      </w:r>
      <w:proofErr w:type="spellEnd"/>
      <w:r>
        <w:t xml:space="preserve"> and the </w:t>
      </w:r>
      <w:proofErr w:type="spellStart"/>
      <w:r>
        <w:t>humanisation</w:t>
      </w:r>
      <w:proofErr w:type="spellEnd"/>
      <w:r>
        <w:t xml:space="preserve"> of the ingroup. European Review of Social Psychology, 23, 64–106.</w:t>
      </w:r>
    </w:p>
    <w:p w14:paraId="24F79E37" w14:textId="77777777" w:rsidR="007524E6" w:rsidRDefault="007524E6" w:rsidP="007524E6">
      <w:pPr>
        <w:pStyle w:val="whitespace-pre-wrap"/>
      </w:pPr>
      <w:r>
        <w:t xml:space="preserve">Vasiljevic M., Viki G. T. (2014). Dehumanization, moral disengagement, and public attitudes to crime and punishment. In Bain P. G., Vaes J., </w:t>
      </w:r>
      <w:proofErr w:type="spellStart"/>
      <w:r>
        <w:t>Leyens</w:t>
      </w:r>
      <w:proofErr w:type="spellEnd"/>
      <w:r>
        <w:t xml:space="preserve"> J.-P. (Eds.), Humanness and dehumanization (pp. 129–146). Psychology Press.</w:t>
      </w:r>
    </w:p>
    <w:p w14:paraId="4A7D732E" w14:textId="77777777" w:rsidR="007524E6" w:rsidRDefault="007524E6" w:rsidP="007524E6">
      <w:pPr>
        <w:pStyle w:val="whitespace-pre-wrap"/>
      </w:pPr>
      <w:r>
        <w:t>Viki G. T., Fullerton I., Raggett H., Tait F., Wiltshire S. (2012). The role of dehumanization in attitudes toward the social exclusion and rehabilitation of sex offenders. Journal of Applied Social Psychology, 42, 2349–2367.</w:t>
      </w:r>
    </w:p>
    <w:p w14:paraId="49B88553" w14:textId="77777777" w:rsidR="007524E6" w:rsidRDefault="007524E6" w:rsidP="007524E6">
      <w:pPr>
        <w:pStyle w:val="whitespace-pre-wrap"/>
      </w:pPr>
      <w:r>
        <w:t>Viki G. T., Osgood D., Phillips S. (2013). Dehumanization and self-reported proclivity to torture prisoners of war. Journal of Experimental Social Psychology, 49, 325–328.</w:t>
      </w:r>
    </w:p>
    <w:p w14:paraId="46DFA448" w14:textId="77777777" w:rsidR="007524E6" w:rsidRDefault="007524E6" w:rsidP="007524E6">
      <w:pPr>
        <w:pStyle w:val="whitespace-pre-wrap"/>
      </w:pPr>
      <w:proofErr w:type="spellStart"/>
      <w:r>
        <w:t>Zebel</w:t>
      </w:r>
      <w:proofErr w:type="spellEnd"/>
      <w:r>
        <w:t xml:space="preserve"> S., Zimmermann A., Viki G. T., </w:t>
      </w:r>
      <w:proofErr w:type="spellStart"/>
      <w:r>
        <w:t>Doosje</w:t>
      </w:r>
      <w:proofErr w:type="spellEnd"/>
      <w:r>
        <w:t xml:space="preserve"> B. (2008). Dehumanization and guilt as distinct but related predictors of support for reparation policies. Political Psychology, 29, 193–219.</w:t>
      </w:r>
    </w:p>
    <w:p w14:paraId="536B9E3D" w14:textId="77777777" w:rsidR="00F07064" w:rsidRDefault="00F07064">
      <w:pPr>
        <w:rPr>
          <w:rFonts w:ascii="Open Sans" w:hAnsi="Open Sans" w:cs="Open Sans"/>
          <w:color w:val="333333"/>
          <w:shd w:val="clear" w:color="auto" w:fill="FFFFFF"/>
        </w:rPr>
      </w:pPr>
    </w:p>
    <w:p w14:paraId="0E4CFE5C" w14:textId="3028DB2B" w:rsidR="00F07064" w:rsidRDefault="00F07064">
      <w:pPr>
        <w:rPr>
          <w:rFonts w:ascii="Open Sans" w:hAnsi="Open Sans" w:cs="Open Sans"/>
          <w:color w:val="333333"/>
          <w:shd w:val="clear" w:color="auto" w:fill="FFFFFF"/>
        </w:rPr>
      </w:pPr>
      <w:proofErr w:type="spellStart"/>
      <w:r>
        <w:rPr>
          <w:rFonts w:ascii="Open Sans" w:hAnsi="Open Sans" w:cs="Open Sans"/>
          <w:color w:val="333333"/>
          <w:shd w:val="clear" w:color="auto" w:fill="FFFFFF"/>
        </w:rPr>
        <w:t>Terrizzi</w:t>
      </w:r>
      <w:proofErr w:type="spellEnd"/>
      <w:r>
        <w:rPr>
          <w:rFonts w:ascii="Open Sans" w:hAnsi="Open Sans" w:cs="Open Sans"/>
          <w:color w:val="333333"/>
          <w:shd w:val="clear" w:color="auto" w:fill="FFFFFF"/>
        </w:rPr>
        <w:t xml:space="preserve"> J. A. Jr, Shook N. J., Ventis W. L. (2010). Disgust: A predictor of social conservatism and prejudicial attitudes toward homosexuals.</w:t>
      </w:r>
      <w:r>
        <w:rPr>
          <w:rStyle w:val="apple-converted-space"/>
          <w:rFonts w:ascii="Open Sans" w:eastAsiaTheme="majorEastAsia" w:hAnsi="Open Sans" w:cs="Open Sans"/>
          <w:color w:val="333333"/>
          <w:shd w:val="clear" w:color="auto" w:fill="FFFFFF"/>
        </w:rPr>
        <w:t> </w:t>
      </w:r>
      <w:r>
        <w:rPr>
          <w:rStyle w:val="Emphasis"/>
          <w:rFonts w:ascii="Open Sans" w:eastAsiaTheme="majorEastAsia" w:hAnsi="Open Sans" w:cs="Open Sans"/>
          <w:color w:val="333333"/>
        </w:rPr>
        <w:t>Personality and Individual Differences</w:t>
      </w:r>
      <w:r>
        <w:rPr>
          <w:rFonts w:ascii="Open Sans" w:hAnsi="Open Sans" w:cs="Open Sans"/>
          <w:color w:val="333333"/>
          <w:shd w:val="clear" w:color="auto" w:fill="FFFFFF"/>
        </w:rPr>
        <w:t>, 49, 587–592.</w:t>
      </w:r>
    </w:p>
    <w:p w14:paraId="6F92DA86" w14:textId="77777777" w:rsidR="00F07064" w:rsidRDefault="00F07064">
      <w:pPr>
        <w:rPr>
          <w:rFonts w:ascii="Open Sans" w:hAnsi="Open Sans" w:cs="Open Sans"/>
          <w:color w:val="333333"/>
          <w:shd w:val="clear" w:color="auto" w:fill="FFFFFF"/>
        </w:rPr>
      </w:pPr>
    </w:p>
    <w:sectPr w:rsidR="00F07064" w:rsidSect="007524E6">
      <w:footerReference w:type="even" r:id="rId68"/>
      <w:footerReference w:type="default" r:id="rId69"/>
      <w:headerReference w:type="first" r:id="rId7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71223" w14:textId="77777777" w:rsidR="00E81EB2" w:rsidRDefault="00E81EB2">
      <w:r>
        <w:separator/>
      </w:r>
    </w:p>
  </w:endnote>
  <w:endnote w:type="continuationSeparator" w:id="0">
    <w:p w14:paraId="5DEC5F15" w14:textId="77777777" w:rsidR="00E81EB2" w:rsidRDefault="00E81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rriweather Sans">
    <w:panose1 w:val="00000000000000000000"/>
    <w:charset w:val="4D"/>
    <w:family w:val="auto"/>
    <w:pitch w:val="variable"/>
    <w:sig w:usb0="A00004FF" w:usb1="4000207B" w:usb2="00000000" w:usb3="00000000" w:csb0="00000193" w:csb1="00000000"/>
  </w:font>
  <w:font w:name="-webkit-standard">
    <w:altName w:val="Cambria"/>
    <w:panose1 w:val="020B0604020202020204"/>
    <w:charset w:val="00"/>
    <w:family w:val="roman"/>
    <w:notTrueType/>
    <w:pitch w:val="default"/>
  </w:font>
  <w:font w:name="Open Sans">
    <w:altName w:val="﷽﷽﷽﷽﷽﷽﷽﷽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1CBEDD1A" w14:textId="77777777" w:rsidR="009858F6" w:rsidRDefault="00000000"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34DDA6" w14:textId="77777777" w:rsidR="009858F6" w:rsidRDefault="009858F6"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508B9767" w14:textId="77777777" w:rsidR="009858F6" w:rsidRDefault="00000000"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63C29A8" w14:textId="77777777" w:rsidR="009858F6" w:rsidRDefault="009858F6"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008C" w14:textId="77777777" w:rsidR="00E81EB2" w:rsidRDefault="00E81EB2">
      <w:r>
        <w:separator/>
      </w:r>
    </w:p>
  </w:footnote>
  <w:footnote w:type="continuationSeparator" w:id="0">
    <w:p w14:paraId="66899B4E" w14:textId="77777777" w:rsidR="00E81EB2" w:rsidRDefault="00E81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86D3" w14:textId="77777777" w:rsidR="009858F6" w:rsidRDefault="00000000">
    <w:pPr>
      <w:pStyle w:val="Header"/>
      <w:rPr>
        <w:rFonts w:ascii="Calibri" w:hAnsi="Calibri" w:cs="Calibri"/>
      </w:rPr>
    </w:pPr>
    <w:r>
      <w:rPr>
        <w:rFonts w:ascii="Calibri" w:hAnsi="Calibri" w:cs="Calibri"/>
      </w:rPr>
      <w:t>Kristina Mensik</w:t>
    </w:r>
  </w:p>
  <w:p w14:paraId="298A0F7D" w14:textId="77777777" w:rsidR="009858F6" w:rsidRDefault="00000000">
    <w:pPr>
      <w:pStyle w:val="Header"/>
      <w:rPr>
        <w:rFonts w:ascii="Calibri" w:hAnsi="Calibri" w:cs="Calibri"/>
      </w:rPr>
    </w:pPr>
    <w:r>
      <w:rPr>
        <w:rFonts w:ascii="Calibri" w:hAnsi="Calibri" w:cs="Calibri"/>
      </w:rPr>
      <w:t>Nov 11, 2023</w:t>
    </w:r>
  </w:p>
  <w:p w14:paraId="30810926" w14:textId="77777777" w:rsidR="009858F6" w:rsidRDefault="00000000">
    <w:pPr>
      <w:pStyle w:val="Header"/>
      <w:rPr>
        <w:rFonts w:ascii="Calibri" w:hAnsi="Calibri" w:cs="Calibri"/>
      </w:rPr>
    </w:pPr>
    <w:r>
      <w:rPr>
        <w:rFonts w:ascii="Calibri" w:hAnsi="Calibri" w:cs="Calibri"/>
      </w:rPr>
      <w:t>908 – Prelim Deliverable</w:t>
    </w:r>
  </w:p>
  <w:p w14:paraId="6148CF5E" w14:textId="77777777" w:rsidR="009858F6" w:rsidRPr="00100B73" w:rsidRDefault="009858F6">
    <w:pPr>
      <w:pStyle w:val="Header"/>
      <w:rPr>
        <w:rFonts w:ascii="Calibri" w:hAnsi="Calibri" w:cs="Calibr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E6"/>
    <w:rsid w:val="00007A85"/>
    <w:rsid w:val="000204F6"/>
    <w:rsid w:val="000856D8"/>
    <w:rsid w:val="000B564E"/>
    <w:rsid w:val="00124B5D"/>
    <w:rsid w:val="0016689E"/>
    <w:rsid w:val="00345021"/>
    <w:rsid w:val="003A04A0"/>
    <w:rsid w:val="003B7CD3"/>
    <w:rsid w:val="003C42DA"/>
    <w:rsid w:val="00444623"/>
    <w:rsid w:val="004B6AE2"/>
    <w:rsid w:val="004F66EC"/>
    <w:rsid w:val="00520CE6"/>
    <w:rsid w:val="00596415"/>
    <w:rsid w:val="005C7C2A"/>
    <w:rsid w:val="005D44A9"/>
    <w:rsid w:val="005E672F"/>
    <w:rsid w:val="00605FC9"/>
    <w:rsid w:val="006829CE"/>
    <w:rsid w:val="006D4600"/>
    <w:rsid w:val="00724115"/>
    <w:rsid w:val="007524E6"/>
    <w:rsid w:val="00901860"/>
    <w:rsid w:val="009676E1"/>
    <w:rsid w:val="009858F6"/>
    <w:rsid w:val="009D7A5F"/>
    <w:rsid w:val="00A229D4"/>
    <w:rsid w:val="00AA323D"/>
    <w:rsid w:val="00AB47AD"/>
    <w:rsid w:val="00B16671"/>
    <w:rsid w:val="00B35518"/>
    <w:rsid w:val="00BD1087"/>
    <w:rsid w:val="00C262BB"/>
    <w:rsid w:val="00C324E5"/>
    <w:rsid w:val="00D25DF3"/>
    <w:rsid w:val="00DC12A5"/>
    <w:rsid w:val="00E616C8"/>
    <w:rsid w:val="00E81EB2"/>
    <w:rsid w:val="00E85772"/>
    <w:rsid w:val="00F07064"/>
    <w:rsid w:val="00F2775D"/>
    <w:rsid w:val="00F60588"/>
    <w:rsid w:val="00F87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C8E438"/>
  <w15:chartTrackingRefBased/>
  <w15:docId w15:val="{274E157B-27BA-6A45-8CE1-BE37A6FD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0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24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524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524E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524E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524E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524E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524E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524E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524E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4E6"/>
    <w:rPr>
      <w:rFonts w:eastAsiaTheme="majorEastAsia" w:cstheme="majorBidi"/>
      <w:color w:val="272727" w:themeColor="text1" w:themeTint="D8"/>
    </w:rPr>
  </w:style>
  <w:style w:type="paragraph" w:styleId="Title">
    <w:name w:val="Title"/>
    <w:basedOn w:val="Normal"/>
    <w:next w:val="Normal"/>
    <w:link w:val="TitleChar"/>
    <w:uiPriority w:val="10"/>
    <w:qFormat/>
    <w:rsid w:val="007524E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2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4E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2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4E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524E6"/>
    <w:rPr>
      <w:i/>
      <w:iCs/>
      <w:color w:val="404040" w:themeColor="text1" w:themeTint="BF"/>
    </w:rPr>
  </w:style>
  <w:style w:type="paragraph" w:styleId="ListParagraph">
    <w:name w:val="List Paragraph"/>
    <w:basedOn w:val="Normal"/>
    <w:uiPriority w:val="34"/>
    <w:qFormat/>
    <w:rsid w:val="007524E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524E6"/>
    <w:rPr>
      <w:i/>
      <w:iCs/>
      <w:color w:val="0F4761" w:themeColor="accent1" w:themeShade="BF"/>
    </w:rPr>
  </w:style>
  <w:style w:type="paragraph" w:styleId="IntenseQuote">
    <w:name w:val="Intense Quote"/>
    <w:basedOn w:val="Normal"/>
    <w:next w:val="Normal"/>
    <w:link w:val="IntenseQuoteChar"/>
    <w:uiPriority w:val="30"/>
    <w:qFormat/>
    <w:rsid w:val="007524E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524E6"/>
    <w:rPr>
      <w:i/>
      <w:iCs/>
      <w:color w:val="0F4761" w:themeColor="accent1" w:themeShade="BF"/>
    </w:rPr>
  </w:style>
  <w:style w:type="character" w:styleId="IntenseReference">
    <w:name w:val="Intense Reference"/>
    <w:basedOn w:val="DefaultParagraphFont"/>
    <w:uiPriority w:val="32"/>
    <w:qFormat/>
    <w:rsid w:val="007524E6"/>
    <w:rPr>
      <w:b/>
      <w:bCs/>
      <w:smallCaps/>
      <w:color w:val="0F4761" w:themeColor="accent1" w:themeShade="BF"/>
      <w:spacing w:val="5"/>
    </w:rPr>
  </w:style>
  <w:style w:type="paragraph" w:styleId="Header">
    <w:name w:val="header"/>
    <w:basedOn w:val="Normal"/>
    <w:link w:val="HeaderChar"/>
    <w:uiPriority w:val="99"/>
    <w:unhideWhenUsed/>
    <w:rsid w:val="007524E6"/>
    <w:pPr>
      <w:tabs>
        <w:tab w:val="center" w:pos="4680"/>
        <w:tab w:val="right" w:pos="9360"/>
      </w:tabs>
    </w:pPr>
  </w:style>
  <w:style w:type="character" w:customStyle="1" w:styleId="HeaderChar">
    <w:name w:val="Header Char"/>
    <w:basedOn w:val="DefaultParagraphFont"/>
    <w:link w:val="Header"/>
    <w:uiPriority w:val="99"/>
    <w:rsid w:val="007524E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524E6"/>
    <w:pPr>
      <w:tabs>
        <w:tab w:val="center" w:pos="4680"/>
        <w:tab w:val="right" w:pos="9360"/>
      </w:tabs>
    </w:pPr>
  </w:style>
  <w:style w:type="character" w:customStyle="1" w:styleId="FooterChar">
    <w:name w:val="Footer Char"/>
    <w:basedOn w:val="DefaultParagraphFont"/>
    <w:link w:val="Footer"/>
    <w:uiPriority w:val="99"/>
    <w:rsid w:val="007524E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524E6"/>
    <w:rPr>
      <w:color w:val="467886" w:themeColor="hyperlink"/>
      <w:u w:val="single"/>
    </w:rPr>
  </w:style>
  <w:style w:type="character" w:styleId="PageNumber">
    <w:name w:val="page number"/>
    <w:basedOn w:val="DefaultParagraphFont"/>
    <w:uiPriority w:val="99"/>
    <w:semiHidden/>
    <w:unhideWhenUsed/>
    <w:rsid w:val="007524E6"/>
  </w:style>
  <w:style w:type="paragraph" w:customStyle="1" w:styleId="whitespace-pre-wrap">
    <w:name w:val="whitespace-pre-wrap"/>
    <w:basedOn w:val="Normal"/>
    <w:rsid w:val="007524E6"/>
    <w:pPr>
      <w:spacing w:before="100" w:beforeAutospacing="1" w:after="100" w:afterAutospacing="1"/>
    </w:pPr>
  </w:style>
  <w:style w:type="character" w:styleId="Emphasis">
    <w:name w:val="Emphasis"/>
    <w:basedOn w:val="DefaultParagraphFont"/>
    <w:uiPriority w:val="20"/>
    <w:qFormat/>
    <w:rsid w:val="007524E6"/>
    <w:rPr>
      <w:i/>
      <w:iCs/>
    </w:rPr>
  </w:style>
  <w:style w:type="character" w:customStyle="1" w:styleId="apple-converted-space">
    <w:name w:val="apple-converted-space"/>
    <w:basedOn w:val="DefaultParagraphFont"/>
    <w:rsid w:val="00F07064"/>
  </w:style>
  <w:style w:type="character" w:styleId="UnresolvedMention">
    <w:name w:val="Unresolved Mention"/>
    <w:basedOn w:val="DefaultParagraphFont"/>
    <w:uiPriority w:val="99"/>
    <w:semiHidden/>
    <w:unhideWhenUsed/>
    <w:rsid w:val="003C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1081">
      <w:bodyDiv w:val="1"/>
      <w:marLeft w:val="0"/>
      <w:marRight w:val="0"/>
      <w:marTop w:val="0"/>
      <w:marBottom w:val="0"/>
      <w:divBdr>
        <w:top w:val="none" w:sz="0" w:space="0" w:color="auto"/>
        <w:left w:val="none" w:sz="0" w:space="0" w:color="auto"/>
        <w:bottom w:val="none" w:sz="0" w:space="0" w:color="auto"/>
        <w:right w:val="none" w:sz="0" w:space="0" w:color="auto"/>
      </w:divBdr>
      <w:divsChild>
        <w:div w:id="1913200762">
          <w:marLeft w:val="480"/>
          <w:marRight w:val="0"/>
          <w:marTop w:val="0"/>
          <w:marBottom w:val="0"/>
          <w:divBdr>
            <w:top w:val="none" w:sz="0" w:space="0" w:color="auto"/>
            <w:left w:val="none" w:sz="0" w:space="0" w:color="auto"/>
            <w:bottom w:val="none" w:sz="0" w:space="0" w:color="auto"/>
            <w:right w:val="none" w:sz="0" w:space="0" w:color="auto"/>
          </w:divBdr>
          <w:divsChild>
            <w:div w:id="16746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6003">
      <w:bodyDiv w:val="1"/>
      <w:marLeft w:val="0"/>
      <w:marRight w:val="0"/>
      <w:marTop w:val="0"/>
      <w:marBottom w:val="0"/>
      <w:divBdr>
        <w:top w:val="none" w:sz="0" w:space="0" w:color="auto"/>
        <w:left w:val="none" w:sz="0" w:space="0" w:color="auto"/>
        <w:bottom w:val="none" w:sz="0" w:space="0" w:color="auto"/>
        <w:right w:val="none" w:sz="0" w:space="0" w:color="auto"/>
      </w:divBdr>
      <w:divsChild>
        <w:div w:id="277225768">
          <w:marLeft w:val="480"/>
          <w:marRight w:val="0"/>
          <w:marTop w:val="0"/>
          <w:marBottom w:val="0"/>
          <w:divBdr>
            <w:top w:val="none" w:sz="0" w:space="0" w:color="auto"/>
            <w:left w:val="none" w:sz="0" w:space="0" w:color="auto"/>
            <w:bottom w:val="none" w:sz="0" w:space="0" w:color="auto"/>
            <w:right w:val="none" w:sz="0" w:space="0" w:color="auto"/>
          </w:divBdr>
          <w:divsChild>
            <w:div w:id="9386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58">
      <w:bodyDiv w:val="1"/>
      <w:marLeft w:val="0"/>
      <w:marRight w:val="0"/>
      <w:marTop w:val="0"/>
      <w:marBottom w:val="0"/>
      <w:divBdr>
        <w:top w:val="none" w:sz="0" w:space="0" w:color="auto"/>
        <w:left w:val="none" w:sz="0" w:space="0" w:color="auto"/>
        <w:bottom w:val="none" w:sz="0" w:space="0" w:color="auto"/>
        <w:right w:val="none" w:sz="0" w:space="0" w:color="auto"/>
      </w:divBdr>
      <w:divsChild>
        <w:div w:id="451633329">
          <w:marLeft w:val="480"/>
          <w:marRight w:val="0"/>
          <w:marTop w:val="0"/>
          <w:marBottom w:val="0"/>
          <w:divBdr>
            <w:top w:val="none" w:sz="0" w:space="0" w:color="auto"/>
            <w:left w:val="none" w:sz="0" w:space="0" w:color="auto"/>
            <w:bottom w:val="none" w:sz="0" w:space="0" w:color="auto"/>
            <w:right w:val="none" w:sz="0" w:space="0" w:color="auto"/>
          </w:divBdr>
          <w:divsChild>
            <w:div w:id="12227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159">
      <w:bodyDiv w:val="1"/>
      <w:marLeft w:val="0"/>
      <w:marRight w:val="0"/>
      <w:marTop w:val="0"/>
      <w:marBottom w:val="0"/>
      <w:divBdr>
        <w:top w:val="none" w:sz="0" w:space="0" w:color="auto"/>
        <w:left w:val="none" w:sz="0" w:space="0" w:color="auto"/>
        <w:bottom w:val="none" w:sz="0" w:space="0" w:color="auto"/>
        <w:right w:val="none" w:sz="0" w:space="0" w:color="auto"/>
      </w:divBdr>
      <w:divsChild>
        <w:div w:id="1062557492">
          <w:marLeft w:val="480"/>
          <w:marRight w:val="0"/>
          <w:marTop w:val="0"/>
          <w:marBottom w:val="0"/>
          <w:divBdr>
            <w:top w:val="none" w:sz="0" w:space="0" w:color="auto"/>
            <w:left w:val="none" w:sz="0" w:space="0" w:color="auto"/>
            <w:bottom w:val="none" w:sz="0" w:space="0" w:color="auto"/>
            <w:right w:val="none" w:sz="0" w:space="0" w:color="auto"/>
          </w:divBdr>
          <w:divsChild>
            <w:div w:id="20430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545">
      <w:bodyDiv w:val="1"/>
      <w:marLeft w:val="0"/>
      <w:marRight w:val="0"/>
      <w:marTop w:val="0"/>
      <w:marBottom w:val="0"/>
      <w:divBdr>
        <w:top w:val="none" w:sz="0" w:space="0" w:color="auto"/>
        <w:left w:val="none" w:sz="0" w:space="0" w:color="auto"/>
        <w:bottom w:val="none" w:sz="0" w:space="0" w:color="auto"/>
        <w:right w:val="none" w:sz="0" w:space="0" w:color="auto"/>
      </w:divBdr>
      <w:divsChild>
        <w:div w:id="1342273271">
          <w:marLeft w:val="480"/>
          <w:marRight w:val="0"/>
          <w:marTop w:val="0"/>
          <w:marBottom w:val="0"/>
          <w:divBdr>
            <w:top w:val="none" w:sz="0" w:space="0" w:color="auto"/>
            <w:left w:val="none" w:sz="0" w:space="0" w:color="auto"/>
            <w:bottom w:val="none" w:sz="0" w:space="0" w:color="auto"/>
            <w:right w:val="none" w:sz="0" w:space="0" w:color="auto"/>
          </w:divBdr>
          <w:divsChild>
            <w:div w:id="8514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1816">
      <w:bodyDiv w:val="1"/>
      <w:marLeft w:val="0"/>
      <w:marRight w:val="0"/>
      <w:marTop w:val="0"/>
      <w:marBottom w:val="0"/>
      <w:divBdr>
        <w:top w:val="none" w:sz="0" w:space="0" w:color="auto"/>
        <w:left w:val="none" w:sz="0" w:space="0" w:color="auto"/>
        <w:bottom w:val="none" w:sz="0" w:space="0" w:color="auto"/>
        <w:right w:val="none" w:sz="0" w:space="0" w:color="auto"/>
      </w:divBdr>
      <w:divsChild>
        <w:div w:id="123736045">
          <w:marLeft w:val="480"/>
          <w:marRight w:val="0"/>
          <w:marTop w:val="0"/>
          <w:marBottom w:val="0"/>
          <w:divBdr>
            <w:top w:val="none" w:sz="0" w:space="0" w:color="auto"/>
            <w:left w:val="none" w:sz="0" w:space="0" w:color="auto"/>
            <w:bottom w:val="none" w:sz="0" w:space="0" w:color="auto"/>
            <w:right w:val="none" w:sz="0" w:space="0" w:color="auto"/>
          </w:divBdr>
          <w:divsChild>
            <w:div w:id="16409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1753">
      <w:bodyDiv w:val="1"/>
      <w:marLeft w:val="0"/>
      <w:marRight w:val="0"/>
      <w:marTop w:val="0"/>
      <w:marBottom w:val="0"/>
      <w:divBdr>
        <w:top w:val="none" w:sz="0" w:space="0" w:color="auto"/>
        <w:left w:val="none" w:sz="0" w:space="0" w:color="auto"/>
        <w:bottom w:val="none" w:sz="0" w:space="0" w:color="auto"/>
        <w:right w:val="none" w:sz="0" w:space="0" w:color="auto"/>
      </w:divBdr>
      <w:divsChild>
        <w:div w:id="120342603">
          <w:marLeft w:val="480"/>
          <w:marRight w:val="0"/>
          <w:marTop w:val="0"/>
          <w:marBottom w:val="0"/>
          <w:divBdr>
            <w:top w:val="none" w:sz="0" w:space="0" w:color="auto"/>
            <w:left w:val="none" w:sz="0" w:space="0" w:color="auto"/>
            <w:bottom w:val="none" w:sz="0" w:space="0" w:color="auto"/>
            <w:right w:val="none" w:sz="0" w:space="0" w:color="auto"/>
          </w:divBdr>
          <w:divsChild>
            <w:div w:id="6298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6737">
      <w:bodyDiv w:val="1"/>
      <w:marLeft w:val="0"/>
      <w:marRight w:val="0"/>
      <w:marTop w:val="0"/>
      <w:marBottom w:val="0"/>
      <w:divBdr>
        <w:top w:val="none" w:sz="0" w:space="0" w:color="auto"/>
        <w:left w:val="none" w:sz="0" w:space="0" w:color="auto"/>
        <w:bottom w:val="none" w:sz="0" w:space="0" w:color="auto"/>
        <w:right w:val="none" w:sz="0" w:space="0" w:color="auto"/>
      </w:divBdr>
      <w:divsChild>
        <w:div w:id="2100365596">
          <w:marLeft w:val="480"/>
          <w:marRight w:val="0"/>
          <w:marTop w:val="0"/>
          <w:marBottom w:val="0"/>
          <w:divBdr>
            <w:top w:val="none" w:sz="0" w:space="0" w:color="auto"/>
            <w:left w:val="none" w:sz="0" w:space="0" w:color="auto"/>
            <w:bottom w:val="none" w:sz="0" w:space="0" w:color="auto"/>
            <w:right w:val="none" w:sz="0" w:space="0" w:color="auto"/>
          </w:divBdr>
          <w:divsChild>
            <w:div w:id="1721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1620">
      <w:bodyDiv w:val="1"/>
      <w:marLeft w:val="0"/>
      <w:marRight w:val="0"/>
      <w:marTop w:val="0"/>
      <w:marBottom w:val="0"/>
      <w:divBdr>
        <w:top w:val="none" w:sz="0" w:space="0" w:color="auto"/>
        <w:left w:val="none" w:sz="0" w:space="0" w:color="auto"/>
        <w:bottom w:val="none" w:sz="0" w:space="0" w:color="auto"/>
        <w:right w:val="none" w:sz="0" w:space="0" w:color="auto"/>
      </w:divBdr>
      <w:divsChild>
        <w:div w:id="1179780213">
          <w:marLeft w:val="480"/>
          <w:marRight w:val="0"/>
          <w:marTop w:val="0"/>
          <w:marBottom w:val="0"/>
          <w:divBdr>
            <w:top w:val="none" w:sz="0" w:space="0" w:color="auto"/>
            <w:left w:val="none" w:sz="0" w:space="0" w:color="auto"/>
            <w:bottom w:val="none" w:sz="0" w:space="0" w:color="auto"/>
            <w:right w:val="none" w:sz="0" w:space="0" w:color="auto"/>
          </w:divBdr>
          <w:divsChild>
            <w:div w:id="10810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8822">
      <w:bodyDiv w:val="1"/>
      <w:marLeft w:val="0"/>
      <w:marRight w:val="0"/>
      <w:marTop w:val="0"/>
      <w:marBottom w:val="0"/>
      <w:divBdr>
        <w:top w:val="none" w:sz="0" w:space="0" w:color="auto"/>
        <w:left w:val="none" w:sz="0" w:space="0" w:color="auto"/>
        <w:bottom w:val="none" w:sz="0" w:space="0" w:color="auto"/>
        <w:right w:val="none" w:sz="0" w:space="0" w:color="auto"/>
      </w:divBdr>
      <w:divsChild>
        <w:div w:id="1827823687">
          <w:marLeft w:val="480"/>
          <w:marRight w:val="0"/>
          <w:marTop w:val="0"/>
          <w:marBottom w:val="0"/>
          <w:divBdr>
            <w:top w:val="none" w:sz="0" w:space="0" w:color="auto"/>
            <w:left w:val="none" w:sz="0" w:space="0" w:color="auto"/>
            <w:bottom w:val="none" w:sz="0" w:space="0" w:color="auto"/>
            <w:right w:val="none" w:sz="0" w:space="0" w:color="auto"/>
          </w:divBdr>
          <w:divsChild>
            <w:div w:id="7797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173">
      <w:bodyDiv w:val="1"/>
      <w:marLeft w:val="0"/>
      <w:marRight w:val="0"/>
      <w:marTop w:val="0"/>
      <w:marBottom w:val="0"/>
      <w:divBdr>
        <w:top w:val="none" w:sz="0" w:space="0" w:color="auto"/>
        <w:left w:val="none" w:sz="0" w:space="0" w:color="auto"/>
        <w:bottom w:val="none" w:sz="0" w:space="0" w:color="auto"/>
        <w:right w:val="none" w:sz="0" w:space="0" w:color="auto"/>
      </w:divBdr>
      <w:divsChild>
        <w:div w:id="1794209744">
          <w:marLeft w:val="480"/>
          <w:marRight w:val="0"/>
          <w:marTop w:val="0"/>
          <w:marBottom w:val="0"/>
          <w:divBdr>
            <w:top w:val="none" w:sz="0" w:space="0" w:color="auto"/>
            <w:left w:val="none" w:sz="0" w:space="0" w:color="auto"/>
            <w:bottom w:val="none" w:sz="0" w:space="0" w:color="auto"/>
            <w:right w:val="none" w:sz="0" w:space="0" w:color="auto"/>
          </w:divBdr>
          <w:divsChild>
            <w:div w:id="12147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776">
      <w:bodyDiv w:val="1"/>
      <w:marLeft w:val="0"/>
      <w:marRight w:val="0"/>
      <w:marTop w:val="0"/>
      <w:marBottom w:val="0"/>
      <w:divBdr>
        <w:top w:val="none" w:sz="0" w:space="0" w:color="auto"/>
        <w:left w:val="none" w:sz="0" w:space="0" w:color="auto"/>
        <w:bottom w:val="none" w:sz="0" w:space="0" w:color="auto"/>
        <w:right w:val="none" w:sz="0" w:space="0" w:color="auto"/>
      </w:divBdr>
      <w:divsChild>
        <w:div w:id="185795989">
          <w:marLeft w:val="480"/>
          <w:marRight w:val="0"/>
          <w:marTop w:val="0"/>
          <w:marBottom w:val="0"/>
          <w:divBdr>
            <w:top w:val="none" w:sz="0" w:space="0" w:color="auto"/>
            <w:left w:val="none" w:sz="0" w:space="0" w:color="auto"/>
            <w:bottom w:val="none" w:sz="0" w:space="0" w:color="auto"/>
            <w:right w:val="none" w:sz="0" w:space="0" w:color="auto"/>
          </w:divBdr>
          <w:divsChild>
            <w:div w:id="5823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7262">
      <w:bodyDiv w:val="1"/>
      <w:marLeft w:val="0"/>
      <w:marRight w:val="0"/>
      <w:marTop w:val="0"/>
      <w:marBottom w:val="0"/>
      <w:divBdr>
        <w:top w:val="none" w:sz="0" w:space="0" w:color="auto"/>
        <w:left w:val="none" w:sz="0" w:space="0" w:color="auto"/>
        <w:bottom w:val="none" w:sz="0" w:space="0" w:color="auto"/>
        <w:right w:val="none" w:sz="0" w:space="0" w:color="auto"/>
      </w:divBdr>
      <w:divsChild>
        <w:div w:id="566652192">
          <w:marLeft w:val="480"/>
          <w:marRight w:val="0"/>
          <w:marTop w:val="0"/>
          <w:marBottom w:val="0"/>
          <w:divBdr>
            <w:top w:val="none" w:sz="0" w:space="0" w:color="auto"/>
            <w:left w:val="none" w:sz="0" w:space="0" w:color="auto"/>
            <w:bottom w:val="none" w:sz="0" w:space="0" w:color="auto"/>
            <w:right w:val="none" w:sz="0" w:space="0" w:color="auto"/>
          </w:divBdr>
          <w:divsChild>
            <w:div w:id="2309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4587">
      <w:bodyDiv w:val="1"/>
      <w:marLeft w:val="0"/>
      <w:marRight w:val="0"/>
      <w:marTop w:val="0"/>
      <w:marBottom w:val="0"/>
      <w:divBdr>
        <w:top w:val="none" w:sz="0" w:space="0" w:color="auto"/>
        <w:left w:val="none" w:sz="0" w:space="0" w:color="auto"/>
        <w:bottom w:val="none" w:sz="0" w:space="0" w:color="auto"/>
        <w:right w:val="none" w:sz="0" w:space="0" w:color="auto"/>
      </w:divBdr>
      <w:divsChild>
        <w:div w:id="1410729845">
          <w:marLeft w:val="480"/>
          <w:marRight w:val="0"/>
          <w:marTop w:val="0"/>
          <w:marBottom w:val="0"/>
          <w:divBdr>
            <w:top w:val="none" w:sz="0" w:space="0" w:color="auto"/>
            <w:left w:val="none" w:sz="0" w:space="0" w:color="auto"/>
            <w:bottom w:val="none" w:sz="0" w:space="0" w:color="auto"/>
            <w:right w:val="none" w:sz="0" w:space="0" w:color="auto"/>
          </w:divBdr>
          <w:divsChild>
            <w:div w:id="6576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00599">
      <w:bodyDiv w:val="1"/>
      <w:marLeft w:val="0"/>
      <w:marRight w:val="0"/>
      <w:marTop w:val="0"/>
      <w:marBottom w:val="0"/>
      <w:divBdr>
        <w:top w:val="none" w:sz="0" w:space="0" w:color="auto"/>
        <w:left w:val="none" w:sz="0" w:space="0" w:color="auto"/>
        <w:bottom w:val="none" w:sz="0" w:space="0" w:color="auto"/>
        <w:right w:val="none" w:sz="0" w:space="0" w:color="auto"/>
      </w:divBdr>
    </w:div>
    <w:div w:id="725185380">
      <w:bodyDiv w:val="1"/>
      <w:marLeft w:val="0"/>
      <w:marRight w:val="0"/>
      <w:marTop w:val="0"/>
      <w:marBottom w:val="0"/>
      <w:divBdr>
        <w:top w:val="none" w:sz="0" w:space="0" w:color="auto"/>
        <w:left w:val="none" w:sz="0" w:space="0" w:color="auto"/>
        <w:bottom w:val="none" w:sz="0" w:space="0" w:color="auto"/>
        <w:right w:val="none" w:sz="0" w:space="0" w:color="auto"/>
      </w:divBdr>
      <w:divsChild>
        <w:div w:id="348678249">
          <w:marLeft w:val="480"/>
          <w:marRight w:val="0"/>
          <w:marTop w:val="0"/>
          <w:marBottom w:val="0"/>
          <w:divBdr>
            <w:top w:val="none" w:sz="0" w:space="0" w:color="auto"/>
            <w:left w:val="none" w:sz="0" w:space="0" w:color="auto"/>
            <w:bottom w:val="none" w:sz="0" w:space="0" w:color="auto"/>
            <w:right w:val="none" w:sz="0" w:space="0" w:color="auto"/>
          </w:divBdr>
          <w:divsChild>
            <w:div w:id="8851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8906">
      <w:bodyDiv w:val="1"/>
      <w:marLeft w:val="0"/>
      <w:marRight w:val="0"/>
      <w:marTop w:val="0"/>
      <w:marBottom w:val="0"/>
      <w:divBdr>
        <w:top w:val="none" w:sz="0" w:space="0" w:color="auto"/>
        <w:left w:val="none" w:sz="0" w:space="0" w:color="auto"/>
        <w:bottom w:val="none" w:sz="0" w:space="0" w:color="auto"/>
        <w:right w:val="none" w:sz="0" w:space="0" w:color="auto"/>
      </w:divBdr>
      <w:divsChild>
        <w:div w:id="2055690267">
          <w:marLeft w:val="480"/>
          <w:marRight w:val="0"/>
          <w:marTop w:val="0"/>
          <w:marBottom w:val="0"/>
          <w:divBdr>
            <w:top w:val="none" w:sz="0" w:space="0" w:color="auto"/>
            <w:left w:val="none" w:sz="0" w:space="0" w:color="auto"/>
            <w:bottom w:val="none" w:sz="0" w:space="0" w:color="auto"/>
            <w:right w:val="none" w:sz="0" w:space="0" w:color="auto"/>
          </w:divBdr>
          <w:divsChild>
            <w:div w:id="2076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006">
      <w:bodyDiv w:val="1"/>
      <w:marLeft w:val="0"/>
      <w:marRight w:val="0"/>
      <w:marTop w:val="0"/>
      <w:marBottom w:val="0"/>
      <w:divBdr>
        <w:top w:val="none" w:sz="0" w:space="0" w:color="auto"/>
        <w:left w:val="none" w:sz="0" w:space="0" w:color="auto"/>
        <w:bottom w:val="none" w:sz="0" w:space="0" w:color="auto"/>
        <w:right w:val="none" w:sz="0" w:space="0" w:color="auto"/>
      </w:divBdr>
      <w:divsChild>
        <w:div w:id="1117142018">
          <w:marLeft w:val="480"/>
          <w:marRight w:val="0"/>
          <w:marTop w:val="0"/>
          <w:marBottom w:val="0"/>
          <w:divBdr>
            <w:top w:val="none" w:sz="0" w:space="0" w:color="auto"/>
            <w:left w:val="none" w:sz="0" w:space="0" w:color="auto"/>
            <w:bottom w:val="none" w:sz="0" w:space="0" w:color="auto"/>
            <w:right w:val="none" w:sz="0" w:space="0" w:color="auto"/>
          </w:divBdr>
          <w:divsChild>
            <w:div w:id="8608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91499">
      <w:bodyDiv w:val="1"/>
      <w:marLeft w:val="0"/>
      <w:marRight w:val="0"/>
      <w:marTop w:val="0"/>
      <w:marBottom w:val="0"/>
      <w:divBdr>
        <w:top w:val="none" w:sz="0" w:space="0" w:color="auto"/>
        <w:left w:val="none" w:sz="0" w:space="0" w:color="auto"/>
        <w:bottom w:val="none" w:sz="0" w:space="0" w:color="auto"/>
        <w:right w:val="none" w:sz="0" w:space="0" w:color="auto"/>
      </w:divBdr>
      <w:divsChild>
        <w:div w:id="1289891541">
          <w:marLeft w:val="480"/>
          <w:marRight w:val="0"/>
          <w:marTop w:val="0"/>
          <w:marBottom w:val="0"/>
          <w:divBdr>
            <w:top w:val="none" w:sz="0" w:space="0" w:color="auto"/>
            <w:left w:val="none" w:sz="0" w:space="0" w:color="auto"/>
            <w:bottom w:val="none" w:sz="0" w:space="0" w:color="auto"/>
            <w:right w:val="none" w:sz="0" w:space="0" w:color="auto"/>
          </w:divBdr>
          <w:divsChild>
            <w:div w:id="17649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7972">
      <w:bodyDiv w:val="1"/>
      <w:marLeft w:val="0"/>
      <w:marRight w:val="0"/>
      <w:marTop w:val="0"/>
      <w:marBottom w:val="0"/>
      <w:divBdr>
        <w:top w:val="none" w:sz="0" w:space="0" w:color="auto"/>
        <w:left w:val="none" w:sz="0" w:space="0" w:color="auto"/>
        <w:bottom w:val="none" w:sz="0" w:space="0" w:color="auto"/>
        <w:right w:val="none" w:sz="0" w:space="0" w:color="auto"/>
      </w:divBdr>
      <w:divsChild>
        <w:div w:id="1205558920">
          <w:marLeft w:val="480"/>
          <w:marRight w:val="0"/>
          <w:marTop w:val="0"/>
          <w:marBottom w:val="0"/>
          <w:divBdr>
            <w:top w:val="none" w:sz="0" w:space="0" w:color="auto"/>
            <w:left w:val="none" w:sz="0" w:space="0" w:color="auto"/>
            <w:bottom w:val="none" w:sz="0" w:space="0" w:color="auto"/>
            <w:right w:val="none" w:sz="0" w:space="0" w:color="auto"/>
          </w:divBdr>
          <w:divsChild>
            <w:div w:id="12161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5321">
      <w:bodyDiv w:val="1"/>
      <w:marLeft w:val="0"/>
      <w:marRight w:val="0"/>
      <w:marTop w:val="0"/>
      <w:marBottom w:val="0"/>
      <w:divBdr>
        <w:top w:val="none" w:sz="0" w:space="0" w:color="auto"/>
        <w:left w:val="none" w:sz="0" w:space="0" w:color="auto"/>
        <w:bottom w:val="none" w:sz="0" w:space="0" w:color="auto"/>
        <w:right w:val="none" w:sz="0" w:space="0" w:color="auto"/>
      </w:divBdr>
      <w:divsChild>
        <w:div w:id="673072918">
          <w:marLeft w:val="480"/>
          <w:marRight w:val="0"/>
          <w:marTop w:val="0"/>
          <w:marBottom w:val="0"/>
          <w:divBdr>
            <w:top w:val="none" w:sz="0" w:space="0" w:color="auto"/>
            <w:left w:val="none" w:sz="0" w:space="0" w:color="auto"/>
            <w:bottom w:val="none" w:sz="0" w:space="0" w:color="auto"/>
            <w:right w:val="none" w:sz="0" w:space="0" w:color="auto"/>
          </w:divBdr>
          <w:divsChild>
            <w:div w:id="11577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3319">
      <w:bodyDiv w:val="1"/>
      <w:marLeft w:val="0"/>
      <w:marRight w:val="0"/>
      <w:marTop w:val="0"/>
      <w:marBottom w:val="0"/>
      <w:divBdr>
        <w:top w:val="none" w:sz="0" w:space="0" w:color="auto"/>
        <w:left w:val="none" w:sz="0" w:space="0" w:color="auto"/>
        <w:bottom w:val="none" w:sz="0" w:space="0" w:color="auto"/>
        <w:right w:val="none" w:sz="0" w:space="0" w:color="auto"/>
      </w:divBdr>
      <w:divsChild>
        <w:div w:id="1787851432">
          <w:marLeft w:val="480"/>
          <w:marRight w:val="0"/>
          <w:marTop w:val="0"/>
          <w:marBottom w:val="0"/>
          <w:divBdr>
            <w:top w:val="none" w:sz="0" w:space="0" w:color="auto"/>
            <w:left w:val="none" w:sz="0" w:space="0" w:color="auto"/>
            <w:bottom w:val="none" w:sz="0" w:space="0" w:color="auto"/>
            <w:right w:val="none" w:sz="0" w:space="0" w:color="auto"/>
          </w:divBdr>
          <w:divsChild>
            <w:div w:id="20485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9886">
      <w:bodyDiv w:val="1"/>
      <w:marLeft w:val="0"/>
      <w:marRight w:val="0"/>
      <w:marTop w:val="0"/>
      <w:marBottom w:val="0"/>
      <w:divBdr>
        <w:top w:val="none" w:sz="0" w:space="0" w:color="auto"/>
        <w:left w:val="none" w:sz="0" w:space="0" w:color="auto"/>
        <w:bottom w:val="none" w:sz="0" w:space="0" w:color="auto"/>
        <w:right w:val="none" w:sz="0" w:space="0" w:color="auto"/>
      </w:divBdr>
      <w:divsChild>
        <w:div w:id="1461148046">
          <w:marLeft w:val="480"/>
          <w:marRight w:val="0"/>
          <w:marTop w:val="0"/>
          <w:marBottom w:val="0"/>
          <w:divBdr>
            <w:top w:val="none" w:sz="0" w:space="0" w:color="auto"/>
            <w:left w:val="none" w:sz="0" w:space="0" w:color="auto"/>
            <w:bottom w:val="none" w:sz="0" w:space="0" w:color="auto"/>
            <w:right w:val="none" w:sz="0" w:space="0" w:color="auto"/>
          </w:divBdr>
          <w:divsChild>
            <w:div w:id="19792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97631">
      <w:bodyDiv w:val="1"/>
      <w:marLeft w:val="0"/>
      <w:marRight w:val="0"/>
      <w:marTop w:val="0"/>
      <w:marBottom w:val="0"/>
      <w:divBdr>
        <w:top w:val="none" w:sz="0" w:space="0" w:color="auto"/>
        <w:left w:val="none" w:sz="0" w:space="0" w:color="auto"/>
        <w:bottom w:val="none" w:sz="0" w:space="0" w:color="auto"/>
        <w:right w:val="none" w:sz="0" w:space="0" w:color="auto"/>
      </w:divBdr>
    </w:div>
    <w:div w:id="1071922879">
      <w:bodyDiv w:val="1"/>
      <w:marLeft w:val="0"/>
      <w:marRight w:val="0"/>
      <w:marTop w:val="0"/>
      <w:marBottom w:val="0"/>
      <w:divBdr>
        <w:top w:val="none" w:sz="0" w:space="0" w:color="auto"/>
        <w:left w:val="none" w:sz="0" w:space="0" w:color="auto"/>
        <w:bottom w:val="none" w:sz="0" w:space="0" w:color="auto"/>
        <w:right w:val="none" w:sz="0" w:space="0" w:color="auto"/>
      </w:divBdr>
      <w:divsChild>
        <w:div w:id="352073723">
          <w:marLeft w:val="480"/>
          <w:marRight w:val="0"/>
          <w:marTop w:val="0"/>
          <w:marBottom w:val="0"/>
          <w:divBdr>
            <w:top w:val="none" w:sz="0" w:space="0" w:color="auto"/>
            <w:left w:val="none" w:sz="0" w:space="0" w:color="auto"/>
            <w:bottom w:val="none" w:sz="0" w:space="0" w:color="auto"/>
            <w:right w:val="none" w:sz="0" w:space="0" w:color="auto"/>
          </w:divBdr>
          <w:divsChild>
            <w:div w:id="19548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8902">
      <w:bodyDiv w:val="1"/>
      <w:marLeft w:val="0"/>
      <w:marRight w:val="0"/>
      <w:marTop w:val="0"/>
      <w:marBottom w:val="0"/>
      <w:divBdr>
        <w:top w:val="none" w:sz="0" w:space="0" w:color="auto"/>
        <w:left w:val="none" w:sz="0" w:space="0" w:color="auto"/>
        <w:bottom w:val="none" w:sz="0" w:space="0" w:color="auto"/>
        <w:right w:val="none" w:sz="0" w:space="0" w:color="auto"/>
      </w:divBdr>
      <w:divsChild>
        <w:div w:id="518353883">
          <w:marLeft w:val="480"/>
          <w:marRight w:val="0"/>
          <w:marTop w:val="0"/>
          <w:marBottom w:val="0"/>
          <w:divBdr>
            <w:top w:val="none" w:sz="0" w:space="0" w:color="auto"/>
            <w:left w:val="none" w:sz="0" w:space="0" w:color="auto"/>
            <w:bottom w:val="none" w:sz="0" w:space="0" w:color="auto"/>
            <w:right w:val="none" w:sz="0" w:space="0" w:color="auto"/>
          </w:divBdr>
          <w:divsChild>
            <w:div w:id="11823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3013">
      <w:bodyDiv w:val="1"/>
      <w:marLeft w:val="0"/>
      <w:marRight w:val="0"/>
      <w:marTop w:val="0"/>
      <w:marBottom w:val="0"/>
      <w:divBdr>
        <w:top w:val="none" w:sz="0" w:space="0" w:color="auto"/>
        <w:left w:val="none" w:sz="0" w:space="0" w:color="auto"/>
        <w:bottom w:val="none" w:sz="0" w:space="0" w:color="auto"/>
        <w:right w:val="none" w:sz="0" w:space="0" w:color="auto"/>
      </w:divBdr>
      <w:divsChild>
        <w:div w:id="560597154">
          <w:marLeft w:val="480"/>
          <w:marRight w:val="0"/>
          <w:marTop w:val="0"/>
          <w:marBottom w:val="0"/>
          <w:divBdr>
            <w:top w:val="none" w:sz="0" w:space="0" w:color="auto"/>
            <w:left w:val="none" w:sz="0" w:space="0" w:color="auto"/>
            <w:bottom w:val="none" w:sz="0" w:space="0" w:color="auto"/>
            <w:right w:val="none" w:sz="0" w:space="0" w:color="auto"/>
          </w:divBdr>
          <w:divsChild>
            <w:div w:id="8299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7167">
      <w:bodyDiv w:val="1"/>
      <w:marLeft w:val="0"/>
      <w:marRight w:val="0"/>
      <w:marTop w:val="0"/>
      <w:marBottom w:val="0"/>
      <w:divBdr>
        <w:top w:val="none" w:sz="0" w:space="0" w:color="auto"/>
        <w:left w:val="none" w:sz="0" w:space="0" w:color="auto"/>
        <w:bottom w:val="none" w:sz="0" w:space="0" w:color="auto"/>
        <w:right w:val="none" w:sz="0" w:space="0" w:color="auto"/>
      </w:divBdr>
      <w:divsChild>
        <w:div w:id="440536654">
          <w:marLeft w:val="480"/>
          <w:marRight w:val="0"/>
          <w:marTop w:val="0"/>
          <w:marBottom w:val="0"/>
          <w:divBdr>
            <w:top w:val="none" w:sz="0" w:space="0" w:color="auto"/>
            <w:left w:val="none" w:sz="0" w:space="0" w:color="auto"/>
            <w:bottom w:val="none" w:sz="0" w:space="0" w:color="auto"/>
            <w:right w:val="none" w:sz="0" w:space="0" w:color="auto"/>
          </w:divBdr>
          <w:divsChild>
            <w:div w:id="16101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7750">
      <w:bodyDiv w:val="1"/>
      <w:marLeft w:val="0"/>
      <w:marRight w:val="0"/>
      <w:marTop w:val="0"/>
      <w:marBottom w:val="0"/>
      <w:divBdr>
        <w:top w:val="none" w:sz="0" w:space="0" w:color="auto"/>
        <w:left w:val="none" w:sz="0" w:space="0" w:color="auto"/>
        <w:bottom w:val="none" w:sz="0" w:space="0" w:color="auto"/>
        <w:right w:val="none" w:sz="0" w:space="0" w:color="auto"/>
      </w:divBdr>
      <w:divsChild>
        <w:div w:id="1455171565">
          <w:marLeft w:val="480"/>
          <w:marRight w:val="0"/>
          <w:marTop w:val="0"/>
          <w:marBottom w:val="0"/>
          <w:divBdr>
            <w:top w:val="none" w:sz="0" w:space="0" w:color="auto"/>
            <w:left w:val="none" w:sz="0" w:space="0" w:color="auto"/>
            <w:bottom w:val="none" w:sz="0" w:space="0" w:color="auto"/>
            <w:right w:val="none" w:sz="0" w:space="0" w:color="auto"/>
          </w:divBdr>
          <w:divsChild>
            <w:div w:id="7184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3428">
      <w:bodyDiv w:val="1"/>
      <w:marLeft w:val="0"/>
      <w:marRight w:val="0"/>
      <w:marTop w:val="0"/>
      <w:marBottom w:val="0"/>
      <w:divBdr>
        <w:top w:val="none" w:sz="0" w:space="0" w:color="auto"/>
        <w:left w:val="none" w:sz="0" w:space="0" w:color="auto"/>
        <w:bottom w:val="none" w:sz="0" w:space="0" w:color="auto"/>
        <w:right w:val="none" w:sz="0" w:space="0" w:color="auto"/>
      </w:divBdr>
      <w:divsChild>
        <w:div w:id="207185619">
          <w:marLeft w:val="480"/>
          <w:marRight w:val="0"/>
          <w:marTop w:val="0"/>
          <w:marBottom w:val="0"/>
          <w:divBdr>
            <w:top w:val="none" w:sz="0" w:space="0" w:color="auto"/>
            <w:left w:val="none" w:sz="0" w:space="0" w:color="auto"/>
            <w:bottom w:val="none" w:sz="0" w:space="0" w:color="auto"/>
            <w:right w:val="none" w:sz="0" w:space="0" w:color="auto"/>
          </w:divBdr>
          <w:divsChild>
            <w:div w:id="8363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2961">
      <w:bodyDiv w:val="1"/>
      <w:marLeft w:val="0"/>
      <w:marRight w:val="0"/>
      <w:marTop w:val="0"/>
      <w:marBottom w:val="0"/>
      <w:divBdr>
        <w:top w:val="none" w:sz="0" w:space="0" w:color="auto"/>
        <w:left w:val="none" w:sz="0" w:space="0" w:color="auto"/>
        <w:bottom w:val="none" w:sz="0" w:space="0" w:color="auto"/>
        <w:right w:val="none" w:sz="0" w:space="0" w:color="auto"/>
      </w:divBdr>
      <w:divsChild>
        <w:div w:id="458306555">
          <w:marLeft w:val="480"/>
          <w:marRight w:val="0"/>
          <w:marTop w:val="0"/>
          <w:marBottom w:val="0"/>
          <w:divBdr>
            <w:top w:val="none" w:sz="0" w:space="0" w:color="auto"/>
            <w:left w:val="none" w:sz="0" w:space="0" w:color="auto"/>
            <w:bottom w:val="none" w:sz="0" w:space="0" w:color="auto"/>
            <w:right w:val="none" w:sz="0" w:space="0" w:color="auto"/>
          </w:divBdr>
          <w:divsChild>
            <w:div w:id="14009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2054">
      <w:bodyDiv w:val="1"/>
      <w:marLeft w:val="0"/>
      <w:marRight w:val="0"/>
      <w:marTop w:val="0"/>
      <w:marBottom w:val="0"/>
      <w:divBdr>
        <w:top w:val="none" w:sz="0" w:space="0" w:color="auto"/>
        <w:left w:val="none" w:sz="0" w:space="0" w:color="auto"/>
        <w:bottom w:val="none" w:sz="0" w:space="0" w:color="auto"/>
        <w:right w:val="none" w:sz="0" w:space="0" w:color="auto"/>
      </w:divBdr>
      <w:divsChild>
        <w:div w:id="1697191689">
          <w:marLeft w:val="480"/>
          <w:marRight w:val="0"/>
          <w:marTop w:val="0"/>
          <w:marBottom w:val="0"/>
          <w:divBdr>
            <w:top w:val="none" w:sz="0" w:space="0" w:color="auto"/>
            <w:left w:val="none" w:sz="0" w:space="0" w:color="auto"/>
            <w:bottom w:val="none" w:sz="0" w:space="0" w:color="auto"/>
            <w:right w:val="none" w:sz="0" w:space="0" w:color="auto"/>
          </w:divBdr>
          <w:divsChild>
            <w:div w:id="113871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92831">
      <w:bodyDiv w:val="1"/>
      <w:marLeft w:val="0"/>
      <w:marRight w:val="0"/>
      <w:marTop w:val="0"/>
      <w:marBottom w:val="0"/>
      <w:divBdr>
        <w:top w:val="none" w:sz="0" w:space="0" w:color="auto"/>
        <w:left w:val="none" w:sz="0" w:space="0" w:color="auto"/>
        <w:bottom w:val="none" w:sz="0" w:space="0" w:color="auto"/>
        <w:right w:val="none" w:sz="0" w:space="0" w:color="auto"/>
      </w:divBdr>
      <w:divsChild>
        <w:div w:id="1883590900">
          <w:marLeft w:val="480"/>
          <w:marRight w:val="0"/>
          <w:marTop w:val="0"/>
          <w:marBottom w:val="0"/>
          <w:divBdr>
            <w:top w:val="none" w:sz="0" w:space="0" w:color="auto"/>
            <w:left w:val="none" w:sz="0" w:space="0" w:color="auto"/>
            <w:bottom w:val="none" w:sz="0" w:space="0" w:color="auto"/>
            <w:right w:val="none" w:sz="0" w:space="0" w:color="auto"/>
          </w:divBdr>
          <w:divsChild>
            <w:div w:id="7930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8234">
      <w:bodyDiv w:val="1"/>
      <w:marLeft w:val="0"/>
      <w:marRight w:val="0"/>
      <w:marTop w:val="0"/>
      <w:marBottom w:val="0"/>
      <w:divBdr>
        <w:top w:val="none" w:sz="0" w:space="0" w:color="auto"/>
        <w:left w:val="none" w:sz="0" w:space="0" w:color="auto"/>
        <w:bottom w:val="none" w:sz="0" w:space="0" w:color="auto"/>
        <w:right w:val="none" w:sz="0" w:space="0" w:color="auto"/>
      </w:divBdr>
      <w:divsChild>
        <w:div w:id="1393118102">
          <w:marLeft w:val="480"/>
          <w:marRight w:val="0"/>
          <w:marTop w:val="0"/>
          <w:marBottom w:val="0"/>
          <w:divBdr>
            <w:top w:val="none" w:sz="0" w:space="0" w:color="auto"/>
            <w:left w:val="none" w:sz="0" w:space="0" w:color="auto"/>
            <w:bottom w:val="none" w:sz="0" w:space="0" w:color="auto"/>
            <w:right w:val="none" w:sz="0" w:space="0" w:color="auto"/>
          </w:divBdr>
          <w:divsChild>
            <w:div w:id="20987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24485">
      <w:bodyDiv w:val="1"/>
      <w:marLeft w:val="0"/>
      <w:marRight w:val="0"/>
      <w:marTop w:val="0"/>
      <w:marBottom w:val="0"/>
      <w:divBdr>
        <w:top w:val="none" w:sz="0" w:space="0" w:color="auto"/>
        <w:left w:val="none" w:sz="0" w:space="0" w:color="auto"/>
        <w:bottom w:val="none" w:sz="0" w:space="0" w:color="auto"/>
        <w:right w:val="none" w:sz="0" w:space="0" w:color="auto"/>
      </w:divBdr>
      <w:divsChild>
        <w:div w:id="1502357145">
          <w:marLeft w:val="480"/>
          <w:marRight w:val="0"/>
          <w:marTop w:val="0"/>
          <w:marBottom w:val="0"/>
          <w:divBdr>
            <w:top w:val="none" w:sz="0" w:space="0" w:color="auto"/>
            <w:left w:val="none" w:sz="0" w:space="0" w:color="auto"/>
            <w:bottom w:val="none" w:sz="0" w:space="0" w:color="auto"/>
            <w:right w:val="none" w:sz="0" w:space="0" w:color="auto"/>
          </w:divBdr>
          <w:divsChild>
            <w:div w:id="10903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1148">
      <w:bodyDiv w:val="1"/>
      <w:marLeft w:val="0"/>
      <w:marRight w:val="0"/>
      <w:marTop w:val="0"/>
      <w:marBottom w:val="0"/>
      <w:divBdr>
        <w:top w:val="none" w:sz="0" w:space="0" w:color="auto"/>
        <w:left w:val="none" w:sz="0" w:space="0" w:color="auto"/>
        <w:bottom w:val="none" w:sz="0" w:space="0" w:color="auto"/>
        <w:right w:val="none" w:sz="0" w:space="0" w:color="auto"/>
      </w:divBdr>
    </w:div>
    <w:div w:id="1449009560">
      <w:bodyDiv w:val="1"/>
      <w:marLeft w:val="0"/>
      <w:marRight w:val="0"/>
      <w:marTop w:val="0"/>
      <w:marBottom w:val="0"/>
      <w:divBdr>
        <w:top w:val="none" w:sz="0" w:space="0" w:color="auto"/>
        <w:left w:val="none" w:sz="0" w:space="0" w:color="auto"/>
        <w:bottom w:val="none" w:sz="0" w:space="0" w:color="auto"/>
        <w:right w:val="none" w:sz="0" w:space="0" w:color="auto"/>
      </w:divBdr>
      <w:divsChild>
        <w:div w:id="989675597">
          <w:marLeft w:val="480"/>
          <w:marRight w:val="0"/>
          <w:marTop w:val="0"/>
          <w:marBottom w:val="0"/>
          <w:divBdr>
            <w:top w:val="none" w:sz="0" w:space="0" w:color="auto"/>
            <w:left w:val="none" w:sz="0" w:space="0" w:color="auto"/>
            <w:bottom w:val="none" w:sz="0" w:space="0" w:color="auto"/>
            <w:right w:val="none" w:sz="0" w:space="0" w:color="auto"/>
          </w:divBdr>
          <w:divsChild>
            <w:div w:id="10279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27774">
      <w:bodyDiv w:val="1"/>
      <w:marLeft w:val="0"/>
      <w:marRight w:val="0"/>
      <w:marTop w:val="0"/>
      <w:marBottom w:val="0"/>
      <w:divBdr>
        <w:top w:val="none" w:sz="0" w:space="0" w:color="auto"/>
        <w:left w:val="none" w:sz="0" w:space="0" w:color="auto"/>
        <w:bottom w:val="none" w:sz="0" w:space="0" w:color="auto"/>
        <w:right w:val="none" w:sz="0" w:space="0" w:color="auto"/>
      </w:divBdr>
      <w:divsChild>
        <w:div w:id="114444289">
          <w:marLeft w:val="480"/>
          <w:marRight w:val="0"/>
          <w:marTop w:val="0"/>
          <w:marBottom w:val="0"/>
          <w:divBdr>
            <w:top w:val="none" w:sz="0" w:space="0" w:color="auto"/>
            <w:left w:val="none" w:sz="0" w:space="0" w:color="auto"/>
            <w:bottom w:val="none" w:sz="0" w:space="0" w:color="auto"/>
            <w:right w:val="none" w:sz="0" w:space="0" w:color="auto"/>
          </w:divBdr>
          <w:divsChild>
            <w:div w:id="1637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8484">
      <w:bodyDiv w:val="1"/>
      <w:marLeft w:val="0"/>
      <w:marRight w:val="0"/>
      <w:marTop w:val="0"/>
      <w:marBottom w:val="0"/>
      <w:divBdr>
        <w:top w:val="none" w:sz="0" w:space="0" w:color="auto"/>
        <w:left w:val="none" w:sz="0" w:space="0" w:color="auto"/>
        <w:bottom w:val="none" w:sz="0" w:space="0" w:color="auto"/>
        <w:right w:val="none" w:sz="0" w:space="0" w:color="auto"/>
      </w:divBdr>
      <w:divsChild>
        <w:div w:id="359092048">
          <w:marLeft w:val="480"/>
          <w:marRight w:val="0"/>
          <w:marTop w:val="0"/>
          <w:marBottom w:val="0"/>
          <w:divBdr>
            <w:top w:val="none" w:sz="0" w:space="0" w:color="auto"/>
            <w:left w:val="none" w:sz="0" w:space="0" w:color="auto"/>
            <w:bottom w:val="none" w:sz="0" w:space="0" w:color="auto"/>
            <w:right w:val="none" w:sz="0" w:space="0" w:color="auto"/>
          </w:divBdr>
          <w:divsChild>
            <w:div w:id="11716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3454">
      <w:bodyDiv w:val="1"/>
      <w:marLeft w:val="0"/>
      <w:marRight w:val="0"/>
      <w:marTop w:val="0"/>
      <w:marBottom w:val="0"/>
      <w:divBdr>
        <w:top w:val="none" w:sz="0" w:space="0" w:color="auto"/>
        <w:left w:val="none" w:sz="0" w:space="0" w:color="auto"/>
        <w:bottom w:val="none" w:sz="0" w:space="0" w:color="auto"/>
        <w:right w:val="none" w:sz="0" w:space="0" w:color="auto"/>
      </w:divBdr>
      <w:divsChild>
        <w:div w:id="1911037633">
          <w:marLeft w:val="480"/>
          <w:marRight w:val="0"/>
          <w:marTop w:val="0"/>
          <w:marBottom w:val="0"/>
          <w:divBdr>
            <w:top w:val="none" w:sz="0" w:space="0" w:color="auto"/>
            <w:left w:val="none" w:sz="0" w:space="0" w:color="auto"/>
            <w:bottom w:val="none" w:sz="0" w:space="0" w:color="auto"/>
            <w:right w:val="none" w:sz="0" w:space="0" w:color="auto"/>
          </w:divBdr>
          <w:divsChild>
            <w:div w:id="1881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0927">
      <w:bodyDiv w:val="1"/>
      <w:marLeft w:val="0"/>
      <w:marRight w:val="0"/>
      <w:marTop w:val="0"/>
      <w:marBottom w:val="0"/>
      <w:divBdr>
        <w:top w:val="none" w:sz="0" w:space="0" w:color="auto"/>
        <w:left w:val="none" w:sz="0" w:space="0" w:color="auto"/>
        <w:bottom w:val="none" w:sz="0" w:space="0" w:color="auto"/>
        <w:right w:val="none" w:sz="0" w:space="0" w:color="auto"/>
      </w:divBdr>
      <w:divsChild>
        <w:div w:id="1195460312">
          <w:marLeft w:val="480"/>
          <w:marRight w:val="0"/>
          <w:marTop w:val="0"/>
          <w:marBottom w:val="0"/>
          <w:divBdr>
            <w:top w:val="none" w:sz="0" w:space="0" w:color="auto"/>
            <w:left w:val="none" w:sz="0" w:space="0" w:color="auto"/>
            <w:bottom w:val="none" w:sz="0" w:space="0" w:color="auto"/>
            <w:right w:val="none" w:sz="0" w:space="0" w:color="auto"/>
          </w:divBdr>
          <w:divsChild>
            <w:div w:id="10262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7782">
      <w:bodyDiv w:val="1"/>
      <w:marLeft w:val="0"/>
      <w:marRight w:val="0"/>
      <w:marTop w:val="0"/>
      <w:marBottom w:val="0"/>
      <w:divBdr>
        <w:top w:val="none" w:sz="0" w:space="0" w:color="auto"/>
        <w:left w:val="none" w:sz="0" w:space="0" w:color="auto"/>
        <w:bottom w:val="none" w:sz="0" w:space="0" w:color="auto"/>
        <w:right w:val="none" w:sz="0" w:space="0" w:color="auto"/>
      </w:divBdr>
      <w:divsChild>
        <w:div w:id="1829591779">
          <w:marLeft w:val="480"/>
          <w:marRight w:val="0"/>
          <w:marTop w:val="0"/>
          <w:marBottom w:val="0"/>
          <w:divBdr>
            <w:top w:val="none" w:sz="0" w:space="0" w:color="auto"/>
            <w:left w:val="none" w:sz="0" w:space="0" w:color="auto"/>
            <w:bottom w:val="none" w:sz="0" w:space="0" w:color="auto"/>
            <w:right w:val="none" w:sz="0" w:space="0" w:color="auto"/>
          </w:divBdr>
          <w:divsChild>
            <w:div w:id="17089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10229">
      <w:bodyDiv w:val="1"/>
      <w:marLeft w:val="0"/>
      <w:marRight w:val="0"/>
      <w:marTop w:val="0"/>
      <w:marBottom w:val="0"/>
      <w:divBdr>
        <w:top w:val="none" w:sz="0" w:space="0" w:color="auto"/>
        <w:left w:val="none" w:sz="0" w:space="0" w:color="auto"/>
        <w:bottom w:val="none" w:sz="0" w:space="0" w:color="auto"/>
        <w:right w:val="none" w:sz="0" w:space="0" w:color="auto"/>
      </w:divBdr>
      <w:divsChild>
        <w:div w:id="442463660">
          <w:marLeft w:val="480"/>
          <w:marRight w:val="0"/>
          <w:marTop w:val="0"/>
          <w:marBottom w:val="0"/>
          <w:divBdr>
            <w:top w:val="none" w:sz="0" w:space="0" w:color="auto"/>
            <w:left w:val="none" w:sz="0" w:space="0" w:color="auto"/>
            <w:bottom w:val="none" w:sz="0" w:space="0" w:color="auto"/>
            <w:right w:val="none" w:sz="0" w:space="0" w:color="auto"/>
          </w:divBdr>
          <w:divsChild>
            <w:div w:id="20062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2556">
      <w:bodyDiv w:val="1"/>
      <w:marLeft w:val="0"/>
      <w:marRight w:val="0"/>
      <w:marTop w:val="0"/>
      <w:marBottom w:val="0"/>
      <w:divBdr>
        <w:top w:val="none" w:sz="0" w:space="0" w:color="auto"/>
        <w:left w:val="none" w:sz="0" w:space="0" w:color="auto"/>
        <w:bottom w:val="none" w:sz="0" w:space="0" w:color="auto"/>
        <w:right w:val="none" w:sz="0" w:space="0" w:color="auto"/>
      </w:divBdr>
    </w:div>
    <w:div w:id="2004503680">
      <w:bodyDiv w:val="1"/>
      <w:marLeft w:val="0"/>
      <w:marRight w:val="0"/>
      <w:marTop w:val="0"/>
      <w:marBottom w:val="0"/>
      <w:divBdr>
        <w:top w:val="none" w:sz="0" w:space="0" w:color="auto"/>
        <w:left w:val="none" w:sz="0" w:space="0" w:color="auto"/>
        <w:bottom w:val="none" w:sz="0" w:space="0" w:color="auto"/>
        <w:right w:val="none" w:sz="0" w:space="0" w:color="auto"/>
      </w:divBdr>
      <w:divsChild>
        <w:div w:id="1736007029">
          <w:marLeft w:val="480"/>
          <w:marRight w:val="0"/>
          <w:marTop w:val="0"/>
          <w:marBottom w:val="0"/>
          <w:divBdr>
            <w:top w:val="none" w:sz="0" w:space="0" w:color="auto"/>
            <w:left w:val="none" w:sz="0" w:space="0" w:color="auto"/>
            <w:bottom w:val="none" w:sz="0" w:space="0" w:color="auto"/>
            <w:right w:val="none" w:sz="0" w:space="0" w:color="auto"/>
          </w:divBdr>
          <w:divsChild>
            <w:div w:id="2073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9320">
      <w:bodyDiv w:val="1"/>
      <w:marLeft w:val="0"/>
      <w:marRight w:val="0"/>
      <w:marTop w:val="0"/>
      <w:marBottom w:val="0"/>
      <w:divBdr>
        <w:top w:val="none" w:sz="0" w:space="0" w:color="auto"/>
        <w:left w:val="none" w:sz="0" w:space="0" w:color="auto"/>
        <w:bottom w:val="none" w:sz="0" w:space="0" w:color="auto"/>
        <w:right w:val="none" w:sz="0" w:space="0" w:color="auto"/>
      </w:divBdr>
      <w:divsChild>
        <w:div w:id="772823576">
          <w:marLeft w:val="480"/>
          <w:marRight w:val="0"/>
          <w:marTop w:val="0"/>
          <w:marBottom w:val="0"/>
          <w:divBdr>
            <w:top w:val="none" w:sz="0" w:space="0" w:color="auto"/>
            <w:left w:val="none" w:sz="0" w:space="0" w:color="auto"/>
            <w:bottom w:val="none" w:sz="0" w:space="0" w:color="auto"/>
            <w:right w:val="none" w:sz="0" w:space="0" w:color="auto"/>
          </w:divBdr>
          <w:divsChild>
            <w:div w:id="8601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avb.2011.09.003" TargetMode="External"/><Relationship Id="rId21" Type="http://schemas.openxmlformats.org/officeDocument/2006/relationships/hyperlink" Target="https://doi.org/10.1177/0886260507300754" TargetMode="External"/><Relationship Id="rId42" Type="http://schemas.openxmlformats.org/officeDocument/2006/relationships/hyperlink" Target="https://doi.org/10.1080/21565503.2024.2362687" TargetMode="External"/><Relationship Id="rId47" Type="http://schemas.openxmlformats.org/officeDocument/2006/relationships/hyperlink" Target="https://doi.org/10.1017/S0003055421001337" TargetMode="External"/><Relationship Id="rId63" Type="http://schemas.openxmlformats.org/officeDocument/2006/relationships/hyperlink" Target="https://doi.org/10.1111/josi.12247" TargetMode="External"/><Relationship Id="rId68" Type="http://schemas.openxmlformats.org/officeDocument/2006/relationships/footer" Target="footer1.xml"/><Relationship Id="rId7" Type="http://schemas.openxmlformats.org/officeDocument/2006/relationships/hyperlink" Target="https://doi.org/10.1177/0886260519876021"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journals.sagepub.com/doi/abs/10.1177/0032885510382224" TargetMode="External"/><Relationship Id="rId29" Type="http://schemas.openxmlformats.org/officeDocument/2006/relationships/hyperlink" Target="https://doi.org/10.1177/0093854807305150" TargetMode="External"/><Relationship Id="rId11" Type="http://schemas.openxmlformats.org/officeDocument/2006/relationships/hyperlink" Target="https://doi.org/10.1177/0963721417708230" TargetMode="External"/><Relationship Id="rId24" Type="http://schemas.openxmlformats.org/officeDocument/2006/relationships/hyperlink" Target="https://doi.org/10.1111/1475-6765.12158" TargetMode="External"/><Relationship Id="rId32" Type="http://schemas.openxmlformats.org/officeDocument/2006/relationships/hyperlink" Target="https://doi.org/10.1111/1468-0009.12651" TargetMode="External"/><Relationship Id="rId37" Type="http://schemas.openxmlformats.org/officeDocument/2006/relationships/hyperlink" Target="https://doi.org/10.1515/9781400888306" TargetMode="External"/><Relationship Id="rId40" Type="http://schemas.openxmlformats.org/officeDocument/2006/relationships/hyperlink" Target="https://doi.org/10.1177/1078345808326622" TargetMode="External"/><Relationship Id="rId45" Type="http://schemas.openxmlformats.org/officeDocument/2006/relationships/hyperlink" Target="https://doi.org/10.1111/ajps.12006" TargetMode="External"/><Relationship Id="rId53" Type="http://schemas.openxmlformats.org/officeDocument/2006/relationships/hyperlink" Target="https://doi.org/10.1111/puar.13133" TargetMode="External"/><Relationship Id="rId58" Type="http://schemas.openxmlformats.org/officeDocument/2006/relationships/hyperlink" Target="https://doi.org/10.1177/1065912911401418" TargetMode="External"/><Relationship Id="rId66" Type="http://schemas.openxmlformats.org/officeDocument/2006/relationships/hyperlink" Target="https://doi.org/10.1111/j.1745-9125.2010.00181.x" TargetMode="External"/><Relationship Id="rId5" Type="http://schemas.openxmlformats.org/officeDocument/2006/relationships/endnotes" Target="endnotes.xml"/><Relationship Id="rId61" Type="http://schemas.openxmlformats.org/officeDocument/2006/relationships/hyperlink" Target="https://doi.org/10.1111/j.1540-5907.2011.00545.x" TargetMode="External"/><Relationship Id="rId19" Type="http://schemas.openxmlformats.org/officeDocument/2006/relationships/hyperlink" Target="https://doi.org/10.1086/715911" TargetMode="External"/><Relationship Id="rId14" Type="http://schemas.openxmlformats.org/officeDocument/2006/relationships/hyperlink" Target="https://doi.org/10.1016/S0065-2601(07)00004-4" TargetMode="External"/><Relationship Id="rId22" Type="http://schemas.openxmlformats.org/officeDocument/2006/relationships/hyperlink" Target="https://doi.org/10.31219/osf.io/tdkf3" TargetMode="External"/><Relationship Id="rId27" Type="http://schemas.openxmlformats.org/officeDocument/2006/relationships/hyperlink" Target="https://doi.org/10.1037/0003-066X.58.9.697" TargetMode="External"/><Relationship Id="rId30" Type="http://schemas.openxmlformats.org/officeDocument/2006/relationships/hyperlink" Target="https://doi.org/10.1111/psj.12328" TargetMode="External"/><Relationship Id="rId35" Type="http://schemas.openxmlformats.org/officeDocument/2006/relationships/hyperlink" Target="https://www.pewresearch.org/short-reads/2023/02/07/the-changing-face-of-congress/" TargetMode="External"/><Relationship Id="rId43" Type="http://schemas.openxmlformats.org/officeDocument/2006/relationships/hyperlink" Target="https://doi.org/10.1017/S002238161400019X" TargetMode="External"/><Relationship Id="rId48" Type="http://schemas.openxmlformats.org/officeDocument/2006/relationships/hyperlink" Target="https://doi.org/10.2307/2082611" TargetMode="External"/><Relationship Id="rId56" Type="http://schemas.openxmlformats.org/officeDocument/2006/relationships/hyperlink" Target="https://doi.org/10.1017/S1049096518000987" TargetMode="External"/><Relationship Id="rId64" Type="http://schemas.openxmlformats.org/officeDocument/2006/relationships/hyperlink" Target="https://doi.org/10.2307/2939044" TargetMode="External"/><Relationship Id="rId69" Type="http://schemas.openxmlformats.org/officeDocument/2006/relationships/footer" Target="footer2.xml"/><Relationship Id="rId8" Type="http://schemas.openxmlformats.org/officeDocument/2006/relationships/hyperlink" Target="https://doi.org/10.1177/0146167206293191" TargetMode="External"/><Relationship Id="rId51" Type="http://schemas.openxmlformats.org/officeDocument/2006/relationships/hyperlink" Target="https://doi.org/10.1093/poq/nfac017"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doi.org/10.1007/978-1-4612-3582-8_8" TargetMode="External"/><Relationship Id="rId17" Type="http://schemas.openxmlformats.org/officeDocument/2006/relationships/hyperlink" Target="https://doi.org/10.1080/10509674.2020.1784349" TargetMode="External"/><Relationship Id="rId25" Type="http://schemas.openxmlformats.org/officeDocument/2006/relationships/hyperlink" Target="https://doi.org/10.1038/s41598-019-49680-2" TargetMode="External"/><Relationship Id="rId33" Type="http://schemas.openxmlformats.org/officeDocument/2006/relationships/hyperlink" Target="https://doi.org/10.1111/asap.12068" TargetMode="External"/><Relationship Id="rId38" Type="http://schemas.openxmlformats.org/officeDocument/2006/relationships/hyperlink" Target="https://doi.org/10.1017/S1537592723001457" TargetMode="External"/><Relationship Id="rId46" Type="http://schemas.openxmlformats.org/officeDocument/2006/relationships/hyperlink" Target="https://doi.org/10.1177/1532440013496439" TargetMode="External"/><Relationship Id="rId59" Type="http://schemas.openxmlformats.org/officeDocument/2006/relationships/hyperlink" Target="https://doi.org/10.1332/0305573002500811" TargetMode="External"/><Relationship Id="rId67" Type="http://schemas.openxmlformats.org/officeDocument/2006/relationships/hyperlink" Target="https://doi.org/10.1016/j.socscimed.2011.06.033" TargetMode="External"/><Relationship Id="rId20" Type="http://schemas.openxmlformats.org/officeDocument/2006/relationships/hyperlink" Target="https://journals.sagepub.com/doi/full/10.1177/0003122410395370" TargetMode="External"/><Relationship Id="rId41" Type="http://schemas.openxmlformats.org/officeDocument/2006/relationships/hyperlink" Target="https://doi.org/10.1080/07418820802427858" TargetMode="External"/><Relationship Id="rId54" Type="http://schemas.openxmlformats.org/officeDocument/2006/relationships/hyperlink" Target="https://doi.org/10.1177/0011128716638503" TargetMode="External"/><Relationship Id="rId62" Type="http://schemas.openxmlformats.org/officeDocument/2006/relationships/hyperlink" Target="https://doi.org/10.1146/annurev-criminol-011518-024826" TargetMode="External"/><Relationship Id="rId7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asj.allianceforsafetyandjustice.org/crime-survivors-speak-2024/" TargetMode="External"/><Relationship Id="rId15" Type="http://schemas.openxmlformats.org/officeDocument/2006/relationships/hyperlink" Target="https://psycnet.apa.org/doi/10.1037/0022-3514.83.2.284" TargetMode="External"/><Relationship Id="rId23" Type="http://schemas.openxmlformats.org/officeDocument/2006/relationships/hyperlink" Target="https://doi.org/10.1525/nclr.2015.18.4.477" TargetMode="External"/><Relationship Id="rId28" Type="http://schemas.openxmlformats.org/officeDocument/2006/relationships/hyperlink" Target="https://scholar.harvard.edu/hckelman/publications/violence-without-moral-restraint-reflections-dehumanization-victims-and-victim" TargetMode="External"/><Relationship Id="rId36" Type="http://schemas.openxmlformats.org/officeDocument/2006/relationships/hyperlink" Target="https://www.peezer.net/s/Pizarro-Detweiler-Bedell-Bloom-2006-chapter.pdf" TargetMode="External"/><Relationship Id="rId49" Type="http://schemas.openxmlformats.org/officeDocument/2006/relationships/hyperlink" Target="https://doi.org/10.1017/S0003055422000934" TargetMode="External"/><Relationship Id="rId57" Type="http://schemas.openxmlformats.org/officeDocument/2006/relationships/hyperlink" Target="https://doi.org/10.1177/0002716219869907" TargetMode="External"/><Relationship Id="rId10" Type="http://schemas.openxmlformats.org/officeDocument/2006/relationships/hyperlink" Target="https://doi.org/10.1207/s15327957pspr0303_3" TargetMode="External"/><Relationship Id="rId31" Type="http://schemas.openxmlformats.org/officeDocument/2006/relationships/hyperlink" Target="https://doi.org/10.1111/medu.12203" TargetMode="External"/><Relationship Id="rId44" Type="http://schemas.openxmlformats.org/officeDocument/2006/relationships/hyperlink" Target="https://doi.org/10.1177/10659129241287506" TargetMode="External"/><Relationship Id="rId52" Type="http://schemas.openxmlformats.org/officeDocument/2006/relationships/hyperlink" Target="https://doi.org/10.1111/ajps.12251" TargetMode="External"/><Relationship Id="rId60" Type="http://schemas.openxmlformats.org/officeDocument/2006/relationships/hyperlink" Target="https://doi.org/10.1111/j.1475-6765.2010.01923.x" TargetMode="External"/><Relationship Id="rId65" Type="http://schemas.openxmlformats.org/officeDocument/2006/relationships/hyperlink" Target="https://doi.org/10.1080/10911359.2015.1129256" TargetMode="External"/><Relationship Id="rId4" Type="http://schemas.openxmlformats.org/officeDocument/2006/relationships/footnotes" Target="footnotes.xml"/><Relationship Id="rId9" Type="http://schemas.openxmlformats.org/officeDocument/2006/relationships/hyperlink" Target="https://doi.org/10.1016/0092-6566(75)90001-X" TargetMode="External"/><Relationship Id="rId13" Type="http://schemas.openxmlformats.org/officeDocument/2006/relationships/hyperlink" Target="https://doi.org/10.2307/3791646" TargetMode="External"/><Relationship Id="rId18" Type="http://schemas.openxmlformats.org/officeDocument/2006/relationships/hyperlink" Target="https://doi.org/10.1086/708953" TargetMode="External"/><Relationship Id="rId39" Type="http://schemas.openxmlformats.org/officeDocument/2006/relationships/hyperlink" Target="https://doi.org/10.1017/S0003055414000562" TargetMode="External"/><Relationship Id="rId34" Type="http://schemas.openxmlformats.org/officeDocument/2006/relationships/hyperlink" Target="https://doi-org.proxy.lib.duke.edu/10.1111/j.1540-4560.1990.tb00268.x" TargetMode="External"/><Relationship Id="rId50" Type="http://schemas.openxmlformats.org/officeDocument/2006/relationships/hyperlink" Target="https://doi.org/10.1016/j.socscimed.2005.08.061" TargetMode="External"/><Relationship Id="rId55" Type="http://schemas.openxmlformats.org/officeDocument/2006/relationships/hyperlink" Target="https://doi.org/10.1017/S0143814X21000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13</Pages>
  <Words>4543</Words>
  <Characters>25901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12</cp:revision>
  <dcterms:created xsi:type="dcterms:W3CDTF">2024-12-28T20:11:00Z</dcterms:created>
  <dcterms:modified xsi:type="dcterms:W3CDTF">2025-01-18T18:38:00Z</dcterms:modified>
</cp:coreProperties>
</file>